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86AB3A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ADCC15D" w14:textId="77777777" w:rsidR="00F35BAF" w:rsidRPr="00DB58B5" w:rsidRDefault="00F35BAF" w:rsidP="00091CA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1F2EE0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FA2ECFF" w14:textId="77777777" w:rsidR="00F35BAF" w:rsidRPr="00DB58B5" w:rsidRDefault="00091CA1" w:rsidP="00091CA1">
            <w:pPr>
              <w:jc w:val="right"/>
            </w:pPr>
            <w:r w:rsidRPr="00091CA1">
              <w:rPr>
                <w:sz w:val="40"/>
              </w:rPr>
              <w:t>ECE</w:t>
            </w:r>
            <w:r>
              <w:t>/TRANS/WP.29/GRSG/2020/12</w:t>
            </w:r>
          </w:p>
        </w:tc>
      </w:tr>
      <w:tr w:rsidR="00F35BAF" w:rsidRPr="00DB58B5" w14:paraId="098803D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07BC0C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5DBEF65" wp14:editId="517BB5E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A040D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E4D6DE" w14:textId="77777777" w:rsidR="00F35BAF" w:rsidRDefault="00091CA1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3213DD2A" w14:textId="77777777" w:rsidR="00091CA1" w:rsidRDefault="00091CA1" w:rsidP="00091CA1">
            <w:pPr>
              <w:spacing w:line="240" w:lineRule="exact"/>
            </w:pPr>
            <w:r>
              <w:t>20 janvier 2020</w:t>
            </w:r>
          </w:p>
          <w:p w14:paraId="3F1857EB" w14:textId="77777777" w:rsidR="00091CA1" w:rsidRDefault="00091CA1" w:rsidP="00091CA1">
            <w:pPr>
              <w:spacing w:line="240" w:lineRule="exact"/>
            </w:pPr>
            <w:r>
              <w:t>Français</w:t>
            </w:r>
          </w:p>
          <w:p w14:paraId="23F1AD09" w14:textId="77777777" w:rsidR="00091CA1" w:rsidRPr="00DB58B5" w:rsidRDefault="00091CA1" w:rsidP="00091CA1">
            <w:pPr>
              <w:spacing w:line="240" w:lineRule="exact"/>
            </w:pPr>
            <w:r>
              <w:t>Original : anglais</w:t>
            </w:r>
          </w:p>
        </w:tc>
      </w:tr>
    </w:tbl>
    <w:p w14:paraId="42092E1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256C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5393AE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F94E1D8" w14:textId="77777777" w:rsidR="00D66A9C" w:rsidRDefault="00D66A9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C256C5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DA8EB1D" w14:textId="77777777" w:rsidR="00D66A9C" w:rsidRDefault="00D66A9C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5450BAF5" w14:textId="77777777" w:rsidR="00D66A9C" w:rsidRDefault="00D66A9C" w:rsidP="00257168">
      <w:pPr>
        <w:spacing w:before="120" w:line="240" w:lineRule="exact"/>
        <w:rPr>
          <w:b/>
        </w:rPr>
      </w:pPr>
      <w:r>
        <w:rPr>
          <w:b/>
        </w:rPr>
        <w:t>118</w:t>
      </w:r>
      <w:r w:rsidRPr="00D66A9C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382139EC" w14:textId="77777777" w:rsidR="00D66A9C" w:rsidRPr="00D94538" w:rsidRDefault="00D66A9C" w:rsidP="00D66A9C">
      <w:pPr>
        <w:spacing w:line="240" w:lineRule="auto"/>
        <w:rPr>
          <w:szCs w:val="24"/>
        </w:rPr>
      </w:pPr>
      <w:r>
        <w:t xml:space="preserve">Genève, </w:t>
      </w:r>
      <w:r w:rsidRPr="00D94538">
        <w:rPr>
          <w:szCs w:val="24"/>
        </w:rPr>
        <w:t>30 mars-3 avril 2020</w:t>
      </w:r>
    </w:p>
    <w:p w14:paraId="6DB7E24E" w14:textId="77777777" w:rsidR="00D66A9C" w:rsidRPr="00D94538" w:rsidRDefault="00D66A9C" w:rsidP="00D66A9C">
      <w:pPr>
        <w:spacing w:line="240" w:lineRule="auto"/>
        <w:rPr>
          <w:szCs w:val="24"/>
        </w:rPr>
      </w:pPr>
      <w:r w:rsidRPr="00D94538">
        <w:rPr>
          <w:szCs w:val="24"/>
        </w:rPr>
        <w:t>Point 11 de l</w:t>
      </w:r>
      <w:r w:rsidR="00C256C5">
        <w:rPr>
          <w:szCs w:val="24"/>
        </w:rPr>
        <w:t>’</w:t>
      </w:r>
      <w:r w:rsidRPr="00D94538">
        <w:rPr>
          <w:szCs w:val="24"/>
        </w:rPr>
        <w:t>ordre du jour provisoire</w:t>
      </w:r>
    </w:p>
    <w:p w14:paraId="4271C6CB" w14:textId="77777777" w:rsidR="00F9573C" w:rsidRDefault="00D66A9C" w:rsidP="00D66A9C">
      <w:pPr>
        <w:spacing w:line="240" w:lineRule="exact"/>
        <w:rPr>
          <w:b/>
          <w:szCs w:val="24"/>
        </w:rPr>
      </w:pPr>
      <w:r w:rsidRPr="00D94538">
        <w:rPr>
          <w:b/>
          <w:szCs w:val="24"/>
        </w:rPr>
        <w:t xml:space="preserve">Règlement ONU </w:t>
      </w:r>
      <w:r w:rsidRPr="00D66A9C">
        <w:rPr>
          <w:rFonts w:eastAsia="MS Mincho"/>
          <w:b/>
          <w:szCs w:val="22"/>
        </w:rPr>
        <w:t>n</w:t>
      </w:r>
      <w:r w:rsidRPr="00D66A9C">
        <w:rPr>
          <w:rFonts w:eastAsia="MS Mincho"/>
          <w:b/>
          <w:szCs w:val="22"/>
          <w:vertAlign w:val="superscript"/>
        </w:rPr>
        <w:t>o</w:t>
      </w:r>
      <w:r>
        <w:rPr>
          <w:b/>
          <w:szCs w:val="24"/>
        </w:rPr>
        <w:t> </w:t>
      </w:r>
      <w:r w:rsidRPr="00D94538">
        <w:rPr>
          <w:b/>
          <w:szCs w:val="24"/>
        </w:rPr>
        <w:t>125 (Champ de vision du conducteur vers l</w:t>
      </w:r>
      <w:r w:rsidR="00C256C5">
        <w:rPr>
          <w:b/>
          <w:szCs w:val="24"/>
        </w:rPr>
        <w:t>’</w:t>
      </w:r>
      <w:r w:rsidRPr="00D94538">
        <w:rPr>
          <w:b/>
          <w:szCs w:val="24"/>
        </w:rPr>
        <w:t>avant)</w:t>
      </w:r>
    </w:p>
    <w:p w14:paraId="21E42859" w14:textId="6BF82B08" w:rsidR="00FD3B8B" w:rsidRPr="00D94538" w:rsidRDefault="00FD3B8B" w:rsidP="00FD3B8B">
      <w:pPr>
        <w:pStyle w:val="HChG"/>
      </w:pPr>
      <w:r w:rsidRPr="00D94538">
        <w:tab/>
      </w:r>
      <w:r w:rsidRPr="00D94538">
        <w:tab/>
      </w:r>
      <w:r w:rsidRPr="00FD3B8B">
        <w:t>Proposition</w:t>
      </w:r>
      <w:r w:rsidRPr="00D94538">
        <w:t xml:space="preserve"> de </w:t>
      </w:r>
      <w:bookmarkStart w:id="0" w:name="_Hlk31613822"/>
      <w:r w:rsidRPr="00D94538">
        <w:t>série 02 d</w:t>
      </w:r>
      <w:r w:rsidR="00C256C5">
        <w:t>’</w:t>
      </w:r>
      <w:r w:rsidRPr="00D94538">
        <w:t xml:space="preserve">amendements </w:t>
      </w:r>
      <w:r w:rsidR="00377C31">
        <w:br/>
      </w:r>
      <w:r w:rsidRPr="00D94538">
        <w:t xml:space="preserve">au Règlement </w:t>
      </w:r>
      <w:bookmarkStart w:id="1" w:name="_GoBack"/>
      <w:bookmarkEnd w:id="1"/>
      <w:r w:rsidRPr="00D94538">
        <w:t xml:space="preserve">ONU </w:t>
      </w:r>
      <w:r w:rsidR="00C07872" w:rsidRPr="002D76F4">
        <w:rPr>
          <w:rFonts w:eastAsia="MS Mincho"/>
          <w:szCs w:val="22"/>
        </w:rPr>
        <w:t>n</w:t>
      </w:r>
      <w:r w:rsidR="00C07872" w:rsidRPr="002D76F4">
        <w:rPr>
          <w:rFonts w:eastAsia="MS Mincho"/>
          <w:szCs w:val="22"/>
          <w:vertAlign w:val="superscript"/>
        </w:rPr>
        <w:t>o</w:t>
      </w:r>
      <w:r w:rsidR="00C07872">
        <w:t> </w:t>
      </w:r>
      <w:r w:rsidRPr="00D94538">
        <w:t>125</w:t>
      </w:r>
      <w:bookmarkEnd w:id="0"/>
    </w:p>
    <w:p w14:paraId="48ECA690" w14:textId="77777777" w:rsidR="00FD3B8B" w:rsidRPr="00C07872" w:rsidRDefault="00FD3B8B" w:rsidP="00C07872">
      <w:pPr>
        <w:pStyle w:val="H1G"/>
      </w:pPr>
      <w:r w:rsidRPr="00D94538">
        <w:tab/>
      </w:r>
      <w:r w:rsidRPr="00D94538">
        <w:tab/>
      </w:r>
      <w:r w:rsidRPr="00FD3B8B">
        <w:t>Communication</w:t>
      </w:r>
      <w:r w:rsidRPr="00D94538">
        <w:t xml:space="preserve"> de </w:t>
      </w:r>
      <w:bookmarkStart w:id="2" w:name="_Hlk31384537"/>
      <w:r w:rsidRPr="00D94538">
        <w:t>l</w:t>
      </w:r>
      <w:r w:rsidR="00C256C5">
        <w:t>’</w:t>
      </w:r>
      <w:r w:rsidRPr="00D94538">
        <w:t>expert de l</w:t>
      </w:r>
      <w:r w:rsidR="00C256C5">
        <w:t>’</w:t>
      </w:r>
      <w:r w:rsidRPr="00D94538">
        <w:t xml:space="preserve">Organisation internationale </w:t>
      </w:r>
      <w:r w:rsidR="00C07872">
        <w:br/>
      </w:r>
      <w:r w:rsidRPr="00D94538">
        <w:t>des constructeurs d</w:t>
      </w:r>
      <w:r w:rsidR="00C256C5">
        <w:t>’</w:t>
      </w:r>
      <w:r w:rsidRPr="00D94538">
        <w:t>automobiles</w:t>
      </w:r>
      <w:bookmarkEnd w:id="2"/>
      <w:r w:rsidRPr="00C07872">
        <w:rPr>
          <w:rStyle w:val="Appelnotedebasdep"/>
          <w:b w:val="0"/>
          <w:sz w:val="20"/>
          <w:vertAlign w:val="baseline"/>
          <w:lang w:val="fr-FR"/>
        </w:rPr>
        <w:footnoteReference w:customMarkFollows="1" w:id="2"/>
        <w:sym w:font="Symbol" w:char="F02A"/>
      </w:r>
    </w:p>
    <w:p w14:paraId="39BEC00C" w14:textId="77777777" w:rsidR="00160568" w:rsidRDefault="00FD3B8B" w:rsidP="00DD3163">
      <w:pPr>
        <w:pStyle w:val="SingleTxtG"/>
        <w:ind w:firstLine="567"/>
      </w:pPr>
      <w:r w:rsidRPr="00D94538">
        <w:t>Le texte ci-après, établi par l</w:t>
      </w:r>
      <w:r w:rsidR="00C256C5">
        <w:t>’</w:t>
      </w:r>
      <w:r w:rsidRPr="00D94538">
        <w:t>expert de l</w:t>
      </w:r>
      <w:r w:rsidR="00C256C5">
        <w:t>’</w:t>
      </w:r>
      <w:r w:rsidRPr="00D94538">
        <w:t>Organisation internationale des constructeurs d</w:t>
      </w:r>
      <w:r w:rsidR="00C256C5">
        <w:t>’</w:t>
      </w:r>
      <w:r w:rsidRPr="00D94538">
        <w:t xml:space="preserve">automobiles (OICA), vise à </w:t>
      </w:r>
      <w:r>
        <w:t xml:space="preserve">ajouter au Règlement </w:t>
      </w:r>
      <w:r w:rsidRPr="00D94538">
        <w:t xml:space="preserve">des dispositions relatives </w:t>
      </w:r>
      <w:r>
        <w:t xml:space="preserve">aux </w:t>
      </w:r>
      <w:r w:rsidRPr="00C07539">
        <w:t>dispositif</w:t>
      </w:r>
      <w:r>
        <w:t>s</w:t>
      </w:r>
      <w:r w:rsidRPr="00C07539">
        <w:t xml:space="preserve"> d</w:t>
      </w:r>
      <w:r w:rsidR="00C256C5">
        <w:t>’</w:t>
      </w:r>
      <w:r w:rsidRPr="00C07539">
        <w:t xml:space="preserve">assistance </w:t>
      </w:r>
      <w:r>
        <w:t>par affichage dans le</w:t>
      </w:r>
      <w:r w:rsidRPr="00D94538">
        <w:t xml:space="preserve"> champ de vision. Il est </w:t>
      </w:r>
      <w:r>
        <w:t>fondé</w:t>
      </w:r>
      <w:r w:rsidRPr="00D94538">
        <w:t xml:space="preserve"> sur le document informel GRSG-117-27. Les modifications qu</w:t>
      </w:r>
      <w:r w:rsidR="00C256C5">
        <w:t>’</w:t>
      </w:r>
      <w:r w:rsidRPr="00D94538">
        <w:t>il est proposé d</w:t>
      </w:r>
      <w:r w:rsidR="00C256C5">
        <w:t>’</w:t>
      </w:r>
      <w:r w:rsidRPr="00D94538">
        <w:t xml:space="preserve">apporter au texte actuel du Règlement ONU </w:t>
      </w:r>
      <w:r w:rsidR="00DD3163" w:rsidRPr="002D76F4">
        <w:rPr>
          <w:rFonts w:eastAsia="MS Mincho"/>
          <w:szCs w:val="22"/>
        </w:rPr>
        <w:t>n</w:t>
      </w:r>
      <w:r w:rsidR="00DD3163" w:rsidRPr="002D76F4">
        <w:rPr>
          <w:rFonts w:eastAsia="MS Mincho"/>
          <w:szCs w:val="22"/>
          <w:vertAlign w:val="superscript"/>
        </w:rPr>
        <w:t>o</w:t>
      </w:r>
      <w:r w:rsidR="00DD3163">
        <w:t> </w:t>
      </w:r>
      <w:r w:rsidRPr="00D94538">
        <w:t xml:space="preserve">125 figurent </w:t>
      </w:r>
      <w:r w:rsidRPr="00D94538">
        <w:rPr>
          <w:b/>
        </w:rPr>
        <w:t>en caractères gras</w:t>
      </w:r>
      <w:r w:rsidRPr="00D94538">
        <w:t>.</w:t>
      </w:r>
    </w:p>
    <w:p w14:paraId="65DA6F1D" w14:textId="77777777" w:rsidR="00FD3B8B" w:rsidRDefault="00160568" w:rsidP="00160568">
      <w:pPr>
        <w:pStyle w:val="HChG"/>
      </w:pPr>
      <w:r>
        <w:br w:type="page"/>
      </w:r>
      <w:r>
        <w:lastRenderedPageBreak/>
        <w:tab/>
      </w:r>
      <w:r>
        <w:tab/>
      </w:r>
      <w:r w:rsidRPr="00D94538">
        <w:t>Série 02 d</w:t>
      </w:r>
      <w:r w:rsidR="00C256C5">
        <w:t>’</w:t>
      </w:r>
      <w:r w:rsidRPr="00D94538">
        <w:t xml:space="preserve">amendements au Règlement ONU </w:t>
      </w:r>
      <w:r w:rsidRPr="00FF14E6">
        <w:t>n</w:t>
      </w:r>
      <w:r w:rsidRPr="00FF14E6">
        <w:rPr>
          <w:vertAlign w:val="superscript"/>
        </w:rPr>
        <w:t>o</w:t>
      </w:r>
      <w:r>
        <w:t> </w:t>
      </w:r>
      <w:r w:rsidRPr="00D94538">
        <w:t>125</w:t>
      </w:r>
    </w:p>
    <w:p w14:paraId="07E594D0" w14:textId="77777777" w:rsidR="00160568" w:rsidRPr="00D94538" w:rsidRDefault="00160568" w:rsidP="00160568">
      <w:pPr>
        <w:pStyle w:val="HChG"/>
      </w:pPr>
      <w:r>
        <w:tab/>
        <w:t>I.</w:t>
      </w:r>
      <w:r>
        <w:tab/>
      </w:r>
      <w:r w:rsidRPr="00160568">
        <w:t>Proposition</w:t>
      </w:r>
    </w:p>
    <w:p w14:paraId="0D8AAAE9" w14:textId="77777777" w:rsidR="00160568" w:rsidRPr="00D94538" w:rsidRDefault="00160568" w:rsidP="00160568">
      <w:pPr>
        <w:pStyle w:val="SingleTxtG"/>
      </w:pPr>
      <w:r w:rsidRPr="00D94538">
        <w:rPr>
          <w:i/>
        </w:rPr>
        <w:t>Après le paragraphe 2.</w:t>
      </w:r>
      <w:r w:rsidRPr="00A85E2A">
        <w:rPr>
          <w:i/>
        </w:rPr>
        <w:t>18</w:t>
      </w:r>
      <w:r w:rsidRPr="00A85E2A">
        <w:t>,</w:t>
      </w:r>
      <w:r w:rsidRPr="00D94538">
        <w:rPr>
          <w:i/>
        </w:rPr>
        <w:t xml:space="preserve"> </w:t>
      </w:r>
      <w:r w:rsidRPr="00D94538">
        <w:t>ajouter les nouveaux paragraphes 2.19 et 2.20</w:t>
      </w:r>
      <w:r>
        <w:t>, ainsi libellés</w:t>
      </w:r>
      <w:r>
        <w:t> </w:t>
      </w:r>
      <w:r w:rsidRPr="00D94538">
        <w:t>:</w:t>
      </w:r>
    </w:p>
    <w:p w14:paraId="1BCB5ABA" w14:textId="77777777" w:rsidR="00160568" w:rsidRPr="00661C9D" w:rsidRDefault="00160568" w:rsidP="00DA419D">
      <w:pPr>
        <w:pStyle w:val="SingleTxtG"/>
        <w:ind w:left="2268" w:hanging="1134"/>
        <w:rPr>
          <w:b/>
          <w:lang w:val="fr-FR"/>
        </w:rPr>
      </w:pPr>
      <w:r w:rsidRPr="00B933BD">
        <w:rPr>
          <w:lang w:val="fr-FR"/>
        </w:rPr>
        <w:t>« </w:t>
      </w:r>
      <w:r w:rsidRPr="00661C9D">
        <w:rPr>
          <w:b/>
          <w:lang w:val="fr-FR"/>
        </w:rPr>
        <w:t>2.19</w:t>
      </w:r>
      <w:r w:rsidRPr="00661C9D">
        <w:rPr>
          <w:b/>
          <w:lang w:val="fr-FR"/>
        </w:rPr>
        <w:tab/>
        <w:t xml:space="preserve">Par </w:t>
      </w:r>
      <w:r w:rsidR="00DA419D" w:rsidRPr="00661C9D">
        <w:rPr>
          <w:b/>
        </w:rPr>
        <w:t>“</w:t>
      </w:r>
      <w:r w:rsidRPr="00661C9D">
        <w:rPr>
          <w:b/>
          <w:lang w:val="fr-FR"/>
        </w:rPr>
        <w:t>affichage tête haute</w:t>
      </w:r>
      <w:r w:rsidR="00DA419D" w:rsidRPr="00661C9D">
        <w:rPr>
          <w:b/>
        </w:rPr>
        <w:t>”</w:t>
      </w:r>
      <w:r w:rsidRPr="00661C9D">
        <w:rPr>
          <w:b/>
          <w:lang w:val="fr-FR"/>
        </w:rPr>
        <w:t>, on entend un dispositif d</w:t>
      </w:r>
      <w:r w:rsidR="00C256C5">
        <w:rPr>
          <w:b/>
          <w:lang w:val="fr-FR"/>
        </w:rPr>
        <w:t>’</w:t>
      </w:r>
      <w:r w:rsidRPr="00661C9D">
        <w:rPr>
          <w:b/>
          <w:lang w:val="fr-FR"/>
        </w:rPr>
        <w:t>affichage d</w:t>
      </w:r>
      <w:r w:rsidR="00C256C5">
        <w:rPr>
          <w:b/>
          <w:lang w:val="fr-FR"/>
        </w:rPr>
        <w:t>’</w:t>
      </w:r>
      <w:r w:rsidRPr="00661C9D">
        <w:rPr>
          <w:b/>
          <w:lang w:val="fr-FR"/>
        </w:rPr>
        <w:t xml:space="preserve">informations visuelles dans la surface </w:t>
      </w:r>
      <w:r w:rsidR="00DA419D" w:rsidRPr="00661C9D">
        <w:rPr>
          <w:b/>
        </w:rPr>
        <w:t>“</w:t>
      </w:r>
      <w:r w:rsidRPr="00661C9D">
        <w:rPr>
          <w:b/>
          <w:lang w:val="fr-FR"/>
        </w:rPr>
        <w:t>S</w:t>
      </w:r>
      <w:r w:rsidR="00DA419D" w:rsidRPr="00661C9D">
        <w:rPr>
          <w:b/>
        </w:rPr>
        <w:t>”</w:t>
      </w:r>
      <w:r w:rsidRPr="00661C9D">
        <w:rPr>
          <w:b/>
          <w:lang w:val="fr-FR"/>
        </w:rPr>
        <w:t xml:space="preserve"> telle que définie au paragraphe 5.1.3.4.</w:t>
      </w:r>
    </w:p>
    <w:p w14:paraId="6364603E" w14:textId="77777777" w:rsidR="00160568" w:rsidRPr="00661C9D" w:rsidRDefault="00160568" w:rsidP="00DA419D">
      <w:pPr>
        <w:pStyle w:val="SingleTxtG"/>
        <w:ind w:left="2268" w:hanging="1134"/>
        <w:rPr>
          <w:b/>
          <w:lang w:val="fr-FR"/>
        </w:rPr>
      </w:pPr>
      <w:r w:rsidRPr="00661C9D">
        <w:rPr>
          <w:b/>
          <w:lang w:val="fr-FR"/>
        </w:rPr>
        <w:t>2.20</w:t>
      </w:r>
      <w:r w:rsidRPr="00661C9D">
        <w:rPr>
          <w:b/>
          <w:lang w:val="fr-FR"/>
        </w:rPr>
        <w:tab/>
        <w:t xml:space="preserve">Par </w:t>
      </w:r>
      <w:r w:rsidR="00661C9D" w:rsidRPr="00661C9D">
        <w:rPr>
          <w:b/>
        </w:rPr>
        <w:t>“</w:t>
      </w:r>
      <w:r w:rsidRPr="00661C9D">
        <w:rPr>
          <w:b/>
          <w:lang w:val="fr-FR"/>
        </w:rPr>
        <w:t>dispositif d</w:t>
      </w:r>
      <w:r w:rsidR="00C256C5">
        <w:rPr>
          <w:b/>
          <w:lang w:val="fr-FR"/>
        </w:rPr>
        <w:t>’</w:t>
      </w:r>
      <w:r w:rsidRPr="00661C9D">
        <w:rPr>
          <w:b/>
          <w:lang w:val="fr-FR"/>
        </w:rPr>
        <w:t>assistance par affichage dans le champ de vision</w:t>
      </w:r>
      <w:r w:rsidR="00661C9D" w:rsidRPr="00661C9D">
        <w:rPr>
          <w:b/>
        </w:rPr>
        <w:t>”</w:t>
      </w:r>
      <w:r w:rsidRPr="00661C9D">
        <w:rPr>
          <w:b/>
          <w:lang w:val="fr-FR"/>
        </w:rPr>
        <w:t>, on entend un dispositif, autre qu</w:t>
      </w:r>
      <w:r w:rsidR="00C256C5">
        <w:rPr>
          <w:b/>
          <w:lang w:val="fr-FR"/>
        </w:rPr>
        <w:t>’</w:t>
      </w:r>
      <w:r w:rsidRPr="00661C9D">
        <w:rPr>
          <w:b/>
          <w:lang w:val="fr-FR"/>
        </w:rPr>
        <w:t>un affichage tête haute, qui affiche des informations visuelles dans la partie transparente afin d</w:t>
      </w:r>
      <w:r w:rsidR="00C256C5">
        <w:rPr>
          <w:b/>
          <w:lang w:val="fr-FR"/>
        </w:rPr>
        <w:t>’</w:t>
      </w:r>
      <w:r w:rsidRPr="00661C9D">
        <w:rPr>
          <w:b/>
          <w:lang w:val="fr-FR"/>
        </w:rPr>
        <w:t>améliorer la vigilance du conducteur dans certaines situations de conduite. </w:t>
      </w:r>
      <w:r w:rsidRPr="00B933BD">
        <w:rPr>
          <w:lang w:val="fr-FR"/>
        </w:rPr>
        <w:t>»</w:t>
      </w:r>
      <w:r w:rsidR="00661C9D" w:rsidRPr="00B933BD">
        <w:rPr>
          <w:lang w:val="fr-FR"/>
        </w:rPr>
        <w:t>.</w:t>
      </w:r>
    </w:p>
    <w:p w14:paraId="1CCD2017" w14:textId="77777777" w:rsidR="00160568" w:rsidRPr="00D94538" w:rsidRDefault="00160568" w:rsidP="00160568">
      <w:pPr>
        <w:pStyle w:val="SingleTxtG"/>
        <w:spacing w:line="240" w:lineRule="auto"/>
        <w:ind w:left="1287" w:hanging="153"/>
        <w:rPr>
          <w:bCs/>
          <w:szCs w:val="24"/>
        </w:rPr>
      </w:pPr>
      <w:r w:rsidRPr="00D94538">
        <w:rPr>
          <w:bCs/>
          <w:i/>
          <w:iCs/>
          <w:szCs w:val="24"/>
        </w:rPr>
        <w:t>Après le</w:t>
      </w:r>
      <w:r w:rsidRPr="00D94538">
        <w:rPr>
          <w:bCs/>
          <w:szCs w:val="24"/>
        </w:rPr>
        <w:t xml:space="preserve"> </w:t>
      </w:r>
      <w:r w:rsidRPr="00D94538">
        <w:rPr>
          <w:bCs/>
          <w:i/>
          <w:szCs w:val="24"/>
        </w:rPr>
        <w:t>paragraphe 5.1.3.4.2</w:t>
      </w:r>
      <w:r w:rsidRPr="00661C9D">
        <w:rPr>
          <w:bCs/>
          <w:szCs w:val="24"/>
        </w:rPr>
        <w:t>,</w:t>
      </w:r>
      <w:r w:rsidRPr="00D94538">
        <w:rPr>
          <w:bCs/>
          <w:i/>
          <w:szCs w:val="24"/>
        </w:rPr>
        <w:t xml:space="preserve"> </w:t>
      </w:r>
      <w:r w:rsidRPr="00D94538">
        <w:rPr>
          <w:bCs/>
          <w:iCs/>
          <w:szCs w:val="24"/>
        </w:rPr>
        <w:t>ajouter le nouveau paragraphe 5.1.3.5</w:t>
      </w:r>
      <w:r w:rsidR="00661C9D">
        <w:rPr>
          <w:bCs/>
          <w:iCs/>
          <w:szCs w:val="24"/>
        </w:rPr>
        <w:t> </w:t>
      </w:r>
      <w:r w:rsidRPr="00D94538">
        <w:rPr>
          <w:bCs/>
          <w:szCs w:val="24"/>
        </w:rPr>
        <w:t>:</w:t>
      </w:r>
    </w:p>
    <w:p w14:paraId="0454C59C" w14:textId="77777777" w:rsidR="00160568" w:rsidRPr="00661C9D" w:rsidRDefault="00160568" w:rsidP="00661C9D">
      <w:pPr>
        <w:pStyle w:val="SingleTxtG"/>
        <w:ind w:left="2268" w:hanging="1134"/>
        <w:rPr>
          <w:b/>
          <w:lang w:val="fr-FR"/>
        </w:rPr>
      </w:pPr>
      <w:r w:rsidRPr="00B933BD">
        <w:rPr>
          <w:lang w:val="fr-FR"/>
        </w:rPr>
        <w:t>« </w:t>
      </w:r>
      <w:r w:rsidRPr="00661C9D">
        <w:rPr>
          <w:b/>
          <w:lang w:val="fr-FR"/>
        </w:rPr>
        <w:t>5.1.3.5</w:t>
      </w:r>
      <w:r w:rsidRPr="00661C9D">
        <w:rPr>
          <w:b/>
          <w:lang w:val="fr-FR"/>
        </w:rPr>
        <w:tab/>
        <w:t>Les informations fournies par le dispositif d</w:t>
      </w:r>
      <w:r w:rsidR="00C256C5">
        <w:rPr>
          <w:b/>
          <w:lang w:val="fr-FR"/>
        </w:rPr>
        <w:t>’</w:t>
      </w:r>
      <w:r w:rsidRPr="00661C9D">
        <w:rPr>
          <w:b/>
          <w:lang w:val="fr-FR"/>
        </w:rPr>
        <w:t>assistance par affichage dans le champ de vision peuvent se superposer dans la partie transparente au sens du paragraphe</w:t>
      </w:r>
      <w:r w:rsidR="00A85E2A">
        <w:rPr>
          <w:b/>
          <w:lang w:val="fr-FR"/>
        </w:rPr>
        <w:t> </w:t>
      </w:r>
      <w:r w:rsidRPr="00661C9D">
        <w:rPr>
          <w:b/>
          <w:lang w:val="fr-FR"/>
        </w:rPr>
        <w:t>5.1.1. Il ne peut s</w:t>
      </w:r>
      <w:r w:rsidR="00C256C5">
        <w:rPr>
          <w:b/>
          <w:lang w:val="fr-FR"/>
        </w:rPr>
        <w:t>’</w:t>
      </w:r>
      <w:r w:rsidRPr="00661C9D">
        <w:rPr>
          <w:b/>
          <w:lang w:val="fr-FR"/>
        </w:rPr>
        <w:t>agir que d</w:t>
      </w:r>
      <w:r w:rsidR="00C256C5">
        <w:rPr>
          <w:b/>
          <w:lang w:val="fr-FR"/>
        </w:rPr>
        <w:t>’</w:t>
      </w:r>
      <w:r w:rsidRPr="00661C9D">
        <w:rPr>
          <w:b/>
          <w:lang w:val="fr-FR"/>
        </w:rPr>
        <w:t>informations relatives à la conduite et permettant :</w:t>
      </w:r>
    </w:p>
    <w:p w14:paraId="432DAE70" w14:textId="77777777" w:rsidR="00160568" w:rsidRPr="00A85E2A" w:rsidRDefault="00160568" w:rsidP="00A85E2A">
      <w:pPr>
        <w:pStyle w:val="SingleTxtG"/>
        <w:ind w:left="2835" w:hanging="567"/>
        <w:rPr>
          <w:b/>
          <w:lang w:val="fr-FR"/>
        </w:rPr>
      </w:pPr>
      <w:r w:rsidRPr="00A85E2A">
        <w:rPr>
          <w:b/>
          <w:lang w:val="fr-FR"/>
        </w:rPr>
        <w:t>a)</w:t>
      </w:r>
      <w:r w:rsidRPr="00A85E2A">
        <w:rPr>
          <w:b/>
          <w:lang w:val="fr-FR"/>
        </w:rPr>
        <w:tab/>
      </w:r>
      <w:bookmarkStart w:id="3" w:name="_Hlk31616889"/>
      <w:r w:rsidRPr="00A85E2A">
        <w:rPr>
          <w:b/>
          <w:lang w:val="fr-FR"/>
        </w:rPr>
        <w:t>D</w:t>
      </w:r>
      <w:r w:rsidR="00C256C5">
        <w:rPr>
          <w:b/>
          <w:lang w:val="fr-FR"/>
        </w:rPr>
        <w:t>’</w:t>
      </w:r>
      <w:r w:rsidRPr="00A85E2A">
        <w:rPr>
          <w:b/>
          <w:lang w:val="fr-FR"/>
        </w:rPr>
        <w:t>avertir le conducteur de l</w:t>
      </w:r>
      <w:r w:rsidR="00C256C5">
        <w:rPr>
          <w:b/>
          <w:lang w:val="fr-FR"/>
        </w:rPr>
        <w:t>’</w:t>
      </w:r>
      <w:r w:rsidRPr="00A85E2A">
        <w:rPr>
          <w:b/>
          <w:lang w:val="fr-FR"/>
        </w:rPr>
        <w:t>existence d</w:t>
      </w:r>
      <w:r w:rsidR="00C256C5">
        <w:rPr>
          <w:b/>
          <w:lang w:val="fr-FR"/>
        </w:rPr>
        <w:t>’</w:t>
      </w:r>
      <w:r w:rsidRPr="00A85E2A">
        <w:rPr>
          <w:b/>
          <w:lang w:val="fr-FR"/>
        </w:rPr>
        <w:t>une situation dangereuse liée à la circulation, ou de la mettre en relief </w:t>
      </w:r>
      <w:bookmarkEnd w:id="3"/>
      <w:r w:rsidRPr="00A85E2A">
        <w:rPr>
          <w:b/>
          <w:lang w:val="fr-FR"/>
        </w:rPr>
        <w:t>;</w:t>
      </w:r>
    </w:p>
    <w:p w14:paraId="4A89E471" w14:textId="77777777" w:rsidR="00160568" w:rsidRPr="00A85E2A" w:rsidRDefault="00160568" w:rsidP="00A85E2A">
      <w:pPr>
        <w:pStyle w:val="SingleTxtG"/>
        <w:ind w:left="2835" w:hanging="567"/>
        <w:rPr>
          <w:b/>
          <w:lang w:val="fr-FR"/>
        </w:rPr>
      </w:pPr>
      <w:r w:rsidRPr="00A85E2A">
        <w:rPr>
          <w:b/>
          <w:lang w:val="fr-FR"/>
        </w:rPr>
        <w:t>b)</w:t>
      </w:r>
      <w:r w:rsidRPr="00A85E2A">
        <w:rPr>
          <w:b/>
          <w:lang w:val="fr-FR"/>
        </w:rPr>
        <w:tab/>
        <w:t>D</w:t>
      </w:r>
      <w:r w:rsidR="00C256C5">
        <w:rPr>
          <w:b/>
          <w:lang w:val="fr-FR"/>
        </w:rPr>
        <w:t>’</w:t>
      </w:r>
      <w:r w:rsidRPr="00A85E2A">
        <w:rPr>
          <w:b/>
          <w:lang w:val="fr-FR"/>
        </w:rPr>
        <w:t>avertir le conducteur de la présence d</w:t>
      </w:r>
      <w:r w:rsidR="00C256C5">
        <w:rPr>
          <w:b/>
          <w:lang w:val="fr-FR"/>
        </w:rPr>
        <w:t>’</w:t>
      </w:r>
      <w:r w:rsidRPr="00A85E2A">
        <w:rPr>
          <w:b/>
          <w:lang w:val="fr-FR"/>
        </w:rPr>
        <w:t>usagers de la route vulnérables ou autres qui auraient pu échapper à sa vigilance, ou de les mettre en évidence ;</w:t>
      </w:r>
    </w:p>
    <w:p w14:paraId="270D9027" w14:textId="77777777" w:rsidR="00160568" w:rsidRPr="00A85E2A" w:rsidRDefault="00160568" w:rsidP="00A85E2A">
      <w:pPr>
        <w:pStyle w:val="SingleTxtG"/>
        <w:ind w:left="2835" w:hanging="567"/>
        <w:rPr>
          <w:b/>
          <w:lang w:val="fr-FR"/>
        </w:rPr>
      </w:pPr>
      <w:r w:rsidRPr="00A85E2A">
        <w:rPr>
          <w:b/>
          <w:lang w:val="fr-FR"/>
        </w:rPr>
        <w:t>c)</w:t>
      </w:r>
      <w:r w:rsidRPr="00A85E2A">
        <w:rPr>
          <w:b/>
          <w:lang w:val="fr-FR"/>
        </w:rPr>
        <w:tab/>
        <w:t>De donner au conducteur des informations en vue du maintien des distances par rapport aux usagers de la route environnants ;</w:t>
      </w:r>
    </w:p>
    <w:p w14:paraId="4E5FFE7C" w14:textId="77777777" w:rsidR="00160568" w:rsidRPr="00A85E2A" w:rsidRDefault="00160568" w:rsidP="00A85E2A">
      <w:pPr>
        <w:pStyle w:val="SingleTxtG"/>
        <w:ind w:left="2835" w:hanging="567"/>
        <w:rPr>
          <w:b/>
          <w:lang w:val="fr-FR"/>
        </w:rPr>
      </w:pPr>
      <w:r w:rsidRPr="00A85E2A">
        <w:rPr>
          <w:b/>
          <w:lang w:val="fr-FR"/>
        </w:rPr>
        <w:t>d)</w:t>
      </w:r>
      <w:r w:rsidRPr="00A85E2A">
        <w:rPr>
          <w:b/>
          <w:lang w:val="fr-FR"/>
        </w:rPr>
        <w:tab/>
        <w:t>De donner au conducteur des informations lui permettant de trouver la bonne voie de circulation et de s</w:t>
      </w:r>
      <w:r w:rsidR="00C256C5">
        <w:rPr>
          <w:b/>
          <w:lang w:val="fr-FR"/>
        </w:rPr>
        <w:t>’</w:t>
      </w:r>
      <w:r w:rsidRPr="00A85E2A">
        <w:rPr>
          <w:b/>
          <w:lang w:val="fr-FR"/>
        </w:rPr>
        <w:t>y maintenir.</w:t>
      </w:r>
    </w:p>
    <w:p w14:paraId="53B2BE7A" w14:textId="77777777" w:rsidR="00160568" w:rsidRPr="00A85E2A" w:rsidRDefault="00160568" w:rsidP="00A85E2A">
      <w:pPr>
        <w:pStyle w:val="SingleTxtG"/>
        <w:ind w:left="2268"/>
        <w:rPr>
          <w:b/>
          <w:lang w:val="fr-FR"/>
        </w:rPr>
      </w:pPr>
      <w:r w:rsidRPr="00A85E2A">
        <w:rPr>
          <w:b/>
          <w:lang w:val="fr-FR"/>
        </w:rPr>
        <w:t>D</w:t>
      </w:r>
      <w:r w:rsidR="00C256C5">
        <w:rPr>
          <w:b/>
          <w:lang w:val="fr-FR"/>
        </w:rPr>
        <w:t>’</w:t>
      </w:r>
      <w:r w:rsidRPr="00A85E2A">
        <w:rPr>
          <w:b/>
          <w:lang w:val="fr-FR"/>
        </w:rPr>
        <w:t>autres informations pourront être fournies après accord entre le constructeur et les services techniques ou l</w:t>
      </w:r>
      <w:r w:rsidR="00C256C5">
        <w:rPr>
          <w:b/>
          <w:lang w:val="fr-FR"/>
        </w:rPr>
        <w:t>’</w:t>
      </w:r>
      <w:r w:rsidRPr="00A85E2A">
        <w:rPr>
          <w:b/>
          <w:lang w:val="fr-FR"/>
        </w:rPr>
        <w:t>autorité d</w:t>
      </w:r>
      <w:r w:rsidR="00C256C5">
        <w:rPr>
          <w:b/>
          <w:lang w:val="fr-FR"/>
        </w:rPr>
        <w:t>’</w:t>
      </w:r>
      <w:r w:rsidRPr="00A85E2A">
        <w:rPr>
          <w:b/>
          <w:lang w:val="fr-FR"/>
        </w:rPr>
        <w:t>homologation de type.</w:t>
      </w:r>
    </w:p>
    <w:p w14:paraId="0B422996" w14:textId="77777777" w:rsidR="00160568" w:rsidRPr="00A85E2A" w:rsidRDefault="00160568" w:rsidP="00A85E2A">
      <w:pPr>
        <w:pStyle w:val="SingleTxtG"/>
        <w:ind w:left="2268"/>
        <w:rPr>
          <w:b/>
          <w:lang w:val="fr-FR"/>
        </w:rPr>
      </w:pPr>
      <w:r w:rsidRPr="00A85E2A">
        <w:rPr>
          <w:b/>
          <w:lang w:val="fr-FR"/>
        </w:rPr>
        <w:t>On trouvera à l</w:t>
      </w:r>
      <w:r w:rsidR="00C256C5">
        <w:rPr>
          <w:b/>
          <w:lang w:val="fr-FR"/>
        </w:rPr>
        <w:t>’</w:t>
      </w:r>
      <w:r w:rsidRPr="00A85E2A">
        <w:rPr>
          <w:b/>
          <w:lang w:val="fr-FR"/>
        </w:rPr>
        <w:t>annexe</w:t>
      </w:r>
      <w:r w:rsidR="00A85E2A">
        <w:rPr>
          <w:b/>
          <w:lang w:val="fr-FR"/>
        </w:rPr>
        <w:t> </w:t>
      </w:r>
      <w:r w:rsidRPr="00A85E2A">
        <w:rPr>
          <w:b/>
          <w:lang w:val="fr-FR"/>
        </w:rPr>
        <w:t>5 différents exemples des types d</w:t>
      </w:r>
      <w:r w:rsidR="00C256C5">
        <w:rPr>
          <w:b/>
          <w:lang w:val="fr-FR"/>
        </w:rPr>
        <w:t>’</w:t>
      </w:r>
      <w:r w:rsidRPr="00A85E2A">
        <w:rPr>
          <w:b/>
          <w:lang w:val="fr-FR"/>
        </w:rPr>
        <w:t>avertissements, de mises en évidence ou d</w:t>
      </w:r>
      <w:r w:rsidR="00C256C5">
        <w:rPr>
          <w:b/>
          <w:lang w:val="fr-FR"/>
        </w:rPr>
        <w:t>’</w:t>
      </w:r>
      <w:r w:rsidRPr="00A85E2A">
        <w:rPr>
          <w:b/>
          <w:lang w:val="fr-FR"/>
        </w:rPr>
        <w:t>informations mentionnés ci-dessus.</w:t>
      </w:r>
    </w:p>
    <w:p w14:paraId="04421C1D" w14:textId="77777777" w:rsidR="00160568" w:rsidRPr="00661C9D" w:rsidRDefault="00160568" w:rsidP="00661C9D">
      <w:pPr>
        <w:pStyle w:val="SingleTxtG"/>
        <w:ind w:left="2268" w:hanging="1134"/>
        <w:rPr>
          <w:b/>
          <w:lang w:val="fr-FR"/>
        </w:rPr>
      </w:pPr>
      <w:r w:rsidRPr="00661C9D">
        <w:rPr>
          <w:b/>
          <w:lang w:val="fr-FR"/>
        </w:rPr>
        <w:t>5.1.3.5.1</w:t>
      </w:r>
      <w:r w:rsidRPr="00661C9D">
        <w:rPr>
          <w:b/>
          <w:lang w:val="fr-FR"/>
        </w:rPr>
        <w:tab/>
        <w:t>Les symboles et les éléments graphiques présentés par le dispositif d</w:t>
      </w:r>
      <w:r w:rsidR="00C256C5">
        <w:rPr>
          <w:b/>
          <w:lang w:val="fr-FR"/>
        </w:rPr>
        <w:t>’</w:t>
      </w:r>
      <w:r w:rsidRPr="00661C9D">
        <w:rPr>
          <w:b/>
          <w:lang w:val="fr-FR"/>
        </w:rPr>
        <w:t>assistance par affichage dans le champ de vision doivent disparaître dès que cesse la situation de conduite correspondante décrite ci-dessus.</w:t>
      </w:r>
    </w:p>
    <w:p w14:paraId="773D35FC" w14:textId="77777777" w:rsidR="00160568" w:rsidRPr="00661C9D" w:rsidRDefault="00160568" w:rsidP="00661C9D">
      <w:pPr>
        <w:pStyle w:val="SingleTxtG"/>
        <w:ind w:left="2268" w:hanging="1134"/>
        <w:rPr>
          <w:b/>
          <w:lang w:val="fr-FR"/>
        </w:rPr>
      </w:pPr>
      <w:r w:rsidRPr="00661C9D">
        <w:rPr>
          <w:b/>
          <w:lang w:val="fr-FR"/>
        </w:rPr>
        <w:t>5.1.3.5.2</w:t>
      </w:r>
      <w:r w:rsidRPr="00661C9D">
        <w:rPr>
          <w:b/>
          <w:lang w:val="fr-FR"/>
        </w:rPr>
        <w:tab/>
        <w:t>Le dispositif d</w:t>
      </w:r>
      <w:r w:rsidR="00C256C5">
        <w:rPr>
          <w:b/>
          <w:lang w:val="fr-FR"/>
        </w:rPr>
        <w:t>’</w:t>
      </w:r>
      <w:r w:rsidRPr="00661C9D">
        <w:rPr>
          <w:b/>
          <w:lang w:val="fr-FR"/>
        </w:rPr>
        <w:t>assistance par affichage dans le champ de vision doit souligner des éléments de la vue réelle, sans les occulter.</w:t>
      </w:r>
    </w:p>
    <w:p w14:paraId="024D0042" w14:textId="77777777" w:rsidR="00160568" w:rsidRPr="00661C9D" w:rsidRDefault="00160568" w:rsidP="00661C9D">
      <w:pPr>
        <w:pStyle w:val="SingleTxtG"/>
        <w:ind w:left="2268" w:hanging="1134"/>
        <w:rPr>
          <w:b/>
          <w:lang w:val="fr-FR"/>
        </w:rPr>
      </w:pPr>
      <w:r w:rsidRPr="00661C9D">
        <w:rPr>
          <w:b/>
          <w:lang w:val="fr-FR"/>
        </w:rPr>
        <w:t>5.1.3.5.3</w:t>
      </w:r>
      <w:r w:rsidRPr="00661C9D">
        <w:rPr>
          <w:b/>
          <w:lang w:val="fr-FR"/>
        </w:rPr>
        <w:tab/>
        <w:t>Le conducteur doit pouvoir régler l</w:t>
      </w:r>
      <w:r w:rsidR="00C256C5">
        <w:rPr>
          <w:b/>
          <w:lang w:val="fr-FR"/>
        </w:rPr>
        <w:t>’</w:t>
      </w:r>
      <w:r w:rsidRPr="00661C9D">
        <w:rPr>
          <w:b/>
          <w:lang w:val="fr-FR"/>
        </w:rPr>
        <w:t>intensité lumineuse du dispositif d</w:t>
      </w:r>
      <w:r w:rsidR="00C256C5">
        <w:rPr>
          <w:b/>
          <w:lang w:val="fr-FR"/>
        </w:rPr>
        <w:t>’</w:t>
      </w:r>
      <w:r w:rsidRPr="00661C9D">
        <w:rPr>
          <w:b/>
          <w:lang w:val="fr-FR"/>
        </w:rPr>
        <w:t>assistance par affichage dans le champ de vision, ou éteindre ledit dispositif. </w:t>
      </w:r>
      <w:r w:rsidRPr="00E01C39">
        <w:rPr>
          <w:lang w:val="fr-FR"/>
        </w:rPr>
        <w:t>»</w:t>
      </w:r>
      <w:r w:rsidR="00A85E2A" w:rsidRPr="00E01C39">
        <w:rPr>
          <w:lang w:val="fr-FR"/>
        </w:rPr>
        <w:t>.</w:t>
      </w:r>
    </w:p>
    <w:p w14:paraId="5F0F9341" w14:textId="77777777" w:rsidR="00160568" w:rsidRPr="00D94538" w:rsidRDefault="00160568" w:rsidP="00A85E2A">
      <w:pPr>
        <w:pStyle w:val="SingleTxtG"/>
        <w:rPr>
          <w:lang w:val="fr-FR"/>
        </w:rPr>
      </w:pPr>
      <w:r w:rsidRPr="00A85E2A">
        <w:rPr>
          <w:i/>
          <w:lang w:val="fr-FR"/>
        </w:rPr>
        <w:t>Paragraphe 12</w:t>
      </w:r>
      <w:r w:rsidRPr="00D94538">
        <w:rPr>
          <w:lang w:val="fr-FR"/>
        </w:rPr>
        <w:t>, lire :</w:t>
      </w:r>
    </w:p>
    <w:p w14:paraId="7391160E" w14:textId="77777777" w:rsidR="00160568" w:rsidRPr="00661C9D" w:rsidRDefault="00160568" w:rsidP="00C10D64">
      <w:pPr>
        <w:pStyle w:val="HChG"/>
        <w:ind w:left="2268"/>
        <w:rPr>
          <w:lang w:val="fr-FR"/>
        </w:rPr>
      </w:pPr>
      <w:r w:rsidRPr="00661C9D">
        <w:rPr>
          <w:lang w:val="fr-FR"/>
        </w:rPr>
        <w:t>12.</w:t>
      </w:r>
      <w:r w:rsidRPr="00661C9D">
        <w:rPr>
          <w:lang w:val="fr-FR"/>
        </w:rPr>
        <w:tab/>
        <w:t>Dispositions transitoires</w:t>
      </w:r>
    </w:p>
    <w:p w14:paraId="20080814" w14:textId="77777777" w:rsidR="00160568" w:rsidRPr="005C6C82" w:rsidRDefault="00160568" w:rsidP="00661C9D">
      <w:pPr>
        <w:pStyle w:val="SingleTxtG"/>
        <w:ind w:left="2268" w:hanging="1134"/>
        <w:rPr>
          <w:lang w:val="fr-FR"/>
        </w:rPr>
      </w:pPr>
      <w:r w:rsidRPr="005C6C82">
        <w:rPr>
          <w:lang w:val="fr-FR"/>
        </w:rPr>
        <w:t>12.1</w:t>
      </w:r>
      <w:r w:rsidRPr="005C6C82">
        <w:rPr>
          <w:lang w:val="fr-FR"/>
        </w:rPr>
        <w:tab/>
        <w:t>À compter de la date officielle d</w:t>
      </w:r>
      <w:r w:rsidR="00C256C5">
        <w:rPr>
          <w:lang w:val="fr-FR"/>
        </w:rPr>
        <w:t>’</w:t>
      </w:r>
      <w:r w:rsidRPr="005C6C82">
        <w:rPr>
          <w:lang w:val="fr-FR"/>
        </w:rPr>
        <w:t>entrée en vigueur de la série </w:t>
      </w:r>
      <w:r w:rsidRPr="005C6C82">
        <w:rPr>
          <w:b/>
          <w:lang w:val="fr-FR"/>
        </w:rPr>
        <w:t>02</w:t>
      </w:r>
      <w:r w:rsidRPr="005C6C82">
        <w:rPr>
          <w:lang w:val="fr-FR"/>
        </w:rPr>
        <w:t xml:space="preserve"> d</w:t>
      </w:r>
      <w:r w:rsidR="00C256C5">
        <w:rPr>
          <w:lang w:val="fr-FR"/>
        </w:rPr>
        <w:t>’</w:t>
      </w:r>
      <w:r w:rsidRPr="005C6C82">
        <w:rPr>
          <w:lang w:val="fr-FR"/>
        </w:rPr>
        <w:t>amendements, aucune Partie contractante appliquant le présent Règlement ne pourra refuser d</w:t>
      </w:r>
      <w:r w:rsidR="00C256C5">
        <w:rPr>
          <w:lang w:val="fr-FR"/>
        </w:rPr>
        <w:t>’</w:t>
      </w:r>
      <w:r w:rsidRPr="005C6C82">
        <w:rPr>
          <w:lang w:val="fr-FR"/>
        </w:rPr>
        <w:t>accorder une homologation en vertu du présent Règlement tel que modifié par la série </w:t>
      </w:r>
      <w:r w:rsidRPr="005C6C82">
        <w:rPr>
          <w:b/>
          <w:lang w:val="fr-FR"/>
        </w:rPr>
        <w:t>02</w:t>
      </w:r>
      <w:r w:rsidRPr="005C6C82">
        <w:rPr>
          <w:lang w:val="fr-FR"/>
        </w:rPr>
        <w:t xml:space="preserve"> d</w:t>
      </w:r>
      <w:r w:rsidR="00C256C5">
        <w:rPr>
          <w:lang w:val="fr-FR"/>
        </w:rPr>
        <w:t>’</w:t>
      </w:r>
      <w:r w:rsidRPr="005C6C82">
        <w:rPr>
          <w:lang w:val="fr-FR"/>
        </w:rPr>
        <w:t>amendements.</w:t>
      </w:r>
    </w:p>
    <w:p w14:paraId="6F2ABDCE" w14:textId="77777777" w:rsidR="00160568" w:rsidRPr="005C6C82" w:rsidRDefault="00160568" w:rsidP="00661C9D">
      <w:pPr>
        <w:pStyle w:val="SingleTxtG"/>
        <w:ind w:left="2268" w:hanging="1134"/>
        <w:rPr>
          <w:lang w:val="fr-FR"/>
        </w:rPr>
      </w:pPr>
      <w:r w:rsidRPr="005C6C82">
        <w:rPr>
          <w:lang w:val="fr-FR"/>
        </w:rPr>
        <w:t>12.2</w:t>
      </w:r>
      <w:r w:rsidRPr="005C6C82">
        <w:rPr>
          <w:lang w:val="fr-FR"/>
        </w:rPr>
        <w:tab/>
        <w:t>Passé un délai de 24 mois après la date d</w:t>
      </w:r>
      <w:r w:rsidR="00C256C5">
        <w:rPr>
          <w:lang w:val="fr-FR"/>
        </w:rPr>
        <w:t>’</w:t>
      </w:r>
      <w:r w:rsidRPr="005C6C82">
        <w:rPr>
          <w:lang w:val="fr-FR"/>
        </w:rPr>
        <w:t>entrée en vigueur de la série </w:t>
      </w:r>
      <w:r w:rsidRPr="005C6C82">
        <w:rPr>
          <w:b/>
          <w:lang w:val="fr-FR"/>
        </w:rPr>
        <w:t>02</w:t>
      </w:r>
      <w:r w:rsidRPr="005C6C82">
        <w:rPr>
          <w:lang w:val="fr-FR"/>
        </w:rPr>
        <w:t xml:space="preserve"> d</w:t>
      </w:r>
      <w:r w:rsidR="00C256C5">
        <w:rPr>
          <w:lang w:val="fr-FR"/>
        </w:rPr>
        <w:t>’</w:t>
      </w:r>
      <w:r w:rsidRPr="005C6C82">
        <w:rPr>
          <w:lang w:val="fr-FR"/>
        </w:rPr>
        <w:t xml:space="preserve">amendements au présent Règlement, les Parties contractantes appliquant </w:t>
      </w:r>
      <w:r w:rsidRPr="005C6C82">
        <w:rPr>
          <w:lang w:val="fr-FR"/>
        </w:rPr>
        <w:lastRenderedPageBreak/>
        <w:t>ledit Règlement ne pourront accorder d</w:t>
      </w:r>
      <w:r w:rsidR="00C256C5">
        <w:rPr>
          <w:lang w:val="fr-FR"/>
        </w:rPr>
        <w:t>’</w:t>
      </w:r>
      <w:r w:rsidRPr="005C6C82">
        <w:rPr>
          <w:lang w:val="fr-FR"/>
        </w:rPr>
        <w:t>homologation que si le type de véhicule à homologuer satisfait aux prescriptions du présent Règlement tel que modifié par la série </w:t>
      </w:r>
      <w:r w:rsidRPr="005C6C82">
        <w:rPr>
          <w:b/>
          <w:lang w:val="fr-FR"/>
        </w:rPr>
        <w:t>02</w:t>
      </w:r>
      <w:r w:rsidRPr="005C6C82">
        <w:rPr>
          <w:lang w:val="fr-FR"/>
        </w:rPr>
        <w:t xml:space="preserve"> d</w:t>
      </w:r>
      <w:r w:rsidR="00C256C5">
        <w:rPr>
          <w:lang w:val="fr-FR"/>
        </w:rPr>
        <w:t>’</w:t>
      </w:r>
      <w:r w:rsidRPr="005C6C82">
        <w:rPr>
          <w:lang w:val="fr-FR"/>
        </w:rPr>
        <w:t>amendements.</w:t>
      </w:r>
    </w:p>
    <w:p w14:paraId="55C0802B" w14:textId="77777777" w:rsidR="00160568" w:rsidRPr="005C6C82" w:rsidRDefault="00160568" w:rsidP="00661C9D">
      <w:pPr>
        <w:pStyle w:val="SingleTxtG"/>
        <w:ind w:left="2268" w:hanging="1134"/>
        <w:rPr>
          <w:lang w:val="fr-FR"/>
        </w:rPr>
      </w:pPr>
      <w:r w:rsidRPr="005C6C82">
        <w:rPr>
          <w:lang w:val="fr-FR"/>
        </w:rPr>
        <w:t>12.3</w:t>
      </w:r>
      <w:r w:rsidRPr="005C6C82">
        <w:rPr>
          <w:lang w:val="fr-FR"/>
        </w:rPr>
        <w:tab/>
        <w:t>Les Parties contractantes appliquant le présent Règlement ne pourront refuser d</w:t>
      </w:r>
      <w:r w:rsidR="00C256C5">
        <w:rPr>
          <w:lang w:val="fr-FR"/>
        </w:rPr>
        <w:t>’</w:t>
      </w:r>
      <w:r w:rsidRPr="005C6C82">
        <w:rPr>
          <w:lang w:val="fr-FR"/>
        </w:rPr>
        <w:t>accorder une extension pour une homologation de type accordée conformément à la précédente série d</w:t>
      </w:r>
      <w:r w:rsidR="00C256C5">
        <w:rPr>
          <w:lang w:val="fr-FR"/>
        </w:rPr>
        <w:t>’</w:t>
      </w:r>
      <w:r w:rsidRPr="005C6C82">
        <w:rPr>
          <w:lang w:val="fr-FR"/>
        </w:rPr>
        <w:t>amendements au présent Règlement.</w:t>
      </w:r>
    </w:p>
    <w:p w14:paraId="5501E708" w14:textId="77777777" w:rsidR="00160568" w:rsidRPr="005C6C82" w:rsidRDefault="00160568" w:rsidP="00661C9D">
      <w:pPr>
        <w:pStyle w:val="SingleTxtG"/>
        <w:ind w:left="2268" w:hanging="1134"/>
        <w:rPr>
          <w:lang w:val="fr-FR"/>
        </w:rPr>
      </w:pPr>
      <w:r w:rsidRPr="005C6C82">
        <w:rPr>
          <w:lang w:val="fr-FR"/>
        </w:rPr>
        <w:t>12.4</w:t>
      </w:r>
      <w:r w:rsidRPr="005C6C82">
        <w:rPr>
          <w:lang w:val="fr-FR"/>
        </w:rPr>
        <w:tab/>
        <w:t>Même après l</w:t>
      </w:r>
      <w:r w:rsidR="00C256C5">
        <w:rPr>
          <w:lang w:val="fr-FR"/>
        </w:rPr>
        <w:t>’</w:t>
      </w:r>
      <w:r w:rsidRPr="005C6C82">
        <w:rPr>
          <w:lang w:val="fr-FR"/>
        </w:rPr>
        <w:t>entrée en vigueur de la série </w:t>
      </w:r>
      <w:r w:rsidRPr="005C6C82">
        <w:rPr>
          <w:b/>
          <w:lang w:val="fr-FR"/>
        </w:rPr>
        <w:t>02</w:t>
      </w:r>
      <w:r w:rsidRPr="005C6C82">
        <w:rPr>
          <w:lang w:val="fr-FR"/>
        </w:rPr>
        <w:t xml:space="preserve"> d</w:t>
      </w:r>
      <w:r w:rsidR="00C256C5">
        <w:rPr>
          <w:lang w:val="fr-FR"/>
        </w:rPr>
        <w:t>’</w:t>
      </w:r>
      <w:r w:rsidRPr="005C6C82">
        <w:rPr>
          <w:lang w:val="fr-FR"/>
        </w:rPr>
        <w:t>amendements au présent Règlement, les homologations de type accordées conformément à la précédente série d</w:t>
      </w:r>
      <w:r w:rsidR="00C256C5">
        <w:rPr>
          <w:lang w:val="fr-FR"/>
        </w:rPr>
        <w:t>’</w:t>
      </w:r>
      <w:r w:rsidRPr="005C6C82">
        <w:rPr>
          <w:lang w:val="fr-FR"/>
        </w:rPr>
        <w:t>amendements au présent Règlement resteront valides et les Parties contractantes appliquant ledit Règlement continueront de les accepter.</w:t>
      </w:r>
    </w:p>
    <w:p w14:paraId="45090FF2" w14:textId="77777777" w:rsidR="00160568" w:rsidRPr="005C6C82" w:rsidRDefault="00160568" w:rsidP="00661C9D">
      <w:pPr>
        <w:pStyle w:val="SingleTxtG"/>
        <w:ind w:left="2268" w:hanging="1134"/>
        <w:rPr>
          <w:lang w:val="fr-FR"/>
        </w:rPr>
      </w:pPr>
      <w:r w:rsidRPr="005C6C82">
        <w:rPr>
          <w:lang w:val="fr-FR"/>
        </w:rPr>
        <w:t>12.5</w:t>
      </w:r>
      <w:r w:rsidRPr="005C6C82">
        <w:rPr>
          <w:lang w:val="fr-FR"/>
        </w:rPr>
        <w:tab/>
        <w:t>Nonobstant les dispositions transitoires ci-dessus, les Parties contractantes pour lesquelles le présent Règlement entre en application après la date d</w:t>
      </w:r>
      <w:r w:rsidR="00C256C5">
        <w:rPr>
          <w:lang w:val="fr-FR"/>
        </w:rPr>
        <w:t>’</w:t>
      </w:r>
      <w:r w:rsidRPr="005C6C82">
        <w:rPr>
          <w:lang w:val="fr-FR"/>
        </w:rPr>
        <w:t>entrée en vigueur de la série </w:t>
      </w:r>
      <w:r w:rsidRPr="000C62C0">
        <w:rPr>
          <w:b/>
          <w:lang w:val="fr-FR"/>
        </w:rPr>
        <w:t>02</w:t>
      </w:r>
      <w:r w:rsidRPr="005C6C82">
        <w:rPr>
          <w:lang w:val="fr-FR"/>
        </w:rPr>
        <w:t xml:space="preserve"> d</w:t>
      </w:r>
      <w:r w:rsidR="00C256C5">
        <w:rPr>
          <w:lang w:val="fr-FR"/>
        </w:rPr>
        <w:t>’</w:t>
      </w:r>
      <w:r w:rsidRPr="005C6C82">
        <w:rPr>
          <w:lang w:val="fr-FR"/>
        </w:rPr>
        <w:t>amendements ne sont pas tenues d</w:t>
      </w:r>
      <w:r w:rsidR="00C256C5">
        <w:rPr>
          <w:lang w:val="fr-FR"/>
        </w:rPr>
        <w:t>’</w:t>
      </w:r>
      <w:r w:rsidRPr="005C6C82">
        <w:rPr>
          <w:lang w:val="fr-FR"/>
        </w:rPr>
        <w:t>accepter les homologations accordées conformément à la précédente série d</w:t>
      </w:r>
      <w:r w:rsidR="00C256C5">
        <w:rPr>
          <w:lang w:val="fr-FR"/>
        </w:rPr>
        <w:t>’</w:t>
      </w:r>
      <w:r w:rsidRPr="005C6C82">
        <w:rPr>
          <w:lang w:val="fr-FR"/>
        </w:rPr>
        <w:t>amendements au présent Règlement.</w:t>
      </w:r>
      <w:r w:rsidR="000C62C0">
        <w:rPr>
          <w:lang w:val="fr-FR"/>
        </w:rPr>
        <w:t> ».</w:t>
      </w:r>
    </w:p>
    <w:p w14:paraId="07B5A24A" w14:textId="77777777" w:rsidR="00160568" w:rsidRPr="00D94538" w:rsidRDefault="00160568" w:rsidP="00661C9D">
      <w:pPr>
        <w:pStyle w:val="SingleTxtG"/>
        <w:rPr>
          <w:lang w:val="fr-FR"/>
        </w:rPr>
      </w:pPr>
      <w:r w:rsidRPr="00661C9D">
        <w:rPr>
          <w:i/>
          <w:lang w:val="fr-FR"/>
        </w:rPr>
        <w:t>Annexe 2</w:t>
      </w:r>
      <w:r w:rsidRPr="00D94538">
        <w:rPr>
          <w:lang w:val="fr-FR"/>
        </w:rPr>
        <w:t>, lire :</w:t>
      </w:r>
    </w:p>
    <w:p w14:paraId="5E1FAF85" w14:textId="77777777" w:rsidR="00160568" w:rsidRPr="00661C9D" w:rsidRDefault="00160568" w:rsidP="00661C9D">
      <w:pPr>
        <w:pStyle w:val="HChG"/>
      </w:pPr>
      <w:bookmarkStart w:id="4" w:name="_Toc108926532"/>
      <w:bookmarkStart w:id="5" w:name="_Toc108926533"/>
      <w:r w:rsidRPr="00661C9D">
        <w:rPr>
          <w:b w:val="0"/>
          <w:bCs/>
          <w:sz w:val="20"/>
        </w:rPr>
        <w:t>« </w:t>
      </w:r>
      <w:r w:rsidRPr="00D94538">
        <w:t>Annexe 2</w:t>
      </w:r>
      <w:bookmarkEnd w:id="4"/>
    </w:p>
    <w:p w14:paraId="009D7BD4" w14:textId="77777777" w:rsidR="00160568" w:rsidRPr="00D94538" w:rsidRDefault="00160568" w:rsidP="00661C9D">
      <w:pPr>
        <w:pStyle w:val="HChG"/>
      </w:pPr>
      <w:r w:rsidRPr="00D94538">
        <w:tab/>
      </w:r>
      <w:r w:rsidRPr="00D94538">
        <w:tab/>
      </w:r>
      <w:bookmarkEnd w:id="5"/>
      <w:r w:rsidRPr="00D94538">
        <w:t xml:space="preserve">Exemples de marques </w:t>
      </w:r>
      <w:r w:rsidRPr="00661C9D">
        <w:t>d</w:t>
      </w:r>
      <w:r w:rsidR="00C256C5">
        <w:t>’</w:t>
      </w:r>
      <w:r w:rsidRPr="00661C9D">
        <w:t>homologation</w:t>
      </w:r>
    </w:p>
    <w:p w14:paraId="34A426D1" w14:textId="77777777" w:rsidR="00160568" w:rsidRPr="00D94538" w:rsidRDefault="00160568" w:rsidP="005937AB">
      <w:pPr>
        <w:pStyle w:val="SingleTxtG"/>
        <w:rPr>
          <w:lang w:val="fr-FR"/>
        </w:rPr>
      </w:pPr>
      <w:r w:rsidRPr="00D94538">
        <w:rPr>
          <w:lang w:val="fr-FR"/>
        </w:rPr>
        <w:t>(Voir les paragraphes 4.4 à 4.4.2 du présent Règlement)</w:t>
      </w:r>
    </w:p>
    <w:p w14:paraId="1871FF9D" w14:textId="77777777" w:rsidR="00160568" w:rsidRPr="00D94538" w:rsidRDefault="00160568" w:rsidP="00160568">
      <w:pPr>
        <w:suppressAutoHyphens w:val="0"/>
        <w:spacing w:line="240" w:lineRule="auto"/>
        <w:rPr>
          <w:szCs w:val="24"/>
        </w:rPr>
      </w:pPr>
      <w:r w:rsidRPr="00D9453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59EB8" wp14:editId="1156D10A">
                <wp:simplePos x="0" y="0"/>
                <wp:positionH relativeFrom="column">
                  <wp:posOffset>2857500</wp:posOffset>
                </wp:positionH>
                <wp:positionV relativeFrom="paragraph">
                  <wp:posOffset>578485</wp:posOffset>
                </wp:positionV>
                <wp:extent cx="1485900" cy="4572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53E8D" w14:textId="77777777" w:rsidR="00160568" w:rsidRDefault="00160568" w:rsidP="0016056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125R </w:t>
                            </w:r>
                            <w:r w:rsidR="005937AB">
                              <w:rPr>
                                <w:sz w:val="32"/>
                              </w:rPr>
                              <w:t>−</w:t>
                            </w:r>
                            <w:r>
                              <w:rPr>
                                <w:sz w:val="32"/>
                              </w:rPr>
                              <w:t xml:space="preserve"> 02185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59EB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5pt;margin-top:45.55pt;width:11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" stroked="f">
                <v:textbox>
                  <w:txbxContent>
                    <w:p w14:paraId="6C153E8D" w14:textId="77777777" w:rsidR="00160568" w:rsidRDefault="00160568" w:rsidP="0016056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125R </w:t>
                      </w:r>
                      <w:r w:rsidR="005937AB">
                        <w:rPr>
                          <w:sz w:val="32"/>
                        </w:rPr>
                        <w:t>−</w:t>
                      </w:r>
                      <w:r>
                        <w:rPr>
                          <w:sz w:val="32"/>
                        </w:rPr>
                        <w:t xml:space="preserve"> 02185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object w:dxaOrig="1440" w:dyaOrig="1440" w14:anchorId="2CDF63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81.85pt;margin-top:19.3pt;width:315pt;height:67pt;z-index:251658752;visibility:visible;mso-wrap-edited:f;mso-width-percent:0;mso-height-percent:0;mso-position-horizontal-relative:text;mso-position-vertical-relative:text;mso-width-percent:0;mso-height-percent:0">
            <v:imagedata r:id="rId8" o:title=""/>
            <w10:wrap type="topAndBottom"/>
          </v:shape>
          <o:OLEObject Type="Embed" ProgID="Word.Picture.8" ShapeID="_x0000_s1026" DrawAspect="Content" ObjectID="_1642923846" r:id="rId9"/>
        </w:object>
      </w:r>
      <w:r w:rsidRPr="00D9453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0F11AF" wp14:editId="13262C8F">
                <wp:simplePos x="0" y="0"/>
                <wp:positionH relativeFrom="column">
                  <wp:posOffset>2656205</wp:posOffset>
                </wp:positionH>
                <wp:positionV relativeFrom="paragraph">
                  <wp:posOffset>603250</wp:posOffset>
                </wp:positionV>
                <wp:extent cx="106680" cy="190500"/>
                <wp:effectExtent l="0" t="0" r="762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7E4D8E" w14:textId="77777777" w:rsidR="00160568" w:rsidRDefault="00160568" w:rsidP="00160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F11AF" id="Text Box 9" o:spid="_x0000_s1027" type="#_x0000_t202" style="position:absolute;margin-left:209.15pt;margin-top:47.5pt;width:8.4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" filled="f" stroked="f">
                <v:textbox>
                  <w:txbxContent>
                    <w:p w14:paraId="527E4D8E" w14:textId="77777777" w:rsidR="00160568" w:rsidRDefault="00160568" w:rsidP="00160568"/>
                  </w:txbxContent>
                </v:textbox>
              </v:shape>
            </w:pict>
          </mc:Fallback>
        </mc:AlternateContent>
      </w:r>
    </w:p>
    <w:p w14:paraId="6867E749" w14:textId="77777777" w:rsidR="00160568" w:rsidRPr="00D94538" w:rsidRDefault="00160568" w:rsidP="00EE0E5E">
      <w:pPr>
        <w:suppressAutoHyphens w:val="0"/>
        <w:spacing w:line="240" w:lineRule="auto"/>
        <w:ind w:left="1134" w:right="1418"/>
        <w:jc w:val="right"/>
        <w:rPr>
          <w:szCs w:val="24"/>
        </w:rPr>
      </w:pPr>
      <w:r w:rsidRPr="00D94538">
        <w:rPr>
          <w:szCs w:val="24"/>
        </w:rPr>
        <w:t>a = 8 mm min</w:t>
      </w:r>
    </w:p>
    <w:p w14:paraId="7520DB62" w14:textId="77777777" w:rsidR="00160568" w:rsidRPr="00D94538" w:rsidRDefault="00160568" w:rsidP="000C62C0">
      <w:pPr>
        <w:pStyle w:val="SingleTxtG"/>
        <w:spacing w:before="240"/>
        <w:ind w:firstLine="567"/>
      </w:pPr>
      <w:r w:rsidRPr="00D94538">
        <w:t>La marque d</w:t>
      </w:r>
      <w:r w:rsidR="00C256C5">
        <w:t>’</w:t>
      </w:r>
      <w:r w:rsidRPr="00D94538">
        <w:t xml:space="preserve">homologation ci-dessus, apposée sur un véhicule, indique que le type de ce véhicule a été </w:t>
      </w:r>
      <w:r w:rsidRPr="000C62C0">
        <w:t>homologué</w:t>
      </w:r>
      <w:r w:rsidRPr="00D94538">
        <w:t xml:space="preserve"> en Belgique (E6) en ce qui concerne le champ de vision vers l</w:t>
      </w:r>
      <w:r w:rsidR="00C256C5">
        <w:t>’</w:t>
      </w:r>
      <w:r w:rsidRPr="00D94538">
        <w:t xml:space="preserve">avant du conducteur, en vertu du Règlement </w:t>
      </w:r>
      <w:r w:rsidR="00144080">
        <w:t xml:space="preserve">ONU </w:t>
      </w:r>
      <w:r w:rsidR="000C62C0" w:rsidRPr="002D76F4">
        <w:rPr>
          <w:rFonts w:eastAsia="MS Mincho"/>
          <w:szCs w:val="22"/>
        </w:rPr>
        <w:t>n</w:t>
      </w:r>
      <w:r w:rsidR="000C62C0" w:rsidRPr="002D76F4">
        <w:rPr>
          <w:rFonts w:eastAsia="MS Mincho"/>
          <w:szCs w:val="22"/>
          <w:vertAlign w:val="superscript"/>
        </w:rPr>
        <w:t>o</w:t>
      </w:r>
      <w:r w:rsidR="000C62C0">
        <w:t> </w:t>
      </w:r>
      <w:r w:rsidRPr="00D94538">
        <w:t>125. Les deux premiers chiffres du numéro d</w:t>
      </w:r>
      <w:r w:rsidR="00C256C5">
        <w:t>’</w:t>
      </w:r>
      <w:r w:rsidRPr="00D94538">
        <w:t>homologation indiquent que l</w:t>
      </w:r>
      <w:r w:rsidR="00C256C5">
        <w:t>’</w:t>
      </w:r>
      <w:r w:rsidRPr="00D94538">
        <w:t xml:space="preserve">homologation a été délivrée conformément aux dispositions du Règlement </w:t>
      </w:r>
      <w:r w:rsidR="00144080">
        <w:t xml:space="preserve">ONU </w:t>
      </w:r>
      <w:r w:rsidRPr="00D261AC">
        <w:t>n</w:t>
      </w:r>
      <w:r w:rsidRPr="00D261AC">
        <w:rPr>
          <w:vertAlign w:val="superscript"/>
        </w:rPr>
        <w:t>o</w:t>
      </w:r>
      <w:r>
        <w:t> </w:t>
      </w:r>
      <w:r w:rsidRPr="00D94538">
        <w:t xml:space="preserve">125 tel que modifié par la série </w:t>
      </w:r>
      <w:r w:rsidRPr="00D94538">
        <w:rPr>
          <w:b/>
        </w:rPr>
        <w:t>02</w:t>
      </w:r>
      <w:r w:rsidRPr="00D94538">
        <w:t xml:space="preserve"> d</w:t>
      </w:r>
      <w:r w:rsidR="00C256C5">
        <w:t>’</w:t>
      </w:r>
      <w:r w:rsidRPr="00D94538">
        <w:t>amendements.</w:t>
      </w:r>
      <w:r>
        <w:t> »</w:t>
      </w:r>
      <w:r w:rsidR="00AF4428">
        <w:t>.</w:t>
      </w:r>
    </w:p>
    <w:p w14:paraId="088D2A81" w14:textId="77777777" w:rsidR="00160568" w:rsidRPr="00D94538" w:rsidRDefault="00160568" w:rsidP="00160568">
      <w:pPr>
        <w:pStyle w:val="SingleTxtG"/>
        <w:spacing w:after="0" w:line="240" w:lineRule="auto"/>
        <w:rPr>
          <w:szCs w:val="24"/>
        </w:rPr>
      </w:pPr>
      <w:r w:rsidRPr="00D94538">
        <w:rPr>
          <w:i/>
          <w:iCs/>
          <w:szCs w:val="24"/>
        </w:rPr>
        <w:t xml:space="preserve">Après </w:t>
      </w:r>
      <w:r>
        <w:rPr>
          <w:i/>
          <w:iCs/>
          <w:szCs w:val="24"/>
        </w:rPr>
        <w:t>l</w:t>
      </w:r>
      <w:r w:rsidR="00C256C5">
        <w:rPr>
          <w:i/>
          <w:iCs/>
          <w:szCs w:val="24"/>
        </w:rPr>
        <w:t>’</w:t>
      </w:r>
      <w:r>
        <w:rPr>
          <w:i/>
          <w:iCs/>
          <w:szCs w:val="24"/>
        </w:rPr>
        <w:t>a</w:t>
      </w:r>
      <w:r w:rsidRPr="00D94538">
        <w:rPr>
          <w:i/>
          <w:iCs/>
          <w:szCs w:val="24"/>
        </w:rPr>
        <w:t>nnexe 4</w:t>
      </w:r>
      <w:r w:rsidRPr="00D94538">
        <w:rPr>
          <w:szCs w:val="24"/>
        </w:rPr>
        <w:t xml:space="preserve">, ajouter une nouvelle </w:t>
      </w:r>
      <w:r>
        <w:rPr>
          <w:szCs w:val="24"/>
        </w:rPr>
        <w:t>a</w:t>
      </w:r>
      <w:r w:rsidRPr="00D94538">
        <w:rPr>
          <w:szCs w:val="24"/>
        </w:rPr>
        <w:t>nnexe 5</w:t>
      </w:r>
      <w:r>
        <w:rPr>
          <w:szCs w:val="24"/>
        </w:rPr>
        <w:t>, comme suit</w:t>
      </w:r>
      <w:r>
        <w:t> </w:t>
      </w:r>
      <w:r w:rsidRPr="00D94538">
        <w:rPr>
          <w:szCs w:val="24"/>
        </w:rPr>
        <w:t>:</w:t>
      </w:r>
    </w:p>
    <w:p w14:paraId="2AA4398F" w14:textId="77777777" w:rsidR="00160568" w:rsidRPr="00D94538" w:rsidRDefault="00160568" w:rsidP="00417AFE">
      <w:pPr>
        <w:pStyle w:val="HChG"/>
      </w:pPr>
      <w:r w:rsidRPr="005937AB">
        <w:rPr>
          <w:b w:val="0"/>
          <w:sz w:val="20"/>
        </w:rPr>
        <w:t>« </w:t>
      </w:r>
      <w:r w:rsidRPr="00417AFE">
        <w:t>Annexe</w:t>
      </w:r>
      <w:r w:rsidRPr="00D94538">
        <w:t xml:space="preserve"> 5</w:t>
      </w:r>
    </w:p>
    <w:p w14:paraId="7940DA3E" w14:textId="77777777" w:rsidR="00160568" w:rsidRPr="00D94538" w:rsidRDefault="00160568" w:rsidP="00417AFE">
      <w:pPr>
        <w:pStyle w:val="HChG"/>
      </w:pPr>
      <w:r w:rsidRPr="00D94538">
        <w:tab/>
      </w:r>
      <w:r w:rsidRPr="00D94538">
        <w:tab/>
      </w:r>
      <w:r>
        <w:t>D</w:t>
      </w:r>
      <w:r w:rsidRPr="00D261AC">
        <w:t xml:space="preserve">ispositif </w:t>
      </w:r>
      <w:r w:rsidRPr="00417AFE">
        <w:t>d</w:t>
      </w:r>
      <w:r w:rsidR="00C256C5">
        <w:t>’</w:t>
      </w:r>
      <w:r w:rsidRPr="00417AFE">
        <w:t>assistance</w:t>
      </w:r>
      <w:r w:rsidRPr="00D261AC">
        <w:t xml:space="preserve"> </w:t>
      </w:r>
      <w:r>
        <w:t>par affichage dans le champ de vision</w:t>
      </w:r>
    </w:p>
    <w:p w14:paraId="48017EAC" w14:textId="77777777" w:rsidR="00160568" w:rsidRPr="00D94538" w:rsidRDefault="00417AFE" w:rsidP="00417AFE">
      <w:pPr>
        <w:pStyle w:val="H23G"/>
      </w:pPr>
      <w:r>
        <w:tab/>
      </w:r>
      <w:r>
        <w:tab/>
      </w:r>
      <w:r w:rsidR="00160568" w:rsidRPr="00D94538">
        <w:t>Ex</w:t>
      </w:r>
      <w:r w:rsidR="00160568">
        <w:t>e</w:t>
      </w:r>
      <w:r w:rsidR="00160568" w:rsidRPr="00D94538">
        <w:t xml:space="preserve">mples </w:t>
      </w:r>
      <w:r w:rsidR="00160568" w:rsidRPr="00D261AC">
        <w:t>d</w:t>
      </w:r>
      <w:r w:rsidR="00C256C5">
        <w:t>’</w:t>
      </w:r>
      <w:r w:rsidR="00160568" w:rsidRPr="00D261AC">
        <w:t>avertissements, de mises en évidence ou d</w:t>
      </w:r>
      <w:r w:rsidR="00C256C5">
        <w:t>’</w:t>
      </w:r>
      <w:r w:rsidR="00160568" w:rsidRPr="00D261AC">
        <w:t xml:space="preserve">informations </w:t>
      </w:r>
      <w:r w:rsidR="00160568">
        <w:t xml:space="preserve">au sens </w:t>
      </w:r>
      <w:r>
        <w:br/>
      </w:r>
      <w:r w:rsidR="00160568">
        <w:t xml:space="preserve">du </w:t>
      </w:r>
      <w:r w:rsidR="00160568" w:rsidRPr="00D94538">
        <w:t>paragraph</w:t>
      </w:r>
      <w:r w:rsidR="00160568">
        <w:t>e</w:t>
      </w:r>
      <w:r w:rsidR="00160568" w:rsidRPr="00D94538">
        <w:t xml:space="preserve"> 5.</w:t>
      </w:r>
      <w:r w:rsidR="00160568">
        <w:t>1</w:t>
      </w:r>
      <w:r w:rsidR="00160568" w:rsidRPr="00D94538">
        <w:t>.</w:t>
      </w:r>
      <w:r w:rsidR="00160568">
        <w:t>3</w:t>
      </w:r>
      <w:r w:rsidR="00160568" w:rsidRPr="00D94538">
        <w:t>.</w:t>
      </w:r>
      <w:r w:rsidR="00160568">
        <w:t>5 </w:t>
      </w:r>
      <w:r w:rsidR="00160568" w:rsidRPr="00D94538">
        <w:t>:</w:t>
      </w:r>
    </w:p>
    <w:tbl>
      <w:tblPr>
        <w:tblW w:w="7370" w:type="dxa"/>
        <w:tblInd w:w="1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417AFE" w:rsidRPr="00226DA0" w14:paraId="30FA8A66" w14:textId="77777777" w:rsidTr="00480851">
        <w:trPr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579F4" w14:textId="77777777" w:rsidR="00160568" w:rsidRPr="00226DA0" w:rsidRDefault="00160568" w:rsidP="00417AFE">
            <w:pPr>
              <w:spacing w:before="80" w:after="80" w:line="200" w:lineRule="exact"/>
              <w:ind w:right="113"/>
              <w:rPr>
                <w:b/>
                <w:i/>
                <w:sz w:val="16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46DF0" w14:textId="77777777" w:rsidR="00160568" w:rsidRPr="00226DA0" w:rsidRDefault="00160568" w:rsidP="00226DA0">
            <w:pPr>
              <w:spacing w:before="80" w:after="80" w:line="200" w:lineRule="exact"/>
              <w:ind w:left="57" w:right="57"/>
              <w:rPr>
                <w:b/>
                <w:lang w:val="fr-FR"/>
              </w:rPr>
            </w:pPr>
            <w:r w:rsidRPr="00226DA0">
              <w:rPr>
                <w:b/>
                <w:lang w:val="fr-FR"/>
              </w:rPr>
              <w:t>Exemples</w:t>
            </w:r>
          </w:p>
        </w:tc>
      </w:tr>
      <w:tr w:rsidR="00E92521" w:rsidRPr="00226DA0" w14:paraId="1F602912" w14:textId="77777777" w:rsidTr="00480851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2859" w14:textId="77777777" w:rsidR="00160568" w:rsidRPr="00226DA0" w:rsidRDefault="00160568" w:rsidP="008F2BE7">
            <w:pPr>
              <w:spacing w:before="60" w:after="60"/>
              <w:ind w:left="57" w:right="57"/>
              <w:rPr>
                <w:b/>
                <w:lang w:val="fr-FR"/>
              </w:rPr>
            </w:pPr>
            <w:r w:rsidRPr="00226DA0">
              <w:rPr>
                <w:b/>
                <w:lang w:val="fr-FR"/>
              </w:rPr>
              <w:t>Avertissement/</w:t>
            </w:r>
            <w:r w:rsidR="00144080">
              <w:rPr>
                <w:b/>
                <w:lang w:val="fr-FR"/>
              </w:rPr>
              <w:t>m</w:t>
            </w:r>
            <w:r w:rsidRPr="00226DA0">
              <w:rPr>
                <w:b/>
                <w:lang w:val="fr-FR"/>
              </w:rPr>
              <w:t xml:space="preserve">ise en relief : cas de </w:t>
            </w:r>
            <w:r w:rsidRPr="00226DA0">
              <w:rPr>
                <w:b/>
              </w:rPr>
              <w:t>situation dangereuse liée à la circulation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A822" w14:textId="77777777" w:rsidR="00160568" w:rsidRPr="00226DA0" w:rsidRDefault="00160568" w:rsidP="008F2BE7">
            <w:pPr>
              <w:spacing w:before="60" w:after="60"/>
              <w:ind w:left="57" w:right="57"/>
              <w:rPr>
                <w:b/>
                <w:lang w:val="fr-FR"/>
              </w:rPr>
            </w:pPr>
            <w:r w:rsidRPr="00226DA0">
              <w:rPr>
                <w:b/>
                <w:lang w:val="fr-FR"/>
              </w:rPr>
              <w:t>Freinage brusque</w:t>
            </w:r>
          </w:p>
          <w:p w14:paraId="36731D55" w14:textId="77777777" w:rsidR="00160568" w:rsidRPr="00226DA0" w:rsidRDefault="00160568" w:rsidP="008F2BE7">
            <w:pPr>
              <w:spacing w:before="60" w:after="60"/>
              <w:ind w:left="57" w:right="57"/>
              <w:rPr>
                <w:b/>
                <w:lang w:val="fr-FR"/>
              </w:rPr>
            </w:pPr>
            <w:r w:rsidRPr="00226DA0">
              <w:rPr>
                <w:b/>
                <w:lang w:val="fr-FR"/>
              </w:rPr>
              <w:t>Véhicules venant en sens inverse au moment d</w:t>
            </w:r>
            <w:r w:rsidR="00C256C5">
              <w:rPr>
                <w:b/>
                <w:lang w:val="fr-FR"/>
              </w:rPr>
              <w:t>’</w:t>
            </w:r>
            <w:r w:rsidRPr="00226DA0">
              <w:rPr>
                <w:b/>
                <w:lang w:val="fr-FR"/>
              </w:rPr>
              <w:t xml:space="preserve">effectuer un virage </w:t>
            </w:r>
          </w:p>
          <w:p w14:paraId="79391ED1" w14:textId="77777777" w:rsidR="00160568" w:rsidRPr="00226DA0" w:rsidRDefault="00160568" w:rsidP="008F2BE7">
            <w:pPr>
              <w:spacing w:before="60" w:after="60"/>
              <w:ind w:left="57" w:right="57"/>
              <w:rPr>
                <w:b/>
                <w:lang w:val="fr-FR"/>
              </w:rPr>
            </w:pPr>
            <w:r w:rsidRPr="00226DA0">
              <w:rPr>
                <w:b/>
                <w:lang w:val="fr-FR"/>
              </w:rPr>
              <w:t>Véhicules quittant la voie ou entrant dans la même voie de circulation</w:t>
            </w:r>
          </w:p>
        </w:tc>
      </w:tr>
      <w:tr w:rsidR="00E92521" w:rsidRPr="00226DA0" w14:paraId="01CE0216" w14:textId="77777777" w:rsidTr="0048085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55CE" w14:textId="77777777" w:rsidR="00160568" w:rsidRPr="00226DA0" w:rsidRDefault="00160568" w:rsidP="008F2BE7">
            <w:pPr>
              <w:spacing w:before="60" w:after="60"/>
              <w:ind w:left="57" w:right="57"/>
              <w:rPr>
                <w:b/>
                <w:lang w:val="fr-FR"/>
              </w:rPr>
            </w:pPr>
            <w:r w:rsidRPr="00226DA0">
              <w:rPr>
                <w:b/>
                <w:lang w:val="fr-FR"/>
              </w:rPr>
              <w:lastRenderedPageBreak/>
              <w:t>Avertissement/</w:t>
            </w:r>
            <w:r w:rsidR="00144080">
              <w:rPr>
                <w:b/>
                <w:lang w:val="fr-FR"/>
              </w:rPr>
              <w:t>m</w:t>
            </w:r>
            <w:r w:rsidRPr="00226DA0">
              <w:rPr>
                <w:b/>
                <w:lang w:val="fr-FR"/>
              </w:rPr>
              <w:t xml:space="preserve">ise en évidence : usagers de la route vulnérables ou autres </w:t>
            </w:r>
            <w:r w:rsidRPr="00226DA0">
              <w:rPr>
                <w:b/>
              </w:rPr>
              <w:t>dont la présence aurait pu échapper à la vigilance du conducteur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9780" w14:textId="77777777" w:rsidR="00160568" w:rsidRPr="00226DA0" w:rsidRDefault="00160568" w:rsidP="008F2BE7">
            <w:pPr>
              <w:spacing w:before="60" w:after="60"/>
              <w:ind w:left="57" w:right="57"/>
              <w:rPr>
                <w:b/>
                <w:lang w:val="fr-FR"/>
              </w:rPr>
            </w:pPr>
            <w:r w:rsidRPr="00226DA0">
              <w:rPr>
                <w:b/>
                <w:lang w:val="fr-FR"/>
              </w:rPr>
              <w:t>Piétons</w:t>
            </w:r>
          </w:p>
          <w:p w14:paraId="33BCF745" w14:textId="77777777" w:rsidR="00160568" w:rsidRPr="00226DA0" w:rsidRDefault="00160568" w:rsidP="008F2BE7">
            <w:pPr>
              <w:spacing w:before="60" w:after="60"/>
              <w:ind w:left="57" w:right="57"/>
              <w:rPr>
                <w:b/>
                <w:lang w:val="fr-FR"/>
              </w:rPr>
            </w:pPr>
            <w:r w:rsidRPr="00226DA0">
              <w:rPr>
                <w:b/>
                <w:lang w:val="fr-FR"/>
              </w:rPr>
              <w:t>Cyclistes</w:t>
            </w:r>
          </w:p>
          <w:p w14:paraId="7366EFF3" w14:textId="77777777" w:rsidR="00160568" w:rsidRPr="00226DA0" w:rsidRDefault="00160568" w:rsidP="008F2BE7">
            <w:pPr>
              <w:spacing w:before="60" w:after="60"/>
              <w:ind w:left="57" w:right="57"/>
              <w:rPr>
                <w:b/>
                <w:lang w:val="fr-FR"/>
              </w:rPr>
            </w:pPr>
            <w:r w:rsidRPr="00226DA0">
              <w:rPr>
                <w:b/>
                <w:lang w:val="fr-FR"/>
              </w:rPr>
              <w:t>Usagers de la route traversant la chaussée</w:t>
            </w:r>
          </w:p>
          <w:p w14:paraId="4F102DF8" w14:textId="77777777" w:rsidR="00160568" w:rsidRPr="00226DA0" w:rsidRDefault="00160568" w:rsidP="008F2BE7">
            <w:pPr>
              <w:spacing w:before="60" w:after="60"/>
              <w:ind w:left="57" w:right="57"/>
              <w:rPr>
                <w:b/>
                <w:lang w:val="fr-FR"/>
              </w:rPr>
            </w:pPr>
            <w:r w:rsidRPr="00226DA0">
              <w:rPr>
                <w:b/>
                <w:lang w:val="fr-FR"/>
              </w:rPr>
              <w:t xml:space="preserve">Usagers de la route se trouvant dans un angle mort ou masqués à la vue du conducteur </w:t>
            </w:r>
          </w:p>
          <w:p w14:paraId="3AC06420" w14:textId="77777777" w:rsidR="00160568" w:rsidRPr="00226DA0" w:rsidRDefault="00160568" w:rsidP="008F2BE7">
            <w:pPr>
              <w:spacing w:before="60" w:after="60"/>
              <w:ind w:left="57" w:right="57"/>
              <w:rPr>
                <w:b/>
                <w:lang w:val="fr-FR"/>
              </w:rPr>
            </w:pPr>
            <w:r w:rsidRPr="00226DA0">
              <w:rPr>
                <w:b/>
                <w:lang w:val="fr-FR"/>
              </w:rPr>
              <w:t>Animaux</w:t>
            </w:r>
          </w:p>
        </w:tc>
      </w:tr>
      <w:tr w:rsidR="00E92521" w:rsidRPr="00226DA0" w14:paraId="08EF1196" w14:textId="77777777" w:rsidTr="0048085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AD07" w14:textId="77777777" w:rsidR="00160568" w:rsidRPr="00226DA0" w:rsidRDefault="00160568" w:rsidP="008F2BE7">
            <w:pPr>
              <w:spacing w:before="60" w:after="60"/>
              <w:ind w:left="57" w:right="57"/>
              <w:rPr>
                <w:b/>
                <w:lang w:val="fr-FR"/>
              </w:rPr>
            </w:pPr>
            <w:r w:rsidRPr="00226DA0">
              <w:rPr>
                <w:b/>
                <w:lang w:val="fr-FR"/>
              </w:rPr>
              <w:t xml:space="preserve">Informations </w:t>
            </w:r>
            <w:r w:rsidRPr="00226DA0">
              <w:rPr>
                <w:b/>
              </w:rPr>
              <w:t>en vue du maintien des distances par rapport aux</w:t>
            </w:r>
            <w:r w:rsidRPr="00226DA0">
              <w:rPr>
                <w:b/>
                <w:lang w:val="fr-FR"/>
              </w:rPr>
              <w:t xml:space="preserve"> usagers de la route environnants et aux équipements routiers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D7BC" w14:textId="77777777" w:rsidR="00160568" w:rsidRPr="00226DA0" w:rsidRDefault="00160568" w:rsidP="008F2BE7">
            <w:pPr>
              <w:spacing w:before="60" w:after="60"/>
              <w:ind w:left="57" w:right="57"/>
              <w:rPr>
                <w:b/>
                <w:lang w:val="fr-FR"/>
              </w:rPr>
            </w:pPr>
            <w:r w:rsidRPr="00226DA0">
              <w:rPr>
                <w:b/>
                <w:lang w:val="fr-FR"/>
              </w:rPr>
              <w:t>Distance par rapport au véhicule qui précède</w:t>
            </w:r>
          </w:p>
          <w:p w14:paraId="7675313E" w14:textId="77777777" w:rsidR="00160568" w:rsidRPr="00226DA0" w:rsidRDefault="00160568" w:rsidP="008F2BE7">
            <w:pPr>
              <w:spacing w:before="60" w:after="60"/>
              <w:ind w:left="57" w:right="57"/>
              <w:rPr>
                <w:b/>
                <w:lang w:val="fr-FR"/>
              </w:rPr>
            </w:pPr>
            <w:r w:rsidRPr="00226DA0">
              <w:rPr>
                <w:b/>
                <w:lang w:val="fr-FR"/>
              </w:rPr>
              <w:t>Aide au maintien dans la voie</w:t>
            </w:r>
          </w:p>
        </w:tc>
      </w:tr>
      <w:tr w:rsidR="00E92521" w:rsidRPr="00226DA0" w14:paraId="7384BB7E" w14:textId="77777777" w:rsidTr="0048085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56EC" w14:textId="77777777" w:rsidR="00160568" w:rsidRPr="00226DA0" w:rsidRDefault="00160568" w:rsidP="008F2BE7">
            <w:pPr>
              <w:spacing w:before="60" w:after="60"/>
              <w:ind w:left="57" w:right="57"/>
              <w:rPr>
                <w:b/>
                <w:lang w:val="fr-FR"/>
              </w:rPr>
            </w:pPr>
            <w:r w:rsidRPr="00226DA0">
              <w:rPr>
                <w:b/>
                <w:lang w:val="fr-FR"/>
              </w:rPr>
              <w:t xml:space="preserve">Informations </w:t>
            </w:r>
            <w:r w:rsidRPr="00226DA0">
              <w:rPr>
                <w:b/>
              </w:rPr>
              <w:t>permettant de trouver la bonne voie de circulation et de s</w:t>
            </w:r>
            <w:r w:rsidR="00C256C5">
              <w:rPr>
                <w:b/>
              </w:rPr>
              <w:t>’</w:t>
            </w:r>
            <w:r w:rsidRPr="00226DA0">
              <w:rPr>
                <w:b/>
              </w:rPr>
              <w:t>y maintenir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74BF" w14:textId="77777777" w:rsidR="00160568" w:rsidRPr="00226DA0" w:rsidRDefault="00160568" w:rsidP="008F2BE7">
            <w:pPr>
              <w:spacing w:before="60" w:after="60"/>
              <w:ind w:left="57" w:right="57"/>
              <w:rPr>
                <w:b/>
                <w:lang w:val="fr-FR"/>
              </w:rPr>
            </w:pPr>
            <w:r w:rsidRPr="00226DA0">
              <w:rPr>
                <w:b/>
                <w:lang w:val="fr-FR"/>
              </w:rPr>
              <w:t>Informations de navigation</w:t>
            </w:r>
          </w:p>
        </w:tc>
      </w:tr>
    </w:tbl>
    <w:p w14:paraId="4619D77F" w14:textId="77777777" w:rsidR="00160568" w:rsidRDefault="00C256C5" w:rsidP="00C256C5">
      <w:pPr>
        <w:pStyle w:val="SingleTxtG"/>
        <w:spacing w:before="120"/>
        <w:jc w:val="right"/>
      </w:pPr>
      <w:r>
        <w:t>. ».</w:t>
      </w:r>
    </w:p>
    <w:p w14:paraId="686CED63" w14:textId="77777777" w:rsidR="00C256C5" w:rsidRPr="00C256C5" w:rsidRDefault="00C256C5" w:rsidP="00C256C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256C5" w:rsidRPr="00C256C5" w:rsidSect="00091CA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C88B" w14:textId="77777777" w:rsidR="006052A2" w:rsidRDefault="006052A2" w:rsidP="00F95C08">
      <w:pPr>
        <w:spacing w:line="240" w:lineRule="auto"/>
      </w:pPr>
    </w:p>
  </w:endnote>
  <w:endnote w:type="continuationSeparator" w:id="0">
    <w:p w14:paraId="6A230DDE" w14:textId="77777777" w:rsidR="006052A2" w:rsidRPr="00AC3823" w:rsidRDefault="006052A2" w:rsidP="00AC3823">
      <w:pPr>
        <w:pStyle w:val="Pieddepage"/>
      </w:pPr>
    </w:p>
  </w:endnote>
  <w:endnote w:type="continuationNotice" w:id="1">
    <w:p w14:paraId="410A5EA7" w14:textId="77777777" w:rsidR="006052A2" w:rsidRDefault="006052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F4BB" w14:textId="77777777" w:rsidR="00091CA1" w:rsidRPr="00091CA1" w:rsidRDefault="00091CA1" w:rsidP="00091CA1">
    <w:pPr>
      <w:pStyle w:val="Pieddepage"/>
      <w:tabs>
        <w:tab w:val="right" w:pos="9638"/>
      </w:tabs>
    </w:pPr>
    <w:r w:rsidRPr="00091CA1">
      <w:rPr>
        <w:b/>
        <w:sz w:val="18"/>
      </w:rPr>
      <w:fldChar w:fldCharType="begin"/>
    </w:r>
    <w:r w:rsidRPr="00091CA1">
      <w:rPr>
        <w:b/>
        <w:sz w:val="18"/>
      </w:rPr>
      <w:instrText xml:space="preserve"> PAGE  \* MERGEFORMAT </w:instrText>
    </w:r>
    <w:r w:rsidRPr="00091CA1">
      <w:rPr>
        <w:b/>
        <w:sz w:val="18"/>
      </w:rPr>
      <w:fldChar w:fldCharType="separate"/>
    </w:r>
    <w:r w:rsidRPr="00091CA1">
      <w:rPr>
        <w:b/>
        <w:noProof/>
        <w:sz w:val="18"/>
      </w:rPr>
      <w:t>2</w:t>
    </w:r>
    <w:r w:rsidRPr="00091CA1">
      <w:rPr>
        <w:b/>
        <w:sz w:val="18"/>
      </w:rPr>
      <w:fldChar w:fldCharType="end"/>
    </w:r>
    <w:r>
      <w:rPr>
        <w:b/>
        <w:sz w:val="18"/>
      </w:rPr>
      <w:tab/>
    </w:r>
    <w:r>
      <w:t>GE.20-00814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A197" w14:textId="77777777" w:rsidR="00091CA1" w:rsidRPr="00091CA1" w:rsidRDefault="00091CA1" w:rsidP="00091CA1">
    <w:pPr>
      <w:pStyle w:val="Pieddepage"/>
      <w:tabs>
        <w:tab w:val="right" w:pos="9638"/>
      </w:tabs>
      <w:rPr>
        <w:b/>
        <w:sz w:val="18"/>
      </w:rPr>
    </w:pPr>
    <w:r>
      <w:t>GE.20-00814</w:t>
    </w:r>
    <w:r>
      <w:tab/>
    </w:r>
    <w:r w:rsidRPr="00091CA1">
      <w:rPr>
        <w:b/>
        <w:sz w:val="18"/>
      </w:rPr>
      <w:fldChar w:fldCharType="begin"/>
    </w:r>
    <w:r w:rsidRPr="00091CA1">
      <w:rPr>
        <w:b/>
        <w:sz w:val="18"/>
      </w:rPr>
      <w:instrText xml:space="preserve"> PAGE  \* MERGEFORMAT </w:instrText>
    </w:r>
    <w:r w:rsidRPr="00091CA1">
      <w:rPr>
        <w:b/>
        <w:sz w:val="18"/>
      </w:rPr>
      <w:fldChar w:fldCharType="separate"/>
    </w:r>
    <w:r w:rsidRPr="00091CA1">
      <w:rPr>
        <w:b/>
        <w:noProof/>
        <w:sz w:val="18"/>
      </w:rPr>
      <w:t>3</w:t>
    </w:r>
    <w:r w:rsidRPr="00091C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8C47" w14:textId="77777777" w:rsidR="007F20FA" w:rsidRPr="00091CA1" w:rsidRDefault="00091CA1" w:rsidP="00091CA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E3FBA8F" wp14:editId="0DE4D1D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20-00814  (F)    110220    110220</w:t>
    </w:r>
    <w:r>
      <w:rPr>
        <w:sz w:val="20"/>
      </w:rPr>
      <w:br/>
    </w:r>
    <w:r w:rsidRPr="00091CA1">
      <w:rPr>
        <w:rFonts w:ascii="C39T30Lfz" w:hAnsi="C39T30Lfz"/>
        <w:sz w:val="56"/>
      </w:rPr>
      <w:t></w:t>
    </w:r>
    <w:r w:rsidRPr="00091CA1">
      <w:rPr>
        <w:rFonts w:ascii="C39T30Lfz" w:hAnsi="C39T30Lfz"/>
        <w:sz w:val="56"/>
      </w:rPr>
      <w:t></w:t>
    </w:r>
    <w:r w:rsidRPr="00091CA1">
      <w:rPr>
        <w:rFonts w:ascii="C39T30Lfz" w:hAnsi="C39T30Lfz"/>
        <w:sz w:val="56"/>
      </w:rPr>
      <w:t></w:t>
    </w:r>
    <w:r w:rsidRPr="00091CA1">
      <w:rPr>
        <w:rFonts w:ascii="C39T30Lfz" w:hAnsi="C39T30Lfz"/>
        <w:sz w:val="56"/>
      </w:rPr>
      <w:t></w:t>
    </w:r>
    <w:r w:rsidRPr="00091CA1">
      <w:rPr>
        <w:rFonts w:ascii="C39T30Lfz" w:hAnsi="C39T30Lfz"/>
        <w:sz w:val="56"/>
      </w:rPr>
      <w:t></w:t>
    </w:r>
    <w:r w:rsidRPr="00091CA1">
      <w:rPr>
        <w:rFonts w:ascii="C39T30Lfz" w:hAnsi="C39T30Lfz"/>
        <w:sz w:val="56"/>
      </w:rPr>
      <w:t></w:t>
    </w:r>
    <w:r w:rsidRPr="00091CA1">
      <w:rPr>
        <w:rFonts w:ascii="C39T30Lfz" w:hAnsi="C39T30Lfz"/>
        <w:sz w:val="56"/>
      </w:rPr>
      <w:t></w:t>
    </w:r>
    <w:r w:rsidRPr="00091CA1">
      <w:rPr>
        <w:rFonts w:ascii="C39T30Lfz" w:hAnsi="C39T30Lfz"/>
        <w:sz w:val="56"/>
      </w:rPr>
      <w:t></w:t>
    </w:r>
    <w:r w:rsidRPr="00091CA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D38268F" wp14:editId="2E2C0D2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20/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E47F0" w14:textId="77777777" w:rsidR="006052A2" w:rsidRPr="00AC3823" w:rsidRDefault="006052A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442CEE" w14:textId="77777777" w:rsidR="006052A2" w:rsidRPr="00AC3823" w:rsidRDefault="006052A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5BD0B6D" w14:textId="77777777" w:rsidR="006052A2" w:rsidRPr="00AC3823" w:rsidRDefault="006052A2">
      <w:pPr>
        <w:spacing w:line="240" w:lineRule="auto"/>
        <w:rPr>
          <w:sz w:val="2"/>
          <w:szCs w:val="2"/>
        </w:rPr>
      </w:pPr>
    </w:p>
  </w:footnote>
  <w:footnote w:id="2">
    <w:p w14:paraId="6B0226ED" w14:textId="77777777" w:rsidR="00FD3B8B" w:rsidRPr="00550308" w:rsidRDefault="00DD3163" w:rsidP="00DD3163">
      <w:pPr>
        <w:pStyle w:val="Notedebasdepage"/>
      </w:pPr>
      <w:r>
        <w:rPr>
          <w:rStyle w:val="Appelnotedebasdep"/>
          <w:sz w:val="20"/>
          <w:vertAlign w:val="baseline"/>
        </w:rPr>
        <w:tab/>
      </w:r>
      <w:r w:rsidR="00FD3B8B" w:rsidRPr="00DD3163">
        <w:rPr>
          <w:rStyle w:val="Appelnotedebasdep"/>
          <w:sz w:val="20"/>
          <w:vertAlign w:val="baseline"/>
        </w:rPr>
        <w:sym w:font="Symbol" w:char="F02A"/>
      </w:r>
      <w:r w:rsidR="00FD3B8B" w:rsidRPr="00DD3163">
        <w:rPr>
          <w:rStyle w:val="Appelnotedebasdep"/>
          <w:sz w:val="20"/>
          <w:vertAlign w:val="baseline"/>
        </w:rPr>
        <w:tab/>
      </w:r>
      <w:r w:rsidR="00FD3B8B" w:rsidRPr="0002223F">
        <w:t>Conformément au programme de travail du Comité des transports intérieurs pour 2020 tel qu’il figure dans le projet de budget-programme pour 2020 (A/74/6 (titre V, chap. 20), par. 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6853E" w14:textId="14ED71C7" w:rsidR="00091CA1" w:rsidRPr="00091CA1" w:rsidRDefault="00091CA1">
    <w:pPr>
      <w:pStyle w:val="En-tte"/>
    </w:pPr>
    <w:fldSimple w:instr=" TITLE  \* MERGEFORMAT ">
      <w:r w:rsidR="00377C31">
        <w:t>ECE/TRANS/WP.29/GRSG/2020/12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DBFF" w14:textId="52DC453F" w:rsidR="00091CA1" w:rsidRPr="00091CA1" w:rsidRDefault="00091CA1" w:rsidP="00091CA1">
    <w:pPr>
      <w:pStyle w:val="En-tte"/>
      <w:jc w:val="right"/>
    </w:pPr>
    <w:fldSimple w:instr=" TITLE  \* MERGEFORMAT ">
      <w:r w:rsidR="00377C31">
        <w:t>ECE/TRANS/WP.29/GRSG/2020/12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2353362"/>
    <w:multiLevelType w:val="hybridMultilevel"/>
    <w:tmpl w:val="EEA859AA"/>
    <w:lvl w:ilvl="0" w:tplc="0E6832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52A2"/>
    <w:rsid w:val="00017F94"/>
    <w:rsid w:val="00023842"/>
    <w:rsid w:val="000334F9"/>
    <w:rsid w:val="00045FEB"/>
    <w:rsid w:val="0007796D"/>
    <w:rsid w:val="00091CA1"/>
    <w:rsid w:val="000B7790"/>
    <w:rsid w:val="000C62C0"/>
    <w:rsid w:val="00111F2F"/>
    <w:rsid w:val="0014365E"/>
    <w:rsid w:val="00143C66"/>
    <w:rsid w:val="00144080"/>
    <w:rsid w:val="00160568"/>
    <w:rsid w:val="00176178"/>
    <w:rsid w:val="001F525A"/>
    <w:rsid w:val="00223272"/>
    <w:rsid w:val="00226DA0"/>
    <w:rsid w:val="0024779E"/>
    <w:rsid w:val="00257168"/>
    <w:rsid w:val="002744B8"/>
    <w:rsid w:val="002832AC"/>
    <w:rsid w:val="002D7C93"/>
    <w:rsid w:val="00305801"/>
    <w:rsid w:val="00377C31"/>
    <w:rsid w:val="003916DE"/>
    <w:rsid w:val="00417AFE"/>
    <w:rsid w:val="00421996"/>
    <w:rsid w:val="00441C3B"/>
    <w:rsid w:val="00446FE5"/>
    <w:rsid w:val="00452396"/>
    <w:rsid w:val="00480851"/>
    <w:rsid w:val="004837D8"/>
    <w:rsid w:val="004E2EED"/>
    <w:rsid w:val="004E468C"/>
    <w:rsid w:val="005505B7"/>
    <w:rsid w:val="00573BE5"/>
    <w:rsid w:val="00586ED3"/>
    <w:rsid w:val="005937AB"/>
    <w:rsid w:val="00596AA9"/>
    <w:rsid w:val="005C6C82"/>
    <w:rsid w:val="00603D80"/>
    <w:rsid w:val="006052A2"/>
    <w:rsid w:val="00661C9D"/>
    <w:rsid w:val="006663C6"/>
    <w:rsid w:val="006F5180"/>
    <w:rsid w:val="0071601D"/>
    <w:rsid w:val="007A62E6"/>
    <w:rsid w:val="007F20FA"/>
    <w:rsid w:val="0080684C"/>
    <w:rsid w:val="00871C75"/>
    <w:rsid w:val="008776DC"/>
    <w:rsid w:val="008F2BE7"/>
    <w:rsid w:val="0092279E"/>
    <w:rsid w:val="009446C0"/>
    <w:rsid w:val="009705C8"/>
    <w:rsid w:val="009C1CF4"/>
    <w:rsid w:val="009F6B74"/>
    <w:rsid w:val="00A3029F"/>
    <w:rsid w:val="00A30353"/>
    <w:rsid w:val="00A85E2A"/>
    <w:rsid w:val="00AC3823"/>
    <w:rsid w:val="00AE323C"/>
    <w:rsid w:val="00AF0CB5"/>
    <w:rsid w:val="00AF4428"/>
    <w:rsid w:val="00B00181"/>
    <w:rsid w:val="00B00B0D"/>
    <w:rsid w:val="00B45F2E"/>
    <w:rsid w:val="00B765F7"/>
    <w:rsid w:val="00B933BD"/>
    <w:rsid w:val="00BA0CA9"/>
    <w:rsid w:val="00C02897"/>
    <w:rsid w:val="00C07872"/>
    <w:rsid w:val="00C10D64"/>
    <w:rsid w:val="00C256C5"/>
    <w:rsid w:val="00C97039"/>
    <w:rsid w:val="00D3439C"/>
    <w:rsid w:val="00D66A9C"/>
    <w:rsid w:val="00DA419D"/>
    <w:rsid w:val="00DB1831"/>
    <w:rsid w:val="00DD3163"/>
    <w:rsid w:val="00DD3BFD"/>
    <w:rsid w:val="00DF6678"/>
    <w:rsid w:val="00E01C39"/>
    <w:rsid w:val="00E0299A"/>
    <w:rsid w:val="00E85C74"/>
    <w:rsid w:val="00E92521"/>
    <w:rsid w:val="00EA6547"/>
    <w:rsid w:val="00EE0E5E"/>
    <w:rsid w:val="00EF2E22"/>
    <w:rsid w:val="00F35BAF"/>
    <w:rsid w:val="00F52FC4"/>
    <w:rsid w:val="00F660DF"/>
    <w:rsid w:val="00F94664"/>
    <w:rsid w:val="00F9573C"/>
    <w:rsid w:val="00F95C08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01982D"/>
  <w15:docId w15:val="{EE464B6C-2499-41F5-A842-911793FC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FD3B8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160568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Para">
    <w:name w:val="Para"/>
    <w:basedOn w:val="Normal"/>
    <w:qFormat/>
    <w:rsid w:val="00160568"/>
    <w:pPr>
      <w:suppressAutoHyphens w:val="0"/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811</Words>
  <Characters>5678</Characters>
  <Application>Microsoft Office Word</Application>
  <DocSecurity>0</DocSecurity>
  <Lines>473</Lines>
  <Paragraphs>259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ECE/TRANS/WP.29/GRSG/2020/12</vt:lpstr>
    </vt:vector>
  </TitlesOfParts>
  <Company>DCM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ECE/TRANS/WP.29/GRSG/2020/12</dc:title>
  <dc:subject/>
  <dc:creator>Corinne ROBERT</dc:creator>
  <cp:keywords/>
  <cp:lastModifiedBy>Corinne Robert</cp:lastModifiedBy>
  <cp:revision>2</cp:revision>
  <cp:lastPrinted>2020-02-11T09:57:00Z</cp:lastPrinted>
  <dcterms:created xsi:type="dcterms:W3CDTF">2020-02-11T09:57:00Z</dcterms:created>
  <dcterms:modified xsi:type="dcterms:W3CDTF">2020-02-11T09:57:00Z</dcterms:modified>
</cp:coreProperties>
</file>