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2A307A8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C8DD4AE" w14:textId="77777777" w:rsidR="009E6CB7" w:rsidRDefault="009E6CB7" w:rsidP="00037DE0">
            <w:pPr>
              <w:pStyle w:val="WP29Par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8251851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2228DB3" w14:textId="77777777" w:rsidR="009E6CB7" w:rsidRPr="00D47EEA" w:rsidRDefault="005F2B20" w:rsidP="007B02AA">
            <w:pPr>
              <w:jc w:val="right"/>
            </w:pPr>
            <w:r w:rsidRPr="005F2B20">
              <w:rPr>
                <w:sz w:val="40"/>
              </w:rPr>
              <w:t>ECE</w:t>
            </w:r>
            <w:r>
              <w:t>/TRANS/WP.29/GRPE/2020/8</w:t>
            </w:r>
          </w:p>
        </w:tc>
      </w:tr>
      <w:tr w:rsidR="009E6CB7" w14:paraId="6FDA2EEF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369ACFF" w14:textId="77777777" w:rsidR="009E6CB7" w:rsidRDefault="00686A48" w:rsidP="00B20551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B5478DD" wp14:editId="12AD71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1E7AD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45C7463" w14:textId="77777777" w:rsidR="009E6CB7" w:rsidRDefault="007B02AA" w:rsidP="007B02AA">
            <w:pPr>
              <w:spacing w:before="240" w:line="240" w:lineRule="exact"/>
            </w:pPr>
            <w:r>
              <w:t>Distr.: General</w:t>
            </w:r>
          </w:p>
          <w:p w14:paraId="59E9B65B" w14:textId="77777777" w:rsidR="007B02AA" w:rsidRDefault="007B02AA" w:rsidP="007B02AA">
            <w:pPr>
              <w:spacing w:line="240" w:lineRule="exact"/>
            </w:pPr>
            <w:r>
              <w:t>31 October 2019</w:t>
            </w:r>
          </w:p>
          <w:p w14:paraId="7605AA54" w14:textId="77777777" w:rsidR="007B02AA" w:rsidRDefault="007B02AA" w:rsidP="007B02AA">
            <w:pPr>
              <w:spacing w:line="240" w:lineRule="exact"/>
            </w:pPr>
          </w:p>
          <w:p w14:paraId="52646096" w14:textId="77777777" w:rsidR="007B02AA" w:rsidRDefault="007B02AA" w:rsidP="007B02AA">
            <w:pPr>
              <w:spacing w:line="240" w:lineRule="exact"/>
            </w:pPr>
            <w:r>
              <w:t>Original: English</w:t>
            </w:r>
          </w:p>
        </w:tc>
      </w:tr>
    </w:tbl>
    <w:p w14:paraId="20477BDD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sz w:val="28"/>
          <w:szCs w:val="28"/>
        </w:rPr>
        <w:t>Economic</w:t>
      </w:r>
      <w:r w:rsidRPr="00113319">
        <w:rPr>
          <w:rFonts w:eastAsia="MS Mincho"/>
          <w:b/>
          <w:bCs/>
          <w:sz w:val="28"/>
          <w:szCs w:val="28"/>
        </w:rPr>
        <w:t xml:space="preserve"> Commission for Europe </w:t>
      </w:r>
    </w:p>
    <w:p w14:paraId="71679CA2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sz w:val="28"/>
          <w:szCs w:val="28"/>
        </w:rPr>
        <w:t xml:space="preserve">Inland Transport Committee </w:t>
      </w:r>
    </w:p>
    <w:p w14:paraId="2EF0DA67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bCs/>
          <w:szCs w:val="24"/>
        </w:rPr>
        <w:t xml:space="preserve">World Forum for Harmonization of Vehicle Regulations </w:t>
      </w:r>
    </w:p>
    <w:p w14:paraId="68F77C74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113319">
        <w:rPr>
          <w:rFonts w:eastAsia="MS Mincho"/>
          <w:b/>
          <w:bCs/>
        </w:rPr>
        <w:t>Working Party on Pollution and Energy</w:t>
      </w:r>
    </w:p>
    <w:p w14:paraId="796E6293" w14:textId="77777777" w:rsidR="007B02AA" w:rsidRPr="00113319" w:rsidRDefault="007B02AA" w:rsidP="007B02AA">
      <w:pPr>
        <w:rPr>
          <w:rFonts w:eastAsia="MS Mincho"/>
          <w:b/>
        </w:rPr>
      </w:pPr>
      <w:r>
        <w:rPr>
          <w:rFonts w:eastAsia="MS Mincho"/>
          <w:b/>
        </w:rPr>
        <w:t>Eightieth</w:t>
      </w:r>
      <w:r w:rsidRPr="00113319">
        <w:rPr>
          <w:rFonts w:eastAsia="MS Mincho"/>
          <w:b/>
        </w:rPr>
        <w:t xml:space="preserve"> sess</w:t>
      </w:r>
      <w:bookmarkStart w:id="0" w:name="_GoBack"/>
      <w:r w:rsidRPr="00113319">
        <w:rPr>
          <w:rFonts w:eastAsia="MS Mincho"/>
          <w:b/>
        </w:rPr>
        <w:t>i</w:t>
      </w:r>
      <w:bookmarkEnd w:id="0"/>
      <w:r w:rsidRPr="00113319">
        <w:rPr>
          <w:rFonts w:eastAsia="MS Mincho"/>
          <w:b/>
        </w:rPr>
        <w:t>on</w:t>
      </w:r>
    </w:p>
    <w:p w14:paraId="1AC8ABF3" w14:textId="77777777" w:rsidR="007B02AA" w:rsidRPr="00113319" w:rsidRDefault="007B02AA" w:rsidP="007B02AA">
      <w:r w:rsidRPr="00113319">
        <w:rPr>
          <w:rFonts w:eastAsia="MS Mincho"/>
        </w:rPr>
        <w:t>Geneva</w:t>
      </w:r>
      <w:r>
        <w:rPr>
          <w:rFonts w:eastAsia="MS Mincho"/>
          <w:bCs/>
        </w:rPr>
        <w:t>, 14</w:t>
      </w:r>
      <w:r w:rsidR="003F6816">
        <w:rPr>
          <w:rFonts w:eastAsia="MS Mincho"/>
          <w:bCs/>
        </w:rPr>
        <w:t>-17 January</w:t>
      </w:r>
      <w:r w:rsidRPr="00113319">
        <w:rPr>
          <w:rFonts w:eastAsia="MS Mincho"/>
          <w:bCs/>
        </w:rPr>
        <w:t xml:space="preserve"> 20</w:t>
      </w:r>
      <w:r w:rsidR="003F6816">
        <w:rPr>
          <w:rFonts w:eastAsia="MS Mincho"/>
          <w:bCs/>
        </w:rPr>
        <w:t>20</w:t>
      </w:r>
    </w:p>
    <w:p w14:paraId="1F793736" w14:textId="77777777" w:rsidR="00CF1904" w:rsidRPr="00776AE7" w:rsidRDefault="00CF1904" w:rsidP="00CF1904">
      <w:pPr>
        <w:rPr>
          <w:rFonts w:eastAsia="MS Mincho"/>
        </w:rPr>
      </w:pPr>
      <w:r w:rsidRPr="00776AE7">
        <w:rPr>
          <w:rFonts w:eastAsia="MS Mincho"/>
        </w:rPr>
        <w:t xml:space="preserve">Item </w:t>
      </w:r>
      <w:r w:rsidRPr="005F2B20">
        <w:rPr>
          <w:rFonts w:eastAsia="MS Mincho"/>
        </w:rPr>
        <w:t>5</w:t>
      </w:r>
      <w:r w:rsidRPr="00776AE7">
        <w:rPr>
          <w:rFonts w:eastAsia="MS Mincho"/>
        </w:rPr>
        <w:t xml:space="preserve"> of the provisional agenda</w:t>
      </w:r>
    </w:p>
    <w:p w14:paraId="0847D35C" w14:textId="77777777" w:rsidR="008C39AF" w:rsidRPr="008C39AF" w:rsidRDefault="008C39AF" w:rsidP="008C39AF">
      <w:pPr>
        <w:ind w:right="3827"/>
        <w:rPr>
          <w:rFonts w:eastAsia="MS Mincho"/>
          <w:b/>
          <w:bCs/>
        </w:rPr>
      </w:pPr>
      <w:r w:rsidRPr="008C39AF">
        <w:rPr>
          <w:rFonts w:eastAsia="MS Mincho"/>
          <w:b/>
          <w:bCs/>
        </w:rPr>
        <w:t>UN Regulations Nos. 24 (Visible pollutants, measurement of power of C.I. engines</w:t>
      </w:r>
      <w:r>
        <w:rPr>
          <w:rFonts w:eastAsia="MS Mincho"/>
          <w:b/>
          <w:bCs/>
        </w:rPr>
        <w:t xml:space="preserve"> </w:t>
      </w:r>
      <w:r w:rsidRPr="008C39AF">
        <w:rPr>
          <w:rFonts w:eastAsia="MS Mincho"/>
          <w:b/>
          <w:bCs/>
        </w:rPr>
        <w:t>(Diesel smoke)), 85 (Measurement of the net power), 115 (LPG and CNG retrofit</w:t>
      </w:r>
      <w:r>
        <w:rPr>
          <w:rFonts w:eastAsia="MS Mincho"/>
          <w:b/>
          <w:bCs/>
        </w:rPr>
        <w:t xml:space="preserve"> </w:t>
      </w:r>
      <w:r w:rsidRPr="008C39AF">
        <w:rPr>
          <w:rFonts w:eastAsia="MS Mincho"/>
          <w:b/>
          <w:bCs/>
        </w:rPr>
        <w:t>systems), 133 (Recyclability of motor vehicles) and 143 (Heavy Duty Dual-Fuel</w:t>
      </w:r>
      <w:r>
        <w:rPr>
          <w:rFonts w:eastAsia="MS Mincho"/>
          <w:b/>
          <w:bCs/>
        </w:rPr>
        <w:t xml:space="preserve"> </w:t>
      </w:r>
      <w:r w:rsidRPr="008C39AF">
        <w:rPr>
          <w:rFonts w:eastAsia="MS Mincho"/>
          <w:b/>
          <w:bCs/>
        </w:rPr>
        <w:t>Engine Retrofit Systems (HDDF-ERS))</w:t>
      </w:r>
    </w:p>
    <w:p w14:paraId="46842180" w14:textId="7D8FF23C" w:rsidR="00CF1904" w:rsidRPr="00FD4196" w:rsidRDefault="00CF1904" w:rsidP="00CF1904">
      <w:pPr>
        <w:pStyle w:val="HChG"/>
      </w:pPr>
      <w:r w:rsidRPr="00FD4196">
        <w:tab/>
      </w:r>
      <w:r w:rsidRPr="00FD4196">
        <w:tab/>
      </w:r>
      <w:r>
        <w:t>Proposal</w:t>
      </w:r>
      <w:r w:rsidRPr="008E24B7">
        <w:rPr>
          <w:b w:val="0"/>
          <w:bCs/>
          <w:color w:val="000000"/>
          <w:szCs w:val="28"/>
        </w:rPr>
        <w:t xml:space="preserve"> </w:t>
      </w:r>
      <w:r w:rsidRPr="008E24B7">
        <w:rPr>
          <w:bCs/>
          <w:color w:val="000000"/>
          <w:szCs w:val="28"/>
        </w:rPr>
        <w:t xml:space="preserve">for </w:t>
      </w:r>
      <w:r>
        <w:rPr>
          <w:bCs/>
          <w:color w:val="000000"/>
          <w:szCs w:val="28"/>
        </w:rPr>
        <w:t xml:space="preserve">a new </w:t>
      </w:r>
      <w:r w:rsidRPr="008E24B7">
        <w:rPr>
          <w:bCs/>
          <w:color w:val="000000"/>
          <w:szCs w:val="28"/>
        </w:rPr>
        <w:t xml:space="preserve">Supplement to the original version of </w:t>
      </w:r>
      <w:r w:rsidR="00497AB8">
        <w:rPr>
          <w:bCs/>
          <w:color w:val="000000"/>
          <w:szCs w:val="28"/>
        </w:rPr>
        <w:t xml:space="preserve">UN </w:t>
      </w:r>
      <w:r w:rsidRPr="008E24B7">
        <w:rPr>
          <w:bCs/>
          <w:color w:val="000000"/>
          <w:szCs w:val="28"/>
        </w:rPr>
        <w:t>Regulation No. 85 (Measurement of the net power</w:t>
      </w:r>
      <w:r>
        <w:t>)</w:t>
      </w:r>
    </w:p>
    <w:p w14:paraId="5606045D" w14:textId="77777777" w:rsidR="00CF1904" w:rsidRPr="007E5C8F" w:rsidRDefault="00CF1904" w:rsidP="00CF1904">
      <w:pPr>
        <w:pStyle w:val="H1G"/>
      </w:pPr>
      <w:r w:rsidRPr="00FD4196">
        <w:tab/>
      </w:r>
      <w:r w:rsidRPr="00FD4196">
        <w:tab/>
        <w:t>Submitted by the</w:t>
      </w:r>
      <w:r w:rsidRPr="00DD2DA8">
        <w:t xml:space="preserve"> </w:t>
      </w:r>
      <w:r>
        <w:rPr>
          <w:lang w:val="en-US"/>
        </w:rPr>
        <w:t xml:space="preserve">expert from the </w:t>
      </w:r>
      <w:r>
        <w:t xml:space="preserve">International </w:t>
      </w:r>
      <w:r w:rsidRPr="00BC73E7">
        <w:t>Organiz</w:t>
      </w:r>
      <w:r>
        <w:t>ation of Motor Vehicle Manufacturers</w:t>
      </w:r>
      <w:r w:rsidRPr="007E5C8F">
        <w:rPr>
          <w:rStyle w:val="H1GChar"/>
        </w:rPr>
        <w:footnoteReference w:customMarkFollows="1" w:id="2"/>
        <w:t>*</w:t>
      </w:r>
    </w:p>
    <w:p w14:paraId="3FE24DF5" w14:textId="77777777" w:rsidR="00CF1904" w:rsidRDefault="00CF1904" w:rsidP="00CF1904">
      <w:pPr>
        <w:pStyle w:val="SingleTxtG"/>
        <w:ind w:firstLine="567"/>
      </w:pPr>
      <w:r w:rsidRPr="00450B28">
        <w:t xml:space="preserve">The text reproduced below </w:t>
      </w:r>
      <w:r>
        <w:t xml:space="preserve">was prepared by the expert from the International Organization of Motor Vehicle Manufacturers (OICA). This document </w:t>
      </w:r>
      <w:r>
        <w:rPr>
          <w:bCs/>
        </w:rPr>
        <w:t xml:space="preserve">proposes to permit the usage of the gaseous reference fuels described in UN Regulation </w:t>
      </w:r>
      <w:r w:rsidR="007D4074">
        <w:rPr>
          <w:bCs/>
        </w:rPr>
        <w:t xml:space="preserve">No. </w:t>
      </w:r>
      <w:r>
        <w:rPr>
          <w:bCs/>
        </w:rPr>
        <w:t xml:space="preserve">83 in order to reduce potential testing complexity. </w:t>
      </w:r>
      <w:r w:rsidRPr="00DA362D">
        <w:rPr>
          <w:szCs w:val="23"/>
          <w:lang w:val="en-US"/>
        </w:rPr>
        <w:t>The modifications to the current text of the Regulation are marked in bold for new or strikethrough for deleted characters</w:t>
      </w:r>
      <w:r>
        <w:rPr>
          <w:szCs w:val="23"/>
        </w:rPr>
        <w:t>.</w:t>
      </w:r>
    </w:p>
    <w:p w14:paraId="67D5989A" w14:textId="77777777" w:rsidR="00CF1904" w:rsidRDefault="00CF1904" w:rsidP="00CF1904">
      <w:pPr>
        <w:pStyle w:val="HChG"/>
        <w:tabs>
          <w:tab w:val="clear" w:pos="851"/>
        </w:tabs>
        <w:ind w:left="567" w:hanging="567"/>
      </w:pPr>
      <w:r w:rsidRPr="00FD4196">
        <w:br w:type="page"/>
      </w:r>
      <w:r>
        <w:lastRenderedPageBreak/>
        <w:tab/>
      </w:r>
      <w:r w:rsidRPr="00FD4196">
        <w:t>I.</w:t>
      </w:r>
      <w:r w:rsidRPr="00FD4196">
        <w:tab/>
      </w:r>
      <w:r>
        <w:t>Proposal</w:t>
      </w:r>
    </w:p>
    <w:p w14:paraId="084C3BAB" w14:textId="77777777" w:rsidR="00CF1904" w:rsidRDefault="00CF1904" w:rsidP="00CF1904">
      <w:pPr>
        <w:spacing w:after="120"/>
        <w:ind w:left="2300" w:right="1134" w:hanging="1166"/>
        <w:jc w:val="both"/>
        <w:rPr>
          <w:i/>
          <w:lang w:eastAsia="ja-JP"/>
        </w:rPr>
      </w:pPr>
      <w:r>
        <w:rPr>
          <w:i/>
          <w:lang w:val="en-US"/>
        </w:rPr>
        <w:t>Paragraph 5.2.3.3.1.</w:t>
      </w:r>
      <w:r>
        <w:rPr>
          <w:rFonts w:hint="eastAsia"/>
          <w:i/>
          <w:lang w:eastAsia="ja-JP"/>
        </w:rPr>
        <w:t>,</w:t>
      </w:r>
      <w:r w:rsidRPr="008353D9">
        <w:rPr>
          <w:rFonts w:hint="eastAsia"/>
          <w:lang w:eastAsia="ja-JP"/>
        </w:rPr>
        <w:t xml:space="preserve"> amend </w:t>
      </w:r>
      <w:r w:rsidRPr="008353D9">
        <w:rPr>
          <w:lang w:eastAsia="ja-JP"/>
        </w:rPr>
        <w:t>to read</w:t>
      </w:r>
      <w:r w:rsidRPr="008353D9">
        <w:rPr>
          <w:rFonts w:hint="eastAsia"/>
          <w:lang w:eastAsia="ja-JP"/>
        </w:rPr>
        <w:t>:</w:t>
      </w:r>
    </w:p>
    <w:p w14:paraId="6F99BBED" w14:textId="77777777" w:rsidR="00CF1904" w:rsidRDefault="00CF1904" w:rsidP="00CF1904">
      <w:pPr>
        <w:spacing w:after="120"/>
        <w:ind w:left="2300" w:right="1134" w:hanging="1166"/>
        <w:jc w:val="both"/>
        <w:rPr>
          <w:lang w:eastAsia="ja-JP"/>
        </w:rPr>
      </w:pPr>
      <w:r w:rsidRPr="009F1AA6">
        <w:t>"</w:t>
      </w:r>
      <w:r w:rsidRPr="00D6341B">
        <w:t>5.2.3.3.1.</w:t>
      </w:r>
      <w:r>
        <w:tab/>
      </w:r>
      <w:r>
        <w:rPr>
          <w:lang w:eastAsia="ja-JP"/>
        </w:rPr>
        <w:t>In the case of an engine with self-adaptive fuelling:</w:t>
      </w:r>
    </w:p>
    <w:p w14:paraId="77CB64C3" w14:textId="77777777" w:rsidR="00CF1904" w:rsidRDefault="00CF1904" w:rsidP="00CF1904">
      <w:pPr>
        <w:spacing w:after="120"/>
        <w:ind w:left="2300" w:right="1134"/>
        <w:jc w:val="both"/>
      </w:pPr>
      <w:r>
        <w:rPr>
          <w:lang w:eastAsia="ja-JP"/>
        </w:rPr>
        <w:t xml:space="preserve">The fuel used shall be the one available on the market. In any case of dispute the fuel shall be one of the references fuels specified in Annex 8 </w:t>
      </w:r>
      <w:r w:rsidRPr="00D6341B">
        <w:rPr>
          <w:b/>
          <w:bCs/>
          <w:lang w:eastAsia="ja-JP"/>
        </w:rPr>
        <w:t xml:space="preserve">or at the choice of the manufacturer one of the references fuels specified in paragraph 1.2. of Annex 10a to Regulation </w:t>
      </w:r>
      <w:r>
        <w:rPr>
          <w:b/>
          <w:bCs/>
          <w:lang w:eastAsia="ja-JP"/>
        </w:rPr>
        <w:t xml:space="preserve">No. </w:t>
      </w:r>
      <w:r w:rsidRPr="00D6341B">
        <w:rPr>
          <w:b/>
          <w:bCs/>
          <w:lang w:eastAsia="ja-JP"/>
        </w:rPr>
        <w:t xml:space="preserve">83 or in the table “Type: Natural Gas/ Biomethane” in Annex 5 to Regulation </w:t>
      </w:r>
      <w:r>
        <w:rPr>
          <w:b/>
          <w:bCs/>
          <w:lang w:eastAsia="ja-JP"/>
        </w:rPr>
        <w:t xml:space="preserve">No. </w:t>
      </w:r>
      <w:r w:rsidRPr="00D6341B">
        <w:rPr>
          <w:b/>
          <w:bCs/>
          <w:lang w:eastAsia="ja-JP"/>
        </w:rPr>
        <w:t>49</w:t>
      </w:r>
      <w:r>
        <w:rPr>
          <w:lang w:eastAsia="ja-JP"/>
        </w:rPr>
        <w:t>;</w:t>
      </w:r>
      <w:r w:rsidRPr="009F1AA6">
        <w:t>"</w:t>
      </w:r>
    </w:p>
    <w:p w14:paraId="50E57BCF" w14:textId="77777777" w:rsidR="00CF1904" w:rsidRDefault="00CF1904" w:rsidP="00CF1904">
      <w:pPr>
        <w:spacing w:after="120"/>
        <w:ind w:left="2300" w:right="1134" w:hanging="1166"/>
        <w:jc w:val="both"/>
        <w:rPr>
          <w:i/>
          <w:lang w:eastAsia="ja-JP"/>
        </w:rPr>
      </w:pPr>
      <w:r>
        <w:rPr>
          <w:i/>
          <w:lang w:val="en-US"/>
        </w:rPr>
        <w:t>Paragraph 5.2.3.3.2.</w:t>
      </w:r>
      <w:r>
        <w:rPr>
          <w:rFonts w:hint="eastAsia"/>
          <w:i/>
          <w:lang w:eastAsia="ja-JP"/>
        </w:rPr>
        <w:t>,</w:t>
      </w:r>
      <w:r w:rsidRPr="008353D9">
        <w:rPr>
          <w:rFonts w:hint="eastAsia"/>
          <w:lang w:eastAsia="ja-JP"/>
        </w:rPr>
        <w:t xml:space="preserve"> amend </w:t>
      </w:r>
      <w:r w:rsidRPr="008353D9">
        <w:rPr>
          <w:lang w:eastAsia="ja-JP"/>
        </w:rPr>
        <w:t>to read</w:t>
      </w:r>
      <w:r w:rsidRPr="008353D9">
        <w:rPr>
          <w:rFonts w:hint="eastAsia"/>
          <w:lang w:eastAsia="ja-JP"/>
        </w:rPr>
        <w:t>:</w:t>
      </w:r>
    </w:p>
    <w:p w14:paraId="0ECB8E7E" w14:textId="77777777" w:rsidR="00CF1904" w:rsidRDefault="00CF1904" w:rsidP="00CF1904">
      <w:pPr>
        <w:spacing w:after="120"/>
        <w:ind w:left="2300" w:right="1134" w:hanging="1166"/>
        <w:jc w:val="both"/>
        <w:rPr>
          <w:lang w:eastAsia="ja-JP"/>
        </w:rPr>
      </w:pPr>
      <w:r w:rsidRPr="009F1AA6">
        <w:t>"</w:t>
      </w:r>
      <w:r w:rsidRPr="00D6341B">
        <w:t>5.2.3.3.</w:t>
      </w:r>
      <w:r>
        <w:t>2</w:t>
      </w:r>
      <w:r w:rsidRPr="00D6341B">
        <w:t>.</w:t>
      </w:r>
      <w:r>
        <w:tab/>
      </w:r>
      <w:r>
        <w:rPr>
          <w:lang w:eastAsia="ja-JP"/>
        </w:rPr>
        <w:t>In the case of an engine without self-adaptive fuelling:</w:t>
      </w:r>
    </w:p>
    <w:p w14:paraId="32262688" w14:textId="77777777" w:rsidR="00CF1904" w:rsidRDefault="00CF1904" w:rsidP="00CF1904">
      <w:pPr>
        <w:spacing w:after="120"/>
        <w:ind w:left="2300" w:right="1134" w:hanging="1166"/>
        <w:jc w:val="both"/>
        <w:rPr>
          <w:lang w:eastAsia="ja-JP"/>
        </w:rPr>
      </w:pPr>
      <w:r>
        <w:rPr>
          <w:lang w:eastAsia="ja-JP"/>
        </w:rPr>
        <w:tab/>
        <w:t xml:space="preserve">The fuel used shall be the one available on the market with a </w:t>
      </w:r>
      <w:proofErr w:type="spellStart"/>
      <w:r>
        <w:rPr>
          <w:lang w:eastAsia="ja-JP"/>
        </w:rPr>
        <w:t>Wobbe</w:t>
      </w:r>
      <w:proofErr w:type="spellEnd"/>
      <w:r>
        <w:rPr>
          <w:lang w:eastAsia="ja-JP"/>
        </w:rPr>
        <w:t xml:space="preserve"> index at least 52.6 MJm-3 (4 °C, 101.3 kPa). In case of dispute the fuel used shall be the reference fuel G20 specified in Annex 8 </w:t>
      </w:r>
      <w:r w:rsidRPr="00D6341B">
        <w:rPr>
          <w:b/>
          <w:bCs/>
          <w:lang w:eastAsia="ja-JP"/>
        </w:rPr>
        <w:t xml:space="preserve">or at the choice of the manufacturer the reference fuel G20 specified in paragraph 1.2. of Annex 10a to Regulation </w:t>
      </w:r>
      <w:r>
        <w:rPr>
          <w:b/>
          <w:bCs/>
          <w:lang w:eastAsia="ja-JP"/>
        </w:rPr>
        <w:t xml:space="preserve">No. </w:t>
      </w:r>
      <w:r w:rsidRPr="00D6341B">
        <w:rPr>
          <w:b/>
          <w:bCs/>
          <w:lang w:eastAsia="ja-JP"/>
        </w:rPr>
        <w:t xml:space="preserve">83 or the reference fuel G20 specified in the table “Type: Natural Gas/ Biomethane” in Annex 5 to Regulation </w:t>
      </w:r>
      <w:r>
        <w:rPr>
          <w:b/>
          <w:bCs/>
          <w:lang w:eastAsia="ja-JP"/>
        </w:rPr>
        <w:t xml:space="preserve">No. </w:t>
      </w:r>
      <w:r w:rsidRPr="00D6341B">
        <w:rPr>
          <w:b/>
          <w:bCs/>
          <w:lang w:eastAsia="ja-JP"/>
        </w:rPr>
        <w:t>49</w:t>
      </w:r>
      <w:r>
        <w:rPr>
          <w:lang w:eastAsia="ja-JP"/>
        </w:rPr>
        <w:t xml:space="preserve">, i.e. the fuel with the highest </w:t>
      </w:r>
      <w:proofErr w:type="spellStart"/>
      <w:r>
        <w:rPr>
          <w:lang w:eastAsia="ja-JP"/>
        </w:rPr>
        <w:t>Wobbe</w:t>
      </w:r>
      <w:proofErr w:type="spellEnd"/>
      <w:r>
        <w:rPr>
          <w:lang w:eastAsia="ja-JP"/>
        </w:rPr>
        <w:t xml:space="preserve"> Index, or"</w:t>
      </w:r>
    </w:p>
    <w:p w14:paraId="7CA0F011" w14:textId="77777777" w:rsidR="00CF1904" w:rsidRPr="00697A82" w:rsidRDefault="00CF1904" w:rsidP="00CF1904">
      <w:pPr>
        <w:pStyle w:val="HChG"/>
        <w:tabs>
          <w:tab w:val="clear" w:pos="851"/>
        </w:tabs>
        <w:ind w:hanging="567"/>
      </w:pPr>
      <w:r w:rsidRPr="00697A82">
        <w:rPr>
          <w:lang w:val="en-US"/>
        </w:rPr>
        <w:t>II.</w:t>
      </w:r>
      <w:r w:rsidRPr="00697A82">
        <w:rPr>
          <w:lang w:val="en-US"/>
        </w:rPr>
        <w:tab/>
        <w:t>Justification</w:t>
      </w:r>
    </w:p>
    <w:p w14:paraId="4526B303" w14:textId="77777777" w:rsidR="00CF1904" w:rsidRDefault="00CF1904" w:rsidP="00CF1904">
      <w:pPr>
        <w:pStyle w:val="SingleTxtG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  <w:t>There is no overlap between the reference fuels currently in UN R</w:t>
      </w:r>
      <w:r w:rsidR="009E0D73">
        <w:rPr>
          <w:lang w:eastAsia="ja-JP"/>
        </w:rPr>
        <w:t xml:space="preserve">egulation No. </w:t>
      </w:r>
      <w:r>
        <w:rPr>
          <w:lang w:eastAsia="ja-JP"/>
        </w:rPr>
        <w:t>85 and those in UN R</w:t>
      </w:r>
      <w:r w:rsidR="00576F84">
        <w:rPr>
          <w:lang w:eastAsia="ja-JP"/>
        </w:rPr>
        <w:t xml:space="preserve">egulation No. </w:t>
      </w:r>
      <w:r>
        <w:rPr>
          <w:lang w:eastAsia="ja-JP"/>
        </w:rPr>
        <w:t>83 or UN R</w:t>
      </w:r>
      <w:r w:rsidR="00576F84">
        <w:rPr>
          <w:lang w:eastAsia="ja-JP"/>
        </w:rPr>
        <w:t xml:space="preserve">egulation No. </w:t>
      </w:r>
      <w:r>
        <w:rPr>
          <w:lang w:eastAsia="ja-JP"/>
        </w:rPr>
        <w:t>49 (see below):</w:t>
      </w:r>
      <w:r>
        <w:rPr>
          <w:lang w:eastAsia="ja-JP"/>
        </w:rPr>
        <w:tab/>
      </w: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862"/>
        <w:gridCol w:w="1306"/>
        <w:gridCol w:w="1358"/>
        <w:gridCol w:w="1502"/>
      </w:tblGrid>
      <w:tr w:rsidR="00CF1904" w:rsidRPr="000537C0" w14:paraId="0F5D6E06" w14:textId="77777777" w:rsidTr="00CA0754">
        <w:trPr>
          <w:trHeight w:hRule="exact" w:val="430"/>
        </w:trPr>
        <w:tc>
          <w:tcPr>
            <w:tcW w:w="3331" w:type="dxa"/>
            <w:gridSpan w:val="2"/>
            <w:tcBorders>
              <w:bottom w:val="single" w:sz="12" w:space="0" w:color="auto"/>
            </w:tcBorders>
          </w:tcPr>
          <w:p w14:paraId="78AE5739" w14:textId="77777777" w:rsidR="00CF1904" w:rsidRPr="004956AC" w:rsidRDefault="00CF1904" w:rsidP="00CA0754">
            <w:pPr>
              <w:pStyle w:val="para"/>
              <w:spacing w:before="120" w:after="0"/>
              <w:ind w:left="113" w:right="113" w:firstLine="0"/>
              <w:jc w:val="right"/>
              <w:rPr>
                <w:i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</w:tcPr>
          <w:p w14:paraId="53551D71" w14:textId="77777777" w:rsidR="00CF1904" w:rsidRPr="004A2E70" w:rsidRDefault="00CF1904" w:rsidP="00CA0754">
            <w:pPr>
              <w:pStyle w:val="para"/>
              <w:spacing w:before="120"/>
              <w:ind w:left="113" w:right="113" w:firstLine="0"/>
              <w:jc w:val="right"/>
              <w:rPr>
                <w:i/>
                <w:sz w:val="16"/>
                <w:szCs w:val="16"/>
              </w:rPr>
            </w:pPr>
            <w:r w:rsidRPr="004A2E70">
              <w:rPr>
                <w:i/>
                <w:sz w:val="16"/>
                <w:szCs w:val="16"/>
              </w:rPr>
              <w:t>G20</w:t>
            </w: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14:paraId="03575C16" w14:textId="77777777" w:rsidR="00CF1904" w:rsidRPr="004A2E70" w:rsidRDefault="00CF1904" w:rsidP="00CA0754">
            <w:pPr>
              <w:pStyle w:val="para"/>
              <w:spacing w:before="120"/>
              <w:ind w:left="113" w:right="113" w:firstLine="0"/>
              <w:jc w:val="right"/>
              <w:rPr>
                <w:i/>
                <w:sz w:val="16"/>
                <w:szCs w:val="16"/>
              </w:rPr>
            </w:pPr>
            <w:r w:rsidRPr="004A2E70">
              <w:rPr>
                <w:i/>
                <w:sz w:val="16"/>
                <w:szCs w:val="16"/>
              </w:rPr>
              <w:t>G23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14:paraId="497457E9" w14:textId="77777777" w:rsidR="00CF1904" w:rsidRPr="004A2E70" w:rsidRDefault="00CF1904" w:rsidP="00CA0754">
            <w:pPr>
              <w:pStyle w:val="para"/>
              <w:spacing w:before="120"/>
              <w:ind w:left="113" w:right="113" w:firstLine="0"/>
              <w:jc w:val="right"/>
              <w:rPr>
                <w:i/>
                <w:sz w:val="16"/>
                <w:szCs w:val="16"/>
              </w:rPr>
            </w:pPr>
            <w:r w:rsidRPr="004A2E70">
              <w:rPr>
                <w:i/>
                <w:sz w:val="16"/>
                <w:szCs w:val="16"/>
              </w:rPr>
              <w:t>G25</w:t>
            </w:r>
          </w:p>
        </w:tc>
      </w:tr>
      <w:tr w:rsidR="00CF1904" w:rsidRPr="000537C0" w14:paraId="68B31EA6" w14:textId="77777777" w:rsidTr="00CA0754">
        <w:trPr>
          <w:trHeight w:hRule="exact" w:val="24"/>
        </w:trPr>
        <w:tc>
          <w:tcPr>
            <w:tcW w:w="3331" w:type="dxa"/>
            <w:gridSpan w:val="2"/>
            <w:tcBorders>
              <w:top w:val="single" w:sz="12" w:space="0" w:color="auto"/>
            </w:tcBorders>
          </w:tcPr>
          <w:p w14:paraId="0E5290A2" w14:textId="77777777" w:rsidR="00CF1904" w:rsidRPr="000537C0" w:rsidRDefault="00CF1904" w:rsidP="00CA0754">
            <w:pPr>
              <w:pStyle w:val="para"/>
              <w:spacing w:before="120" w:after="0"/>
              <w:ind w:left="113" w:right="113" w:firstLine="0"/>
              <w:jc w:val="right"/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306" w:type="dxa"/>
            <w:tcBorders>
              <w:top w:val="single" w:sz="12" w:space="0" w:color="auto"/>
            </w:tcBorders>
          </w:tcPr>
          <w:p w14:paraId="10835006" w14:textId="77777777" w:rsidR="00CF1904" w:rsidRPr="004A2E70" w:rsidRDefault="00CF1904" w:rsidP="00CA0754">
            <w:pPr>
              <w:pStyle w:val="para"/>
              <w:spacing w:before="120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</w:tcPr>
          <w:p w14:paraId="18A1C05D" w14:textId="77777777" w:rsidR="00CF1904" w:rsidRPr="004A2E70" w:rsidRDefault="00CF1904" w:rsidP="00CA0754">
            <w:pPr>
              <w:pStyle w:val="para"/>
              <w:spacing w:before="120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12" w:space="0" w:color="auto"/>
            </w:tcBorders>
          </w:tcPr>
          <w:p w14:paraId="105D5C85" w14:textId="77777777" w:rsidR="00CF1904" w:rsidRPr="004A2E70" w:rsidRDefault="00CF1904" w:rsidP="00CA0754">
            <w:pPr>
              <w:pStyle w:val="para"/>
              <w:spacing w:before="120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</w:tr>
      <w:tr w:rsidR="00CF1904" w:rsidRPr="000537C0" w14:paraId="296CEBD6" w14:textId="77777777" w:rsidTr="009E0D73">
        <w:trPr>
          <w:trHeight w:hRule="exact" w:val="2532"/>
        </w:trPr>
        <w:tc>
          <w:tcPr>
            <w:tcW w:w="2469" w:type="dxa"/>
            <w:tcBorders>
              <w:bottom w:val="single" w:sz="12" w:space="0" w:color="auto"/>
            </w:tcBorders>
          </w:tcPr>
          <w:p w14:paraId="3AABB952" w14:textId="77777777" w:rsidR="00CF1904" w:rsidRPr="00D6341B" w:rsidRDefault="00CF1904" w:rsidP="00CA0754">
            <w:pPr>
              <w:pStyle w:val="para"/>
              <w:spacing w:before="120"/>
              <w:ind w:left="113" w:right="113" w:firstLine="0"/>
              <w:jc w:val="left"/>
              <w:rPr>
                <w:lang w:val="en-GB"/>
              </w:rPr>
            </w:pPr>
            <w:r w:rsidRPr="00D6341B">
              <w:rPr>
                <w:lang w:val="en-GB"/>
              </w:rPr>
              <w:t xml:space="preserve">Composition: </w:t>
            </w:r>
          </w:p>
          <w:p w14:paraId="68F151A8" w14:textId="77777777" w:rsidR="00CF1904" w:rsidRPr="00D6341B" w:rsidRDefault="00CF1904" w:rsidP="00CA0754">
            <w:pPr>
              <w:pStyle w:val="para"/>
              <w:spacing w:before="120"/>
              <w:ind w:left="113" w:right="113" w:firstLine="0"/>
              <w:jc w:val="left"/>
              <w:rPr>
                <w:lang w:val="en-GB"/>
              </w:rPr>
            </w:pPr>
            <w:r w:rsidRPr="00D6341B">
              <w:rPr>
                <w:lang w:val="en-GB"/>
              </w:rPr>
              <w:t>CH4</w:t>
            </w:r>
          </w:p>
          <w:p w14:paraId="0CD69631" w14:textId="77777777" w:rsidR="00CF1904" w:rsidRPr="00D6341B" w:rsidRDefault="00CF1904" w:rsidP="00CA0754">
            <w:pPr>
              <w:pStyle w:val="para"/>
              <w:spacing w:before="120"/>
              <w:ind w:left="113" w:right="113" w:firstLine="0"/>
              <w:jc w:val="left"/>
              <w:rPr>
                <w:lang w:val="en-GB"/>
              </w:rPr>
            </w:pPr>
            <w:r w:rsidRPr="00D6341B">
              <w:rPr>
                <w:lang w:val="en-GB"/>
              </w:rPr>
              <w:t>N2</w:t>
            </w:r>
          </w:p>
          <w:p w14:paraId="1F4C8874" w14:textId="77777777" w:rsidR="00CF1904" w:rsidRPr="00D6341B" w:rsidRDefault="00CF1904" w:rsidP="00CA0754">
            <w:pPr>
              <w:pStyle w:val="para"/>
              <w:spacing w:before="120"/>
              <w:ind w:left="113" w:right="113" w:firstLine="0"/>
              <w:jc w:val="left"/>
              <w:rPr>
                <w:lang w:val="en-GB"/>
              </w:rPr>
            </w:pPr>
            <w:proofErr w:type="spellStart"/>
            <w:r w:rsidRPr="00D6341B">
              <w:rPr>
                <w:lang w:val="en-GB"/>
              </w:rPr>
              <w:t>Wobbe</w:t>
            </w:r>
            <w:proofErr w:type="spellEnd"/>
            <w:r w:rsidRPr="00D6341B">
              <w:rPr>
                <w:lang w:val="en-GB"/>
              </w:rPr>
              <w:t xml:space="preserve"> Index*</w:t>
            </w:r>
          </w:p>
          <w:p w14:paraId="561B9BE3" w14:textId="77777777" w:rsidR="00CF1904" w:rsidRDefault="00CF1904" w:rsidP="00CA0754">
            <w:pPr>
              <w:pStyle w:val="para"/>
              <w:spacing w:before="120"/>
              <w:ind w:left="113" w:right="113" w:firstLine="0"/>
              <w:jc w:val="left"/>
              <w:rPr>
                <w:color w:val="FF0000"/>
              </w:rPr>
            </w:pPr>
            <w:r w:rsidRPr="00230947">
              <w:rPr>
                <w:color w:val="FF0000"/>
              </w:rPr>
              <w:t>+/- 2%</w:t>
            </w:r>
          </w:p>
          <w:p w14:paraId="7C3833D2" w14:textId="77777777" w:rsidR="00CF1904" w:rsidRDefault="00CF1904" w:rsidP="00CA0754">
            <w:pPr>
              <w:pStyle w:val="para"/>
              <w:spacing w:before="120"/>
              <w:ind w:left="113" w:right="113" w:firstLine="0"/>
              <w:jc w:val="left"/>
              <w:rPr>
                <w:color w:val="00B050"/>
              </w:rPr>
            </w:pPr>
            <w:r w:rsidRPr="00583CEF">
              <w:rPr>
                <w:color w:val="00B050"/>
              </w:rPr>
              <w:t>UN</w:t>
            </w:r>
            <w:r w:rsidR="009E0D73">
              <w:rPr>
                <w:color w:val="00B050"/>
              </w:rPr>
              <w:t xml:space="preserve"> </w:t>
            </w:r>
            <w:proofErr w:type="spellStart"/>
            <w:r w:rsidRPr="00583CEF">
              <w:rPr>
                <w:color w:val="00B050"/>
              </w:rPr>
              <w:t>R</w:t>
            </w:r>
            <w:r w:rsidR="009E0D73">
              <w:rPr>
                <w:color w:val="00B050"/>
              </w:rPr>
              <w:t>egulation</w:t>
            </w:r>
            <w:proofErr w:type="spellEnd"/>
            <w:r w:rsidR="009E0D73">
              <w:rPr>
                <w:color w:val="00B050"/>
              </w:rPr>
              <w:t xml:space="preserve"> No.</w:t>
            </w:r>
            <w:r w:rsidRPr="00583CEF">
              <w:rPr>
                <w:color w:val="00B050"/>
              </w:rPr>
              <w:t xml:space="preserve"> 83</w:t>
            </w:r>
          </w:p>
          <w:p w14:paraId="1328EFC2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  <w:jc w:val="left"/>
            </w:pPr>
            <w:r>
              <w:rPr>
                <w:color w:val="00B050"/>
              </w:rPr>
              <w:t>UN</w:t>
            </w:r>
            <w:r w:rsidR="009E0D73"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R</w:t>
            </w:r>
            <w:r w:rsidR="009E0D73">
              <w:rPr>
                <w:color w:val="00B050"/>
              </w:rPr>
              <w:t>egulation</w:t>
            </w:r>
            <w:proofErr w:type="spellEnd"/>
            <w:r w:rsidR="009E0D73">
              <w:rPr>
                <w:color w:val="00B050"/>
              </w:rPr>
              <w:t xml:space="preserve"> No.</w:t>
            </w:r>
            <w:r>
              <w:rPr>
                <w:color w:val="00B050"/>
              </w:rPr>
              <w:t xml:space="preserve"> 49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482B1AE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  <w:jc w:val="left"/>
            </w:pPr>
          </w:p>
          <w:p w14:paraId="44E72FA3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  <w:jc w:val="left"/>
            </w:pPr>
            <w:r w:rsidRPr="00025F93">
              <w:t>% vol</w:t>
            </w:r>
          </w:p>
          <w:p w14:paraId="741B485E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  <w:jc w:val="left"/>
            </w:pPr>
            <w:r w:rsidRPr="00025F93">
              <w:t>% vol</w:t>
            </w:r>
          </w:p>
          <w:p w14:paraId="55B43B47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  <w:jc w:val="left"/>
            </w:pPr>
            <w:r w:rsidRPr="00025F93">
              <w:t>MJ/m</w:t>
            </w:r>
            <w:r w:rsidRPr="00025F93">
              <w:rPr>
                <w:vertAlign w:val="superscript"/>
              </w:rPr>
              <w:t>3</w:t>
            </w:r>
          </w:p>
        </w:tc>
        <w:tc>
          <w:tcPr>
            <w:tcW w:w="1306" w:type="dxa"/>
            <w:tcBorders>
              <w:bottom w:val="single" w:sz="12" w:space="0" w:color="auto"/>
            </w:tcBorders>
          </w:tcPr>
          <w:p w14:paraId="7E52F9D1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  <w:jc w:val="left"/>
            </w:pPr>
          </w:p>
          <w:p w14:paraId="5046BDC3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  <w:jc w:val="left"/>
            </w:pPr>
            <w:r w:rsidRPr="00025F93">
              <w:t>100</w:t>
            </w:r>
          </w:p>
          <w:p w14:paraId="44EABEFA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  <w:jc w:val="left"/>
            </w:pPr>
            <w:r w:rsidRPr="00025F93">
              <w:t>0</w:t>
            </w:r>
          </w:p>
          <w:p w14:paraId="7CAD4E30" w14:textId="77777777" w:rsidR="00CF1904" w:rsidRDefault="00CF1904" w:rsidP="00CA0754">
            <w:pPr>
              <w:pStyle w:val="para"/>
              <w:spacing w:before="120"/>
              <w:ind w:left="113" w:right="113" w:firstLine="0"/>
              <w:jc w:val="left"/>
            </w:pPr>
            <w:r w:rsidRPr="00025F93">
              <w:t>53.6 ±</w:t>
            </w:r>
            <w:r>
              <w:t xml:space="preserve"> </w:t>
            </w:r>
            <w:r w:rsidRPr="00025F93">
              <w:t>2</w:t>
            </w:r>
            <w:r>
              <w:t xml:space="preserve"> </w:t>
            </w:r>
            <w:r w:rsidRPr="00025F93">
              <w:t>%</w:t>
            </w:r>
          </w:p>
          <w:p w14:paraId="1F9D91AF" w14:textId="77777777" w:rsidR="00CF1904" w:rsidRDefault="00CF1904" w:rsidP="00CA0754">
            <w:pPr>
              <w:pStyle w:val="para"/>
              <w:spacing w:before="120"/>
              <w:ind w:left="113" w:right="113" w:firstLine="0"/>
              <w:jc w:val="left"/>
              <w:rPr>
                <w:color w:val="FF0000"/>
              </w:rPr>
            </w:pPr>
            <w:r w:rsidRPr="00230947">
              <w:rPr>
                <w:color w:val="FF0000"/>
              </w:rPr>
              <w:t>52.5 – 54.7</w:t>
            </w:r>
          </w:p>
          <w:p w14:paraId="7AEA9EFE" w14:textId="77777777" w:rsidR="00CF1904" w:rsidRDefault="00CF1904" w:rsidP="00CA0754">
            <w:pPr>
              <w:pStyle w:val="para"/>
              <w:spacing w:before="120"/>
              <w:ind w:left="113" w:right="113" w:firstLine="0"/>
              <w:jc w:val="left"/>
              <w:rPr>
                <w:color w:val="00B050"/>
              </w:rPr>
            </w:pPr>
            <w:r w:rsidRPr="00583CEF">
              <w:rPr>
                <w:color w:val="00B050"/>
              </w:rPr>
              <w:t>47.2 – 49.2</w:t>
            </w:r>
          </w:p>
          <w:p w14:paraId="15E26DDD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  <w:jc w:val="left"/>
            </w:pPr>
            <w:r w:rsidRPr="00583CEF">
              <w:rPr>
                <w:color w:val="00B050"/>
              </w:rPr>
              <w:t>47.2 – 49.2</w:t>
            </w: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14:paraId="2A9D66DE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  <w:jc w:val="center"/>
            </w:pPr>
          </w:p>
          <w:p w14:paraId="7380133C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</w:pPr>
            <w:r w:rsidRPr="00025F93">
              <w:t>92.5</w:t>
            </w:r>
          </w:p>
          <w:p w14:paraId="136ED4AB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</w:pPr>
            <w:r w:rsidRPr="00025F93">
              <w:t>7.5</w:t>
            </w:r>
          </w:p>
          <w:p w14:paraId="1DE15EF1" w14:textId="77777777" w:rsidR="00CF1904" w:rsidRDefault="00CF1904" w:rsidP="00CA0754">
            <w:pPr>
              <w:pStyle w:val="para"/>
              <w:spacing w:before="120"/>
              <w:ind w:left="113" w:right="113" w:firstLine="0"/>
            </w:pPr>
            <w:r w:rsidRPr="00025F93">
              <w:t>48.2 + 2</w:t>
            </w:r>
            <w:r>
              <w:t xml:space="preserve"> </w:t>
            </w:r>
            <w:r w:rsidRPr="00025F93">
              <w:t>%</w:t>
            </w:r>
          </w:p>
          <w:p w14:paraId="6A040D94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</w:pPr>
            <w:r w:rsidRPr="00230947">
              <w:rPr>
                <w:color w:val="FF0000"/>
              </w:rPr>
              <w:t>47.2 – 49.2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14:paraId="3889D24A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  <w:jc w:val="center"/>
            </w:pPr>
          </w:p>
          <w:p w14:paraId="1A552D76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</w:pPr>
            <w:r w:rsidRPr="00025F93">
              <w:t>86</w:t>
            </w:r>
          </w:p>
          <w:p w14:paraId="50BDD3C5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</w:pPr>
            <w:r w:rsidRPr="00025F93">
              <w:t>14</w:t>
            </w:r>
          </w:p>
          <w:p w14:paraId="1D72067C" w14:textId="77777777" w:rsidR="00CF1904" w:rsidRDefault="00CF1904" w:rsidP="00CA0754">
            <w:pPr>
              <w:pStyle w:val="para"/>
              <w:spacing w:before="120"/>
              <w:ind w:left="113" w:right="113" w:firstLine="0"/>
            </w:pPr>
            <w:r w:rsidRPr="00025F93">
              <w:t>43.9 ± 2</w:t>
            </w:r>
            <w:r>
              <w:t xml:space="preserve"> </w:t>
            </w:r>
            <w:r w:rsidRPr="00025F93">
              <w:t>%</w:t>
            </w:r>
          </w:p>
          <w:p w14:paraId="3A6F7553" w14:textId="77777777" w:rsidR="00CF1904" w:rsidRDefault="00CF1904" w:rsidP="00CA0754">
            <w:pPr>
              <w:pStyle w:val="para"/>
              <w:spacing w:before="120"/>
              <w:ind w:left="113" w:right="113" w:firstLine="0"/>
              <w:rPr>
                <w:color w:val="FF0000"/>
              </w:rPr>
            </w:pPr>
            <w:r w:rsidRPr="00230947">
              <w:rPr>
                <w:color w:val="FF0000"/>
              </w:rPr>
              <w:t>43.0 – 44.8</w:t>
            </w:r>
          </w:p>
          <w:p w14:paraId="60F4C66B" w14:textId="77777777" w:rsidR="00CF1904" w:rsidRPr="00025F93" w:rsidRDefault="00CF1904" w:rsidP="00CA0754">
            <w:pPr>
              <w:pStyle w:val="para"/>
              <w:spacing w:before="120"/>
              <w:ind w:left="113" w:right="113" w:firstLine="0"/>
            </w:pPr>
            <w:r w:rsidRPr="00583CEF">
              <w:rPr>
                <w:color w:val="00B050"/>
              </w:rPr>
              <w:t>38.2 – 40.6</w:t>
            </w:r>
          </w:p>
        </w:tc>
      </w:tr>
    </w:tbl>
    <w:p w14:paraId="52A038F9" w14:textId="77777777" w:rsidR="00CF1904" w:rsidRDefault="00CF1904" w:rsidP="00CF1904">
      <w:pPr>
        <w:pStyle w:val="SingleTxtG"/>
        <w:ind w:left="1701" w:hanging="567"/>
        <w:rPr>
          <w:lang w:eastAsia="ja-JP"/>
        </w:rPr>
      </w:pPr>
    </w:p>
    <w:p w14:paraId="67B68631" w14:textId="77777777" w:rsidR="00CF1904" w:rsidRPr="004D1B6E" w:rsidRDefault="00CF1904" w:rsidP="00CF1904">
      <w:pPr>
        <w:pStyle w:val="SingleTxtG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  <w:t xml:space="preserve"> An allowance to use the emissions reference fuels would avoid the need for sourcing and storage of 2 reference fuels in type approval facilities.</w:t>
      </w:r>
    </w:p>
    <w:p w14:paraId="6046E88E" w14:textId="77777777" w:rsidR="00164DE7" w:rsidRPr="007D4074" w:rsidRDefault="00CF1904" w:rsidP="007D4074">
      <w:pPr>
        <w:pStyle w:val="SingleTxtG"/>
        <w:spacing w:before="240" w:after="0"/>
        <w:ind w:left="149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64DE7" w:rsidRPr="007D4074" w:rsidSect="007B02A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74488" w14:textId="77777777" w:rsidR="007B02AA" w:rsidRDefault="007B02AA"/>
  </w:endnote>
  <w:endnote w:type="continuationSeparator" w:id="0">
    <w:p w14:paraId="09C4E1B8" w14:textId="77777777" w:rsidR="007B02AA" w:rsidRDefault="007B02AA"/>
  </w:endnote>
  <w:endnote w:type="continuationNotice" w:id="1">
    <w:p w14:paraId="584EACC5" w14:textId="77777777" w:rsidR="007B02AA" w:rsidRDefault="007B0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C79D3" w14:textId="4C01D6ED" w:rsidR="007B02AA" w:rsidRPr="007B02AA" w:rsidRDefault="007B02AA" w:rsidP="007B02AA">
    <w:pPr>
      <w:pStyle w:val="Footer"/>
      <w:tabs>
        <w:tab w:val="right" w:pos="9638"/>
      </w:tabs>
      <w:rPr>
        <w:sz w:val="18"/>
      </w:rPr>
    </w:pP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="00B47B21">
      <w:rPr>
        <w:b/>
        <w:noProof/>
        <w:sz w:val="18"/>
      </w:rPr>
      <w:t>2</w:t>
    </w:r>
    <w:r w:rsidRPr="007B02A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3285" w14:textId="77777777" w:rsidR="007B02AA" w:rsidRPr="007B02AA" w:rsidRDefault="007B02AA" w:rsidP="007B02AA">
    <w:pPr>
      <w:pStyle w:val="Footer"/>
      <w:tabs>
        <w:tab w:val="right" w:pos="9638"/>
      </w:tabs>
      <w:rPr>
        <w:b/>
        <w:sz w:val="18"/>
      </w:rPr>
    </w:pPr>
    <w:r>
      <w:tab/>
    </w: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Pr="007B02AA">
      <w:rPr>
        <w:b/>
        <w:noProof/>
        <w:sz w:val="18"/>
      </w:rPr>
      <w:t>3</w:t>
    </w:r>
    <w:r w:rsidRPr="007B02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7CECB" w14:textId="62C8DB4E" w:rsidR="00266B4D" w:rsidRDefault="00266B4D" w:rsidP="00266B4D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013B2233" wp14:editId="549BB45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923D11" w14:textId="57B0088E" w:rsidR="00266B4D" w:rsidRDefault="00266B4D" w:rsidP="00266B4D">
    <w:pPr>
      <w:pStyle w:val="Footer"/>
      <w:ind w:right="1134"/>
      <w:rPr>
        <w:sz w:val="20"/>
      </w:rPr>
    </w:pPr>
    <w:r>
      <w:rPr>
        <w:sz w:val="20"/>
      </w:rPr>
      <w:t>GE.19-18892(E)</w:t>
    </w:r>
  </w:p>
  <w:p w14:paraId="1745163E" w14:textId="03ABFC25" w:rsidR="00266B4D" w:rsidRPr="00266B4D" w:rsidRDefault="00266B4D" w:rsidP="00266B4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19C25481" wp14:editId="5DCE6DAC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PE/2020/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20/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D01EF" w14:textId="77777777" w:rsidR="007B02AA" w:rsidRPr="000B175B" w:rsidRDefault="007B02A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3689B3" w14:textId="77777777" w:rsidR="007B02AA" w:rsidRPr="00FC68B7" w:rsidRDefault="007B02A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106395" w14:textId="77777777" w:rsidR="007B02AA" w:rsidRDefault="007B02AA"/>
  </w:footnote>
  <w:footnote w:id="2">
    <w:p w14:paraId="4C0399F7" w14:textId="77777777" w:rsidR="00CF1904" w:rsidRPr="007E5C8F" w:rsidRDefault="00CF1904" w:rsidP="00CF1904">
      <w:pPr>
        <w:pStyle w:val="FootnoteText"/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7D4074" w:rsidRPr="00AB708F">
        <w:rPr>
          <w:szCs w:val="18"/>
          <w:lang w:val="en-US"/>
        </w:rPr>
        <w:t>In accordance with the programme of work of the Inland Transport Committee for 2020 as outlined in proposed programme budget for 2020 (A/74/6 (part V sect. 20) para 20.37),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2521" w14:textId="5A765E61" w:rsidR="007B02AA" w:rsidRPr="007B02AA" w:rsidRDefault="00B47B2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F41E8">
      <w:t>ECE/TRANS/WP.29/GRPE/2020/8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BFCD" w14:textId="13E1D539" w:rsidR="007B02AA" w:rsidRPr="007B02AA" w:rsidRDefault="00B47B21" w:rsidP="007B02A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F41E8">
      <w:t>ECE/TRANS/WP.29/GRPE/2020/8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456B8"/>
    <w:multiLevelType w:val="hybridMultilevel"/>
    <w:tmpl w:val="8A042FD6"/>
    <w:lvl w:ilvl="0" w:tplc="FDC2B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7A4C8B"/>
    <w:multiLevelType w:val="hybridMultilevel"/>
    <w:tmpl w:val="A0DEDE16"/>
    <w:lvl w:ilvl="0" w:tplc="80FA63D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19D7314"/>
    <w:multiLevelType w:val="hybridMultilevel"/>
    <w:tmpl w:val="F5545552"/>
    <w:lvl w:ilvl="0" w:tplc="DE609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6BF5537"/>
    <w:multiLevelType w:val="hybridMultilevel"/>
    <w:tmpl w:val="16401306"/>
    <w:lvl w:ilvl="0" w:tplc="D16A7F1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F146B8E"/>
    <w:multiLevelType w:val="hybridMultilevel"/>
    <w:tmpl w:val="C9E84E1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41EED"/>
    <w:multiLevelType w:val="hybridMultilevel"/>
    <w:tmpl w:val="6F267C4E"/>
    <w:lvl w:ilvl="0" w:tplc="DF0438D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FF7372A"/>
    <w:multiLevelType w:val="hybridMultilevel"/>
    <w:tmpl w:val="91CA5732"/>
    <w:lvl w:ilvl="0" w:tplc="BFC2E8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20B03"/>
    <w:multiLevelType w:val="hybridMultilevel"/>
    <w:tmpl w:val="6750EBF4"/>
    <w:lvl w:ilvl="0" w:tplc="4B56B02C">
      <w:start w:val="1"/>
      <w:numFmt w:val="decimal"/>
      <w:lvlText w:val="%1."/>
      <w:lvlJc w:val="left"/>
      <w:pPr>
        <w:ind w:left="6249" w:hanging="360"/>
      </w:pPr>
      <w:rPr>
        <w:sz w:val="20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6969" w:hanging="360"/>
      </w:pPr>
    </w:lvl>
    <w:lvl w:ilvl="2" w:tplc="040C001B" w:tentative="1">
      <w:start w:val="1"/>
      <w:numFmt w:val="lowerRoman"/>
      <w:lvlText w:val="%3."/>
      <w:lvlJc w:val="right"/>
      <w:pPr>
        <w:ind w:left="7689" w:hanging="180"/>
      </w:pPr>
    </w:lvl>
    <w:lvl w:ilvl="3" w:tplc="040C000F" w:tentative="1">
      <w:start w:val="1"/>
      <w:numFmt w:val="decimal"/>
      <w:lvlText w:val="%4."/>
      <w:lvlJc w:val="left"/>
      <w:pPr>
        <w:ind w:left="8409" w:hanging="360"/>
      </w:pPr>
    </w:lvl>
    <w:lvl w:ilvl="4" w:tplc="040C0019" w:tentative="1">
      <w:start w:val="1"/>
      <w:numFmt w:val="lowerLetter"/>
      <w:lvlText w:val="%5."/>
      <w:lvlJc w:val="left"/>
      <w:pPr>
        <w:ind w:left="9129" w:hanging="360"/>
      </w:pPr>
    </w:lvl>
    <w:lvl w:ilvl="5" w:tplc="040C001B" w:tentative="1">
      <w:start w:val="1"/>
      <w:numFmt w:val="lowerRoman"/>
      <w:lvlText w:val="%6."/>
      <w:lvlJc w:val="right"/>
      <w:pPr>
        <w:ind w:left="9849" w:hanging="180"/>
      </w:pPr>
    </w:lvl>
    <w:lvl w:ilvl="6" w:tplc="040C000F" w:tentative="1">
      <w:start w:val="1"/>
      <w:numFmt w:val="decimal"/>
      <w:lvlText w:val="%7."/>
      <w:lvlJc w:val="left"/>
      <w:pPr>
        <w:ind w:left="10569" w:hanging="360"/>
      </w:pPr>
    </w:lvl>
    <w:lvl w:ilvl="7" w:tplc="040C0019" w:tentative="1">
      <w:start w:val="1"/>
      <w:numFmt w:val="lowerLetter"/>
      <w:lvlText w:val="%8."/>
      <w:lvlJc w:val="left"/>
      <w:pPr>
        <w:ind w:left="11289" w:hanging="360"/>
      </w:pPr>
    </w:lvl>
    <w:lvl w:ilvl="8" w:tplc="040C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28" w15:restartNumberingAfterBreak="0">
    <w:nsid w:val="771945F8"/>
    <w:multiLevelType w:val="hybridMultilevel"/>
    <w:tmpl w:val="18B6535C"/>
    <w:lvl w:ilvl="0" w:tplc="080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29" w15:restartNumberingAfterBreak="0">
    <w:nsid w:val="7B6D619F"/>
    <w:multiLevelType w:val="hybridMultilevel"/>
    <w:tmpl w:val="B6021FCA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23"/>
  </w:num>
  <w:num w:numId="18">
    <w:abstractNumId w:val="26"/>
  </w:num>
  <w:num w:numId="19">
    <w:abstractNumId w:val="12"/>
  </w:num>
  <w:num w:numId="20">
    <w:abstractNumId w:val="22"/>
  </w:num>
  <w:num w:numId="21">
    <w:abstractNumId w:val="11"/>
  </w:num>
  <w:num w:numId="22">
    <w:abstractNumId w:val="24"/>
  </w:num>
  <w:num w:numId="23">
    <w:abstractNumId w:val="20"/>
  </w:num>
  <w:num w:numId="24">
    <w:abstractNumId w:val="27"/>
  </w:num>
  <w:num w:numId="25">
    <w:abstractNumId w:val="25"/>
  </w:num>
  <w:num w:numId="26">
    <w:abstractNumId w:val="29"/>
  </w:num>
  <w:num w:numId="27">
    <w:abstractNumId w:val="19"/>
  </w:num>
  <w:num w:numId="28">
    <w:abstractNumId w:val="28"/>
  </w:num>
  <w:num w:numId="29">
    <w:abstractNumId w:val="18"/>
  </w:num>
  <w:num w:numId="3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AA"/>
    <w:rsid w:val="00002A7D"/>
    <w:rsid w:val="000038A8"/>
    <w:rsid w:val="00005DF3"/>
    <w:rsid w:val="00006790"/>
    <w:rsid w:val="00027624"/>
    <w:rsid w:val="00037DE0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4DE7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1614"/>
    <w:rsid w:val="001D26DF"/>
    <w:rsid w:val="001F1599"/>
    <w:rsid w:val="001F19C4"/>
    <w:rsid w:val="002043F0"/>
    <w:rsid w:val="00211E0B"/>
    <w:rsid w:val="00224BAA"/>
    <w:rsid w:val="00232575"/>
    <w:rsid w:val="00247258"/>
    <w:rsid w:val="00257CAC"/>
    <w:rsid w:val="00266B4D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3F6816"/>
    <w:rsid w:val="00413520"/>
    <w:rsid w:val="004325CB"/>
    <w:rsid w:val="00440A07"/>
    <w:rsid w:val="00452A9C"/>
    <w:rsid w:val="00462880"/>
    <w:rsid w:val="00476F24"/>
    <w:rsid w:val="00497AB8"/>
    <w:rsid w:val="004A5D33"/>
    <w:rsid w:val="004C55B0"/>
    <w:rsid w:val="004F1221"/>
    <w:rsid w:val="004F41E8"/>
    <w:rsid w:val="004F6BA0"/>
    <w:rsid w:val="00503BEA"/>
    <w:rsid w:val="00533616"/>
    <w:rsid w:val="00535ABA"/>
    <w:rsid w:val="0053768B"/>
    <w:rsid w:val="005420F2"/>
    <w:rsid w:val="0054285C"/>
    <w:rsid w:val="00556D1E"/>
    <w:rsid w:val="00571739"/>
    <w:rsid w:val="00576F84"/>
    <w:rsid w:val="00584173"/>
    <w:rsid w:val="00595520"/>
    <w:rsid w:val="005977F0"/>
    <w:rsid w:val="005A44B9"/>
    <w:rsid w:val="005B1BA0"/>
    <w:rsid w:val="005B3DB3"/>
    <w:rsid w:val="005C0268"/>
    <w:rsid w:val="005D15CA"/>
    <w:rsid w:val="005F08DF"/>
    <w:rsid w:val="005F1EDC"/>
    <w:rsid w:val="005F1FB8"/>
    <w:rsid w:val="005F2B20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2413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02AA"/>
    <w:rsid w:val="007B6BA5"/>
    <w:rsid w:val="007C3390"/>
    <w:rsid w:val="007C42D8"/>
    <w:rsid w:val="007C4F4B"/>
    <w:rsid w:val="007D4074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C39AF"/>
    <w:rsid w:val="008D045E"/>
    <w:rsid w:val="008D3F25"/>
    <w:rsid w:val="008D4D82"/>
    <w:rsid w:val="008E0E46"/>
    <w:rsid w:val="008E7116"/>
    <w:rsid w:val="008F143B"/>
    <w:rsid w:val="008F3882"/>
    <w:rsid w:val="008F4B7C"/>
    <w:rsid w:val="00913FD9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0D73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B4C03"/>
    <w:rsid w:val="00AB708F"/>
    <w:rsid w:val="00AC0F2C"/>
    <w:rsid w:val="00AC23D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47B21"/>
    <w:rsid w:val="00B70B63"/>
    <w:rsid w:val="00B72A1E"/>
    <w:rsid w:val="00B81E12"/>
    <w:rsid w:val="00BA339B"/>
    <w:rsid w:val="00BB23CC"/>
    <w:rsid w:val="00BC1E7E"/>
    <w:rsid w:val="00BC74E9"/>
    <w:rsid w:val="00BC77A6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3527E"/>
    <w:rsid w:val="00C42E88"/>
    <w:rsid w:val="00C463DD"/>
    <w:rsid w:val="00C72AE2"/>
    <w:rsid w:val="00C745C3"/>
    <w:rsid w:val="00C978F5"/>
    <w:rsid w:val="00CA24A4"/>
    <w:rsid w:val="00CA269F"/>
    <w:rsid w:val="00CB348D"/>
    <w:rsid w:val="00CD46F5"/>
    <w:rsid w:val="00CE3708"/>
    <w:rsid w:val="00CE4A8F"/>
    <w:rsid w:val="00CF071D"/>
    <w:rsid w:val="00CF1904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099C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5655FA18"/>
  <w15:docId w15:val="{7AD2F3A4-2D9B-4535-8E2B-141C876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E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B02AA"/>
    <w:rPr>
      <w:lang w:val="en-GB"/>
    </w:rPr>
  </w:style>
  <w:style w:type="character" w:customStyle="1" w:styleId="HChGChar">
    <w:name w:val="_ H _Ch_G Char"/>
    <w:link w:val="HChG"/>
    <w:rsid w:val="007B02A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42E88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paragraph" w:customStyle="1" w:styleId="para">
    <w:name w:val="para"/>
    <w:basedOn w:val="SingleTxtG"/>
    <w:link w:val="paraChar"/>
    <w:qFormat/>
    <w:rsid w:val="00C42E88"/>
    <w:pPr>
      <w:ind w:left="2268" w:hanging="1134"/>
    </w:pPr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C42E88"/>
    <w:rPr>
      <w:rFonts w:eastAsia="MS Mincho"/>
      <w:lang w:val="fr-CH" w:eastAsia="en-US"/>
    </w:rPr>
  </w:style>
  <w:style w:type="character" w:customStyle="1" w:styleId="H1GChar">
    <w:name w:val="_ H_1_G Char"/>
    <w:link w:val="H1G"/>
    <w:rsid w:val="00C42E88"/>
    <w:rPr>
      <w:b/>
      <w:sz w:val="24"/>
      <w:lang w:val="en-GB"/>
    </w:rPr>
  </w:style>
  <w:style w:type="paragraph" w:customStyle="1" w:styleId="WP29Para">
    <w:name w:val="_ WP.29Para"/>
    <w:basedOn w:val="SingleTxtG"/>
    <w:link w:val="WP29ParaChar"/>
    <w:qFormat/>
    <w:rsid w:val="00164DE7"/>
    <w:pPr>
      <w:ind w:left="2259" w:hanging="1125"/>
    </w:pPr>
    <w:rPr>
      <w:lang w:val="en-US" w:eastAsia="de-DE"/>
    </w:rPr>
  </w:style>
  <w:style w:type="character" w:customStyle="1" w:styleId="WP29ParaChar">
    <w:name w:val="_ WP.29Para Char"/>
    <w:basedOn w:val="SingleTxtGChar"/>
    <w:link w:val="WP29Para"/>
    <w:rsid w:val="00164DE7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84CC-AA3C-4A14-8895-239B0E14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2366</Characters>
  <Application>Microsoft Office Word</Application>
  <DocSecurity>0</DocSecurity>
  <Lines>92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ECE/TRANS/WP.29/GRPE/2020/8</vt:lpstr>
      <vt:lpstr/>
    </vt:vector>
  </TitlesOfParts>
  <Company>CSD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ECE/TRANS/WP.29/GRPE/2020/8</dc:title>
  <dc:subject>1918892</dc:subject>
  <dc:creator>Admin</dc:creator>
  <cp:keywords/>
  <dc:description/>
  <cp:lastModifiedBy>Generic Pdf eng</cp:lastModifiedBy>
  <cp:revision>2</cp:revision>
  <cp:lastPrinted>2019-10-31T14:54:00Z</cp:lastPrinted>
  <dcterms:created xsi:type="dcterms:W3CDTF">2019-11-01T06:52:00Z</dcterms:created>
  <dcterms:modified xsi:type="dcterms:W3CDTF">2019-11-01T06:52:00Z</dcterms:modified>
</cp:coreProperties>
</file>