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E4F395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17A1021" w14:textId="77777777" w:rsidR="009E6CB7" w:rsidRDefault="009E6CB7" w:rsidP="00B2055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C9B52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3779FA" w14:textId="5D61B3A0" w:rsidR="009E6CB7" w:rsidRPr="00D47EEA" w:rsidRDefault="00455EE7" w:rsidP="00585FBD">
            <w:pPr>
              <w:jc w:val="right"/>
            </w:pPr>
            <w:r w:rsidRPr="00455EE7">
              <w:rPr>
                <w:sz w:val="40"/>
              </w:rPr>
              <w:t>ECE</w:t>
            </w:r>
            <w:r>
              <w:t>/TRANS/WP.29/GRPE/2021/4</w:t>
            </w:r>
          </w:p>
        </w:tc>
      </w:tr>
      <w:tr w:rsidR="009E6CB7" w14:paraId="7B783395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58CB47" w14:textId="77777777" w:rsidR="009E6CB7" w:rsidRDefault="00686A48" w:rsidP="00B2055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4334ABEE" wp14:editId="56B49B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7B2DA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92FE6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233607F0" w14:textId="54D4A4E1" w:rsidR="007B02AA" w:rsidRDefault="002932F4" w:rsidP="00585FBD">
            <w:pPr>
              <w:spacing w:line="240" w:lineRule="exact"/>
            </w:pPr>
            <w:r>
              <w:t>3</w:t>
            </w:r>
            <w:r w:rsidR="00C6552B">
              <w:t xml:space="preserve"> November</w:t>
            </w:r>
            <w:r w:rsidR="007B02AA">
              <w:t xml:space="preserve"> 20</w:t>
            </w:r>
            <w:r w:rsidR="00272179">
              <w:t>2</w:t>
            </w:r>
            <w:r w:rsidR="00351022">
              <w:t>0</w:t>
            </w:r>
          </w:p>
          <w:p w14:paraId="6ADB5249" w14:textId="77777777" w:rsidR="007B02AA" w:rsidRDefault="007B02AA" w:rsidP="007B02AA">
            <w:pPr>
              <w:spacing w:line="240" w:lineRule="exact"/>
            </w:pPr>
          </w:p>
          <w:p w14:paraId="7AF09B06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4D5FC574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6E26C363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60229B68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2AB0DB18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569FD5F6" w14:textId="77777777" w:rsidR="00790EEB" w:rsidRPr="00113319" w:rsidRDefault="00790EEB" w:rsidP="00790EEB">
      <w:pPr>
        <w:rPr>
          <w:rFonts w:eastAsia="MS Mincho"/>
          <w:b/>
        </w:rPr>
      </w:pPr>
      <w:r>
        <w:rPr>
          <w:rFonts w:eastAsia="MS Mincho"/>
          <w:b/>
        </w:rPr>
        <w:t>Eighty-second</w:t>
      </w:r>
      <w:r w:rsidRPr="00113319">
        <w:rPr>
          <w:rFonts w:eastAsia="MS Mincho"/>
          <w:b/>
        </w:rPr>
        <w:t xml:space="preserve"> session</w:t>
      </w:r>
    </w:p>
    <w:p w14:paraId="4CE027CA" w14:textId="77777777" w:rsidR="00790EEB" w:rsidRPr="00113319" w:rsidRDefault="00790EEB" w:rsidP="00790EEB">
      <w:r w:rsidRPr="00113319">
        <w:rPr>
          <w:rFonts w:eastAsia="MS Mincho"/>
        </w:rPr>
        <w:t>Geneva</w:t>
      </w:r>
      <w:r>
        <w:rPr>
          <w:rFonts w:eastAsia="MS Mincho"/>
          <w:bCs/>
        </w:rPr>
        <w:t>, 12-15 January</w:t>
      </w:r>
      <w:r w:rsidRPr="00113319">
        <w:rPr>
          <w:rFonts w:eastAsia="MS Mincho"/>
          <w:bCs/>
        </w:rPr>
        <w:t xml:space="preserve"> 20</w:t>
      </w:r>
      <w:r>
        <w:rPr>
          <w:rFonts w:eastAsia="MS Mincho"/>
          <w:bCs/>
        </w:rPr>
        <w:t>21</w:t>
      </w:r>
    </w:p>
    <w:p w14:paraId="4E636007" w14:textId="77777777" w:rsidR="00790EEB" w:rsidRPr="00094785" w:rsidRDefault="00790EEB" w:rsidP="00790EEB">
      <w:r w:rsidRPr="00DE6870">
        <w:t xml:space="preserve">Item </w:t>
      </w:r>
      <w:r w:rsidRPr="00DE6870">
        <w:rPr>
          <w:bCs/>
        </w:rPr>
        <w:t xml:space="preserve">3(a) </w:t>
      </w:r>
      <w:r w:rsidRPr="00094785">
        <w:t>of the provisional agenda</w:t>
      </w:r>
    </w:p>
    <w:p w14:paraId="5567B8BE" w14:textId="77777777" w:rsidR="00790EEB" w:rsidRPr="00E03A64" w:rsidRDefault="00790EEB" w:rsidP="00790EEB">
      <w:pPr>
        <w:rPr>
          <w:b/>
          <w:bCs/>
        </w:rPr>
      </w:pPr>
      <w:r w:rsidRPr="00094785">
        <w:rPr>
          <w:b/>
        </w:rPr>
        <w:t xml:space="preserve">Light vehicles: UN Regulations Nos. 68 (Measurement of the </w:t>
      </w:r>
      <w:r w:rsidRPr="00094785">
        <w:rPr>
          <w:b/>
        </w:rPr>
        <w:br/>
        <w:t xml:space="preserve">maximum speed, including electric vehicles), 83 (Emissions of </w:t>
      </w:r>
      <w:r w:rsidRPr="00094785">
        <w:rPr>
          <w:b/>
        </w:rPr>
        <w:br/>
        <w:t>M</w:t>
      </w:r>
      <w:r w:rsidRPr="00094785">
        <w:rPr>
          <w:b/>
          <w:vertAlign w:val="subscript"/>
        </w:rPr>
        <w:t>1</w:t>
      </w:r>
      <w:r w:rsidRPr="00094785">
        <w:rPr>
          <w:b/>
        </w:rPr>
        <w:t xml:space="preserve"> and N</w:t>
      </w:r>
      <w:r w:rsidRPr="00094785">
        <w:rPr>
          <w:b/>
          <w:vertAlign w:val="subscript"/>
        </w:rPr>
        <w:t>1</w:t>
      </w:r>
      <w:r w:rsidRPr="00094785">
        <w:rPr>
          <w:b/>
        </w:rPr>
        <w:t xml:space="preserve"> vehicles), 101 (CO</w:t>
      </w:r>
      <w:r w:rsidRPr="00094785">
        <w:rPr>
          <w:b/>
          <w:vertAlign w:val="subscript"/>
        </w:rPr>
        <w:t>2</w:t>
      </w:r>
      <w:r w:rsidRPr="00094785">
        <w:rPr>
          <w:b/>
        </w:rPr>
        <w:t xml:space="preserve"> emissions/fuel consumption) </w:t>
      </w:r>
      <w:r>
        <w:rPr>
          <w:b/>
        </w:rPr>
        <w:br/>
      </w:r>
      <w:r w:rsidRPr="00146C9C">
        <w:rPr>
          <w:b/>
        </w:rPr>
        <w:t xml:space="preserve">103 (Replacement pollution control devices) and [154] </w:t>
      </w:r>
      <w:r>
        <w:rPr>
          <w:b/>
        </w:rPr>
        <w:br/>
      </w:r>
      <w:r w:rsidRPr="00146C9C">
        <w:rPr>
          <w:b/>
        </w:rPr>
        <w:t>(Worldwide harmonized Light vehicles Test Procedures (WLTP))</w:t>
      </w:r>
    </w:p>
    <w:p w14:paraId="15D682A7" w14:textId="2681F9F0" w:rsidR="005F1FB8" w:rsidRPr="005F1FB8" w:rsidRDefault="00C42E88" w:rsidP="00272179">
      <w:pPr>
        <w:pStyle w:val="HChG"/>
        <w:tabs>
          <w:tab w:val="clear" w:pos="851"/>
        </w:tabs>
        <w:ind w:firstLine="0"/>
        <w:rPr>
          <w:lang w:val="en-US"/>
        </w:rPr>
      </w:pPr>
      <w:r w:rsidRPr="00FD4196">
        <w:tab/>
      </w:r>
      <w:r w:rsidR="00366BFC" w:rsidRPr="00366BFC">
        <w:rPr>
          <w:lang w:val="en-US"/>
        </w:rPr>
        <w:t xml:space="preserve">Proposal for a new supplement </w:t>
      </w:r>
      <w:r w:rsidR="00783E93">
        <w:rPr>
          <w:lang w:val="en-US"/>
        </w:rPr>
        <w:t>to the 0</w:t>
      </w:r>
      <w:r w:rsidR="00BD0E85">
        <w:rPr>
          <w:lang w:val="en-US"/>
        </w:rPr>
        <w:t>1</w:t>
      </w:r>
      <w:r w:rsidR="005F1FB8" w:rsidRPr="005F1FB8">
        <w:rPr>
          <w:color w:val="000000" w:themeColor="text1"/>
        </w:rPr>
        <w:t xml:space="preserve"> series </w:t>
      </w:r>
      <w:r w:rsidR="005F1FB8" w:rsidRPr="005F1FB8">
        <w:rPr>
          <w:color w:val="000000" w:themeColor="text1"/>
          <w:lang w:val="en-US"/>
        </w:rPr>
        <w:t xml:space="preserve">of amendments to UN Regulation No. </w:t>
      </w:r>
      <w:r w:rsidR="00BD0E85">
        <w:rPr>
          <w:color w:val="000000" w:themeColor="text1"/>
          <w:lang w:val="en-US"/>
        </w:rPr>
        <w:t>101</w:t>
      </w:r>
      <w:r w:rsidR="00452A9C">
        <w:rPr>
          <w:color w:val="000000" w:themeColor="text1"/>
          <w:lang w:val="en-US"/>
        </w:rPr>
        <w:t xml:space="preserve"> </w:t>
      </w:r>
      <w:r w:rsidR="005F1FB8" w:rsidRPr="005F1FB8">
        <w:rPr>
          <w:lang w:val="en-US"/>
        </w:rPr>
        <w:t>(</w:t>
      </w:r>
      <w:r w:rsidR="00BD0E85" w:rsidRPr="00BD0E85">
        <w:rPr>
          <w:lang w:val="en-US"/>
        </w:rPr>
        <w:t>CO2 emission/fuel consumption</w:t>
      </w:r>
      <w:r w:rsidR="005F1FB8" w:rsidRPr="005F1FB8">
        <w:rPr>
          <w:lang w:val="en-US"/>
        </w:rPr>
        <w:t>)</w:t>
      </w:r>
    </w:p>
    <w:p w14:paraId="615F109D" w14:textId="77777777" w:rsidR="005F1FB8" w:rsidRPr="005F1FB8" w:rsidRDefault="005F1FB8" w:rsidP="005F1FB8">
      <w:pPr>
        <w:pStyle w:val="H1G"/>
      </w:pPr>
      <w:r w:rsidRPr="005F1FB8">
        <w:tab/>
      </w:r>
      <w:r w:rsidRPr="005F1FB8">
        <w:tab/>
        <w:t>Submitted by the expert from the International Organization of Motor Vehicle Manufacturers</w:t>
      </w:r>
      <w:r w:rsidRPr="005F1FB8">
        <w:rPr>
          <w:rStyle w:val="H1GChar"/>
        </w:rPr>
        <w:footnoteReference w:customMarkFollows="1" w:id="2"/>
        <w:t>*</w:t>
      </w:r>
    </w:p>
    <w:p w14:paraId="170D4FF9" w14:textId="50B6C230" w:rsidR="005F1FB8" w:rsidRDefault="005F1FB8" w:rsidP="00272179">
      <w:pPr>
        <w:pStyle w:val="SingleTxtG"/>
        <w:ind w:firstLine="567"/>
      </w:pPr>
      <w:r w:rsidRPr="005F1FB8">
        <w:t xml:space="preserve">The text reproduced below was prepared by the expert from the International Organization of Motor Vehicle Manufacturers (OICA). This document </w:t>
      </w:r>
      <w:r w:rsidR="00783E93">
        <w:rPr>
          <w:bCs/>
        </w:rPr>
        <w:t xml:space="preserve">aims at </w:t>
      </w:r>
      <w:r w:rsidR="002E3080" w:rsidRPr="002E3080">
        <w:rPr>
          <w:bCs/>
        </w:rPr>
        <w:t xml:space="preserve">amending one error found in the formulas used for the calculation of a NEDC road load values from those determined according to UN GTR No. 15 (WLTP) and one wrong cross reference </w:t>
      </w:r>
      <w:r w:rsidR="001C6BC9">
        <w:rPr>
          <w:bCs/>
        </w:rPr>
        <w:t xml:space="preserve">in </w:t>
      </w:r>
      <w:r w:rsidR="00C3308A" w:rsidRPr="00C3308A">
        <w:rPr>
          <w:szCs w:val="23"/>
        </w:rPr>
        <w:t>the 0</w:t>
      </w:r>
      <w:r w:rsidR="00BD0E85">
        <w:rPr>
          <w:szCs w:val="23"/>
        </w:rPr>
        <w:t>1</w:t>
      </w:r>
      <w:r w:rsidR="00C3308A" w:rsidRPr="00C3308A">
        <w:rPr>
          <w:szCs w:val="23"/>
        </w:rPr>
        <w:t xml:space="preserve"> series of amendments to UN Regulation No.</w:t>
      </w:r>
      <w:r w:rsidR="00BD0E85">
        <w:rPr>
          <w:szCs w:val="23"/>
        </w:rPr>
        <w:t>101.</w:t>
      </w:r>
      <w:r w:rsidR="006F67BE">
        <w:rPr>
          <w:szCs w:val="23"/>
        </w:rPr>
        <w:t xml:space="preserve"> </w:t>
      </w:r>
      <w:r w:rsidR="00FE66BE" w:rsidRPr="00FE66BE">
        <w:t>The modifications to the current text of the Regulation are marked in bold for new or strikethrough for deleted characters.</w:t>
      </w:r>
    </w:p>
    <w:p w14:paraId="124F7D63" w14:textId="09D22BC9" w:rsidR="00452A9C" w:rsidRDefault="005F1FB8" w:rsidP="00272179">
      <w:pPr>
        <w:pStyle w:val="HChG"/>
        <w:tabs>
          <w:tab w:val="clear" w:pos="851"/>
        </w:tabs>
        <w:ind w:hanging="567"/>
        <w:rPr>
          <w:b w:val="0"/>
          <w:bCs/>
          <w:lang w:val="en-US" w:eastAsia="en-GB"/>
        </w:rPr>
      </w:pPr>
      <w:r w:rsidRPr="00FD4196">
        <w:br w:type="page"/>
      </w:r>
    </w:p>
    <w:p w14:paraId="6246983C" w14:textId="77777777" w:rsidR="00272179" w:rsidRPr="00D12748" w:rsidRDefault="00272179" w:rsidP="00272179">
      <w:pPr>
        <w:pStyle w:val="ListParagraph"/>
        <w:keepNext/>
        <w:keepLines/>
        <w:widowControl/>
        <w:numPr>
          <w:ilvl w:val="0"/>
          <w:numId w:val="31"/>
        </w:numPr>
        <w:suppressAutoHyphens/>
        <w:spacing w:before="360" w:after="240" w:line="300" w:lineRule="exact"/>
        <w:ind w:right="1134"/>
        <w:jc w:val="left"/>
        <w:rPr>
          <w:b/>
          <w:kern w:val="0"/>
          <w:sz w:val="28"/>
          <w:szCs w:val="20"/>
          <w:lang w:eastAsia="en-US"/>
        </w:rPr>
      </w:pPr>
      <w:r w:rsidRPr="00D12748">
        <w:rPr>
          <w:rFonts w:hint="eastAsia"/>
          <w:b/>
          <w:kern w:val="0"/>
          <w:sz w:val="28"/>
          <w:szCs w:val="20"/>
        </w:rPr>
        <w:lastRenderedPageBreak/>
        <w:t>Proposal</w:t>
      </w:r>
    </w:p>
    <w:p w14:paraId="08C248DA" w14:textId="2719EA9E" w:rsidR="00351022" w:rsidRDefault="00351022" w:rsidP="00272179">
      <w:pPr>
        <w:spacing w:after="120"/>
        <w:ind w:left="1134" w:right="1134"/>
        <w:rPr>
          <w:rFonts w:eastAsia="MS Mincho"/>
          <w:iCs/>
          <w:lang w:eastAsia="en-US"/>
        </w:rPr>
      </w:pPr>
      <w:r w:rsidRPr="00DA4FB4">
        <w:rPr>
          <w:rFonts w:eastAsia="MS Mincho"/>
          <w:i/>
          <w:lang w:eastAsia="en-US"/>
        </w:rPr>
        <w:t xml:space="preserve">Annex </w:t>
      </w:r>
      <w:r>
        <w:rPr>
          <w:rFonts w:eastAsia="MS Mincho"/>
          <w:i/>
        </w:rPr>
        <w:t>7</w:t>
      </w:r>
      <w:r w:rsidR="00251A12">
        <w:rPr>
          <w:rFonts w:eastAsia="MS Mincho"/>
          <w:i/>
        </w:rPr>
        <w:t>b</w:t>
      </w:r>
      <w:r>
        <w:rPr>
          <w:rFonts w:eastAsia="MS Mincho"/>
          <w:i/>
          <w:lang w:eastAsia="en-US"/>
        </w:rPr>
        <w:t xml:space="preserve"> – Appendix 2 </w:t>
      </w:r>
      <w:r w:rsidR="00251A12">
        <w:rPr>
          <w:rFonts w:eastAsia="MS Mincho"/>
          <w:i/>
          <w:lang w:eastAsia="en-US"/>
        </w:rPr>
        <w:t>paragraph</w:t>
      </w:r>
      <w:r>
        <w:rPr>
          <w:rFonts w:eastAsia="MS Mincho"/>
          <w:i/>
          <w:lang w:eastAsia="en-US"/>
        </w:rPr>
        <w:t xml:space="preserve"> 2.1., </w:t>
      </w:r>
      <w:r w:rsidRPr="00351022">
        <w:rPr>
          <w:rFonts w:eastAsia="MS Mincho"/>
          <w:iCs/>
          <w:lang w:eastAsia="en-US"/>
        </w:rPr>
        <w:t>amend to</w:t>
      </w:r>
      <w:r>
        <w:rPr>
          <w:rFonts w:eastAsia="MS Mincho"/>
          <w:iCs/>
          <w:lang w:eastAsia="en-US"/>
        </w:rPr>
        <w:t xml:space="preserve"> read:</w:t>
      </w:r>
    </w:p>
    <w:p w14:paraId="74309756" w14:textId="77777777" w:rsidR="00251A12" w:rsidRPr="00094785" w:rsidRDefault="00251A12" w:rsidP="00F10244">
      <w:pPr>
        <w:spacing w:after="120"/>
        <w:ind w:left="2268" w:right="1134" w:hanging="1134"/>
        <w:jc w:val="both"/>
        <w:rPr>
          <w:rFonts w:eastAsia="MS Mincho"/>
          <w:bCs/>
        </w:rPr>
      </w:pPr>
      <w:r w:rsidRPr="00094785">
        <w:rPr>
          <w:rFonts w:eastAsia="MS Mincho"/>
          <w:bCs/>
        </w:rPr>
        <w:t>“2.1.</w:t>
      </w:r>
      <w:r w:rsidRPr="00094785">
        <w:rPr>
          <w:rFonts w:eastAsia="MS Mincho"/>
          <w:bCs/>
        </w:rPr>
        <w:tab/>
        <w:t>WLTP Road Load calculation of the vehicle</w:t>
      </w:r>
    </w:p>
    <w:p w14:paraId="0E462840" w14:textId="11FFC4E6" w:rsidR="00251A12" w:rsidRPr="00094785" w:rsidRDefault="00251A12" w:rsidP="00F10244">
      <w:pPr>
        <w:spacing w:after="120"/>
        <w:ind w:left="2268" w:right="1134"/>
        <w:jc w:val="both"/>
        <w:rPr>
          <w:rFonts w:eastAsia="MS Mincho"/>
          <w:bCs/>
        </w:rPr>
      </w:pPr>
      <w:r w:rsidRPr="00094785">
        <w:rPr>
          <w:rFonts w:eastAsia="MS Mincho"/>
          <w:bCs/>
        </w:rPr>
        <w:t xml:space="preserve">The WLTP Road Load of the vehicle shall be determined according to </w:t>
      </w:r>
      <w:r w:rsidR="004745B6">
        <w:rPr>
          <w:rFonts w:eastAsia="MS Mincho"/>
          <w:bCs/>
        </w:rPr>
        <w:t xml:space="preserve">UN </w:t>
      </w:r>
      <w:r w:rsidRPr="00094785">
        <w:rPr>
          <w:rFonts w:eastAsia="MS Mincho"/>
          <w:bCs/>
        </w:rPr>
        <w:t>GTR No. 15 Annex 4 or in case the vehicle is part of an interpolation family, according to Annex 7 point 3.2.3.2.2</w:t>
      </w:r>
      <w:r w:rsidR="004840FE">
        <w:rPr>
          <w:rFonts w:eastAsia="MS Mincho"/>
          <w:bCs/>
        </w:rPr>
        <w:t>.</w:t>
      </w:r>
      <w:r w:rsidRPr="00094785">
        <w:rPr>
          <w:rFonts w:eastAsia="MS Mincho"/>
          <w:bCs/>
        </w:rPr>
        <w:t xml:space="preserve"> “Road Load calculation for an individual vehicle” considering as input parameters of the individual vehicle: </w:t>
      </w:r>
    </w:p>
    <w:p w14:paraId="1A5C556D" w14:textId="47EBF460" w:rsidR="00251A12" w:rsidRPr="00094785" w:rsidRDefault="00251A12" w:rsidP="00F10244">
      <w:pPr>
        <w:spacing w:after="120"/>
        <w:ind w:left="1701" w:right="1134" w:firstLine="567"/>
        <w:jc w:val="both"/>
        <w:rPr>
          <w:rFonts w:eastAsia="MS Mincho"/>
          <w:bCs/>
        </w:rPr>
      </w:pPr>
      <w:r w:rsidRPr="00094785">
        <w:rPr>
          <w:bCs/>
        </w:rPr>
        <w:t>(a)</w:t>
      </w:r>
      <w:r w:rsidR="003E4730">
        <w:rPr>
          <w:bCs/>
        </w:rPr>
        <w:tab/>
      </w:r>
      <w:r w:rsidRPr="00094785">
        <w:rPr>
          <w:bCs/>
        </w:rPr>
        <w:t>The Test Mass of the vehicle</w:t>
      </w:r>
      <w:r w:rsidRPr="00094785">
        <w:rPr>
          <w:rStyle w:val="FootnoteReference"/>
          <w:rFonts w:eastAsia="MS Mincho"/>
          <w:bCs/>
          <w:sz w:val="20"/>
        </w:rPr>
        <w:footnoteReference w:id="3"/>
      </w:r>
      <w:r w:rsidRPr="00094785">
        <w:rPr>
          <w:bCs/>
        </w:rPr>
        <w:t>, fitted with its standard equipment</w:t>
      </w:r>
      <w:r w:rsidRPr="00094785">
        <w:rPr>
          <w:rStyle w:val="FootnoteReference"/>
          <w:bCs/>
          <w:sz w:val="20"/>
        </w:rPr>
        <w:footnoteRef/>
      </w:r>
      <w:r w:rsidR="00E94F84">
        <w:rPr>
          <w:bCs/>
        </w:rPr>
        <w:t>;</w:t>
      </w:r>
      <w:r w:rsidRPr="00094785">
        <w:rPr>
          <w:bCs/>
        </w:rPr>
        <w:t xml:space="preserve"> </w:t>
      </w:r>
    </w:p>
    <w:p w14:paraId="6345EFFE" w14:textId="4610B96C" w:rsidR="00251A12" w:rsidRPr="00094785" w:rsidRDefault="00251A12" w:rsidP="00F10244">
      <w:pPr>
        <w:pStyle w:val="Default"/>
        <w:spacing w:after="120"/>
        <w:ind w:left="2835" w:right="1134" w:hanging="567"/>
        <w:jc w:val="both"/>
        <w:rPr>
          <w:bCs/>
          <w:sz w:val="20"/>
          <w:szCs w:val="20"/>
        </w:rPr>
      </w:pPr>
      <w:r w:rsidRPr="00094785">
        <w:rPr>
          <w:bCs/>
          <w:sz w:val="20"/>
          <w:szCs w:val="20"/>
        </w:rPr>
        <w:t>(b)</w:t>
      </w:r>
      <w:r w:rsidR="003E4730">
        <w:rPr>
          <w:bCs/>
          <w:sz w:val="20"/>
          <w:szCs w:val="20"/>
        </w:rPr>
        <w:tab/>
      </w:r>
      <w:r w:rsidR="003E4730">
        <w:rPr>
          <w:bCs/>
          <w:sz w:val="20"/>
          <w:szCs w:val="20"/>
        </w:rPr>
        <w:tab/>
      </w:r>
      <w:r w:rsidRPr="00094785">
        <w:rPr>
          <w:bCs/>
          <w:sz w:val="20"/>
          <w:szCs w:val="20"/>
        </w:rPr>
        <w:t xml:space="preserve">The RRC value of the applicable tyre energy class according to Table A4/2 of UN GTR No. 15 Annex 4 or, if the tyres on the front and rear axles belong to different energy efficiency classes, the weighted mean using the equation in paragraph 3.2.3.2.2.2.3. of </w:t>
      </w:r>
      <w:r w:rsidR="00D424B8" w:rsidRPr="00FE66BE">
        <w:rPr>
          <w:b/>
          <w:sz w:val="20"/>
          <w:szCs w:val="20"/>
        </w:rPr>
        <w:t xml:space="preserve">Annex 7 to </w:t>
      </w:r>
      <w:r w:rsidRPr="00094785">
        <w:rPr>
          <w:bCs/>
          <w:sz w:val="20"/>
          <w:szCs w:val="20"/>
        </w:rPr>
        <w:t>UN GTR No. 15</w:t>
      </w:r>
      <w:r w:rsidRPr="00FE66BE">
        <w:rPr>
          <w:bCs/>
          <w:strike/>
          <w:sz w:val="20"/>
          <w:szCs w:val="20"/>
        </w:rPr>
        <w:t xml:space="preserve"> Annex 4</w:t>
      </w:r>
      <w:r w:rsidRPr="00FE66BE">
        <w:rPr>
          <w:b/>
          <w:strike/>
          <w:sz w:val="20"/>
          <w:szCs w:val="20"/>
        </w:rPr>
        <w:t>7</w:t>
      </w:r>
      <w:r w:rsidR="00E94F84">
        <w:rPr>
          <w:bCs/>
          <w:sz w:val="20"/>
          <w:szCs w:val="20"/>
        </w:rPr>
        <w:t>;</w:t>
      </w:r>
      <w:r w:rsidRPr="00094785">
        <w:rPr>
          <w:bCs/>
          <w:sz w:val="20"/>
          <w:szCs w:val="20"/>
        </w:rPr>
        <w:t xml:space="preserve"> </w:t>
      </w:r>
    </w:p>
    <w:p w14:paraId="4EF63CC1" w14:textId="3904DF81" w:rsidR="00351022" w:rsidRPr="00251A12" w:rsidRDefault="00251A12" w:rsidP="00F10244">
      <w:pPr>
        <w:spacing w:after="120"/>
        <w:ind w:left="2835" w:right="1134" w:hanging="567"/>
        <w:jc w:val="both"/>
        <w:rPr>
          <w:rFonts w:eastAsia="MS Mincho"/>
          <w:iCs/>
          <w:lang w:eastAsia="en-US"/>
        </w:rPr>
      </w:pPr>
      <w:r w:rsidRPr="00094785">
        <w:rPr>
          <w:bCs/>
        </w:rPr>
        <w:t>(c)</w:t>
      </w:r>
      <w:r w:rsidR="003E4730">
        <w:rPr>
          <w:bCs/>
        </w:rPr>
        <w:tab/>
      </w:r>
      <w:r w:rsidRPr="00094785">
        <w:rPr>
          <w:bCs/>
        </w:rPr>
        <w:t>The aerodynamic drag of the vehicle fitted with its standard</w:t>
      </w:r>
      <w:r>
        <w:rPr>
          <w:bCs/>
        </w:rPr>
        <w:t xml:space="preserve"> </w:t>
      </w:r>
      <w:r w:rsidRPr="00094785">
        <w:rPr>
          <w:bCs/>
        </w:rPr>
        <w:t>equipment</w:t>
      </w:r>
      <w:r w:rsidRPr="00094785">
        <w:rPr>
          <w:rStyle w:val="FootnoteReference"/>
          <w:bCs/>
          <w:sz w:val="20"/>
        </w:rPr>
        <w:footnoteRef/>
      </w:r>
      <w:r>
        <w:rPr>
          <w:bCs/>
        </w:rPr>
        <w:t>”</w:t>
      </w:r>
      <w:r w:rsidR="00E94F84">
        <w:rPr>
          <w:bCs/>
        </w:rPr>
        <w:t>.</w:t>
      </w:r>
    </w:p>
    <w:p w14:paraId="494B16FB" w14:textId="0AA62C52" w:rsidR="00272179" w:rsidRPr="00DA4FB4" w:rsidRDefault="00272179" w:rsidP="003E4730">
      <w:pPr>
        <w:spacing w:after="120"/>
        <w:ind w:left="1134" w:right="1134"/>
        <w:rPr>
          <w:rFonts w:eastAsia="MS Mincho"/>
          <w:i/>
          <w:lang w:eastAsia="en-US"/>
        </w:rPr>
      </w:pPr>
      <w:r w:rsidRPr="00DA4FB4">
        <w:rPr>
          <w:rFonts w:eastAsia="MS Mincho"/>
          <w:i/>
          <w:lang w:eastAsia="en-US"/>
        </w:rPr>
        <w:t xml:space="preserve">Annex </w:t>
      </w:r>
      <w:r w:rsidR="00BD0E85">
        <w:rPr>
          <w:rFonts w:eastAsia="MS Mincho"/>
          <w:i/>
        </w:rPr>
        <w:t>7</w:t>
      </w:r>
      <w:r w:rsidR="00C3308A">
        <w:rPr>
          <w:rFonts w:eastAsia="MS Mincho"/>
          <w:i/>
          <w:lang w:eastAsia="en-US"/>
        </w:rPr>
        <w:t xml:space="preserve"> –</w:t>
      </w:r>
      <w:r w:rsidR="00BD0E85">
        <w:rPr>
          <w:rFonts w:eastAsia="MS Mincho"/>
          <w:i/>
          <w:lang w:eastAsia="en-US"/>
        </w:rPr>
        <w:t xml:space="preserve"> </w:t>
      </w:r>
      <w:r w:rsidR="00C3308A">
        <w:rPr>
          <w:rFonts w:eastAsia="MS Mincho"/>
          <w:i/>
          <w:lang w:eastAsia="en-US"/>
        </w:rPr>
        <w:t xml:space="preserve">Appendix </w:t>
      </w:r>
      <w:r w:rsidR="00BD0E85">
        <w:rPr>
          <w:rFonts w:eastAsia="MS Mincho"/>
          <w:i/>
          <w:lang w:eastAsia="en-US"/>
        </w:rPr>
        <w:t>2</w:t>
      </w:r>
      <w:r w:rsidR="00C3308A">
        <w:rPr>
          <w:rFonts w:eastAsia="MS Mincho"/>
          <w:i/>
          <w:lang w:eastAsia="en-US"/>
        </w:rPr>
        <w:t xml:space="preserve"> </w:t>
      </w:r>
      <w:r w:rsidR="00251A12">
        <w:rPr>
          <w:rFonts w:eastAsia="MS Mincho"/>
          <w:i/>
          <w:lang w:eastAsia="en-US"/>
        </w:rPr>
        <w:t xml:space="preserve">paragraph </w:t>
      </w:r>
      <w:r w:rsidR="00C3308A">
        <w:rPr>
          <w:rFonts w:eastAsia="MS Mincho"/>
          <w:i/>
          <w:lang w:eastAsia="en-US"/>
        </w:rPr>
        <w:t>2.2.4</w:t>
      </w:r>
      <w:r w:rsidR="009806E8">
        <w:rPr>
          <w:rFonts w:eastAsia="MS Mincho"/>
          <w:i/>
          <w:lang w:eastAsia="en-US"/>
        </w:rPr>
        <w:t>.</w:t>
      </w:r>
      <w:r w:rsidR="00C3308A">
        <w:rPr>
          <w:rFonts w:eastAsia="MS Mincho"/>
          <w:i/>
          <w:lang w:eastAsia="en-US"/>
        </w:rPr>
        <w:t>(a) (iv)</w:t>
      </w:r>
      <w:r w:rsidR="00251A12">
        <w:rPr>
          <w:rFonts w:eastAsia="MS Mincho"/>
          <w:i/>
          <w:lang w:eastAsia="en-US"/>
        </w:rPr>
        <w:t>,</w:t>
      </w:r>
      <w:r w:rsidR="00C3308A">
        <w:rPr>
          <w:rFonts w:eastAsia="MS Mincho"/>
          <w:i/>
          <w:lang w:eastAsia="en-US"/>
        </w:rPr>
        <w:t xml:space="preserve"> </w:t>
      </w:r>
      <w:r w:rsidRPr="00251A12">
        <w:rPr>
          <w:rFonts w:eastAsia="MS Mincho"/>
          <w:iCs/>
          <w:lang w:eastAsia="en-US"/>
        </w:rPr>
        <w:t>amend to read</w:t>
      </w:r>
      <w:r w:rsidR="00251A12">
        <w:rPr>
          <w:rFonts w:eastAsia="MS Mincho"/>
          <w:iCs/>
          <w:lang w:eastAsia="en-US"/>
        </w:rPr>
        <w:t>:</w:t>
      </w:r>
    </w:p>
    <w:p w14:paraId="2AF8E58C" w14:textId="5FFEFF7C" w:rsidR="00C3308A" w:rsidRPr="00D12748" w:rsidRDefault="00251A12" w:rsidP="003E4730">
      <w:pPr>
        <w:spacing w:after="120"/>
        <w:ind w:left="2835" w:right="1134"/>
        <w:rPr>
          <w:rFonts w:eastAsia="MS Mincho"/>
          <w:lang w:eastAsia="en-US"/>
        </w:rPr>
      </w:pPr>
      <w:r>
        <w:rPr>
          <w:rFonts w:eastAsia="MS Mincho"/>
          <w:lang w:eastAsia="en-US"/>
        </w:rPr>
        <w:t>“</w:t>
      </w:r>
      <w:r w:rsidR="000F5263">
        <w:rPr>
          <w:rFonts w:eastAsia="MS Mincho"/>
          <w:lang w:eastAsia="en-US"/>
        </w:rPr>
        <w:t>(iv)</w:t>
      </w:r>
      <w:r w:rsidR="000F5263">
        <w:rPr>
          <w:rFonts w:eastAsia="MS Mincho"/>
          <w:lang w:eastAsia="en-US"/>
        </w:rPr>
        <w:tab/>
      </w:r>
      <w:r w:rsidR="00C3308A" w:rsidRPr="00D12748">
        <w:rPr>
          <w:rFonts w:eastAsia="MS Mincho"/>
          <w:lang w:eastAsia="en-US"/>
        </w:rPr>
        <w:t>Effect of different tyre tread depth:</w:t>
      </w:r>
    </w:p>
    <w:p w14:paraId="298B0181" w14:textId="78D042E6" w:rsidR="00C3308A" w:rsidRPr="00D12748" w:rsidRDefault="000C1674" w:rsidP="003E4730">
      <w:pPr>
        <w:spacing w:after="120"/>
        <w:ind w:left="1985" w:right="1134" w:hanging="284"/>
        <w:rPr>
          <w:rFonts w:eastAsia="MS Mincho"/>
          <w:lang w:eastAsia="en-US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MS Mincho" w:hAnsi="Cambria Math"/>
                  <w:lang w:eastAsia="en-US"/>
                </w:rPr>
                <m:t>F</m:t>
              </m:r>
            </m:e>
            <m:sub>
              <m:r>
                <w:rPr>
                  <w:rFonts w:ascii="Cambria Math" w:eastAsia="MS Mincho" w:hAnsi="Cambria Math"/>
                  <w:lang w:eastAsia="en-US"/>
                </w:rPr>
                <m:t>0n</m:t>
              </m:r>
            </m:sub>
          </m:sSub>
          <m:r>
            <w:rPr>
              <w:rFonts w:ascii="Cambria Math" w:eastAsia="MS Mincho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  <w:lang w:eastAsia="en-US"/>
                </w:rPr>
              </m:ctrlPr>
            </m:sSubSupPr>
            <m:e>
              <m:r>
                <w:rPr>
                  <w:rFonts w:ascii="Cambria Math" w:eastAsia="MS Mincho" w:hAnsi="Cambria Math"/>
                  <w:lang w:eastAsia="en-US"/>
                </w:rPr>
                <m:t>F</m:t>
              </m:r>
            </m:e>
            <m:sub>
              <m:r>
                <w:rPr>
                  <w:rFonts w:ascii="Cambria Math" w:eastAsia="MS Mincho" w:hAnsi="Cambria Math"/>
                  <w:lang w:eastAsia="en-US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  <w:lang w:eastAsia="en-US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  <w:highlight w:val="yellow"/>
              <w:lang w:eastAsia="en-US"/>
            </w:rPr>
            <m:t>-</m:t>
          </m:r>
          <m:r>
            <w:rPr>
              <w:rFonts w:ascii="Cambria Math" w:eastAsia="MS Mincho" w:hAnsi="Cambria Math"/>
              <w:strike/>
              <w:highlight w:val="yellow"/>
              <w:lang w:eastAsia="en-US"/>
            </w:rPr>
            <m:t>.</m:t>
          </m:r>
          <m:r>
            <w:rPr>
              <w:rFonts w:ascii="Cambria Math" w:eastAsia="MS Mincho" w:hAnsi="Cambria Math"/>
              <w:lang w:eastAsia="en-US"/>
            </w:rPr>
            <m:t>TTD</m:t>
          </m:r>
        </m:oMath>
      </m:oMathPara>
    </w:p>
    <w:p w14:paraId="2F6BF53E" w14:textId="6D401E41" w:rsidR="00272179" w:rsidRPr="00DA4FB4" w:rsidRDefault="00C3308A" w:rsidP="003E4730">
      <w:pPr>
        <w:autoSpaceDE w:val="0"/>
        <w:autoSpaceDN w:val="0"/>
        <w:adjustRightInd w:val="0"/>
        <w:spacing w:after="120"/>
        <w:ind w:leftChars="1417" w:left="2834" w:right="1134"/>
        <w:rPr>
          <w:rFonts w:eastAsia="MS Mincho"/>
          <w:lang w:eastAsia="en-US"/>
        </w:rPr>
      </w:pPr>
      <w:r w:rsidRPr="00D12748">
        <w:rPr>
          <w:rFonts w:eastAsia="MS Mincho"/>
          <w:lang w:eastAsia="en-US"/>
        </w:rPr>
        <w:t xml:space="preserve">Where the factors </w:t>
      </w:r>
      <m:oMath>
        <m:r>
          <w:rPr>
            <w:rFonts w:ascii="Cambria Math" w:eastAsia="MS Mincho" w:hAnsi="Cambria Math"/>
            <w:lang w:eastAsia="en-US"/>
          </w:rPr>
          <m:t>TTD</m:t>
        </m:r>
      </m:oMath>
      <w:r w:rsidRPr="00D12748">
        <w:rPr>
          <w:rFonts w:eastAsia="MS Mincho"/>
          <w:lang w:eastAsia="en-US"/>
        </w:rPr>
        <w:t xml:space="preserve"> in the formula are as defined in point 2.2.2</w:t>
      </w:r>
      <w:r w:rsidR="009806E8">
        <w:rPr>
          <w:rFonts w:eastAsia="MS Mincho"/>
          <w:lang w:eastAsia="en-US"/>
        </w:rPr>
        <w:t>.</w:t>
      </w:r>
      <w:r w:rsidR="00251A12">
        <w:rPr>
          <w:rFonts w:eastAsia="MS Mincho"/>
          <w:lang w:eastAsia="en-US"/>
        </w:rPr>
        <w:t>”</w:t>
      </w:r>
    </w:p>
    <w:p w14:paraId="25E87AC7" w14:textId="77777777" w:rsidR="00272179" w:rsidRPr="002879FE" w:rsidRDefault="00272179" w:rsidP="00272179">
      <w:pPr>
        <w:keepNext/>
        <w:keepLines/>
        <w:tabs>
          <w:tab w:val="right" w:pos="0"/>
        </w:tabs>
        <w:spacing w:before="360" w:after="240" w:line="300" w:lineRule="exact"/>
        <w:ind w:left="1134" w:right="-1" w:hanging="1134"/>
        <w:rPr>
          <w:rFonts w:eastAsia="MS Mincho"/>
          <w:b/>
          <w:sz w:val="28"/>
          <w:szCs w:val="28"/>
          <w:lang w:eastAsia="en-US"/>
        </w:rPr>
      </w:pPr>
      <w:r w:rsidRPr="002879FE">
        <w:rPr>
          <w:rFonts w:eastAsia="MS Mincho"/>
          <w:b/>
          <w:sz w:val="28"/>
          <w:szCs w:val="28"/>
          <w:lang w:eastAsia="en-US"/>
        </w:rPr>
        <w:t>II.</w:t>
      </w:r>
      <w:r>
        <w:rPr>
          <w:rFonts w:eastAsia="MS Mincho"/>
          <w:b/>
          <w:sz w:val="28"/>
          <w:szCs w:val="28"/>
          <w:lang w:eastAsia="en-US"/>
        </w:rPr>
        <w:tab/>
      </w:r>
      <w:r w:rsidRPr="002879FE">
        <w:rPr>
          <w:rFonts w:eastAsia="MS Mincho"/>
          <w:b/>
          <w:sz w:val="28"/>
          <w:szCs w:val="28"/>
          <w:lang w:eastAsia="en-US"/>
        </w:rPr>
        <w:t>Justification</w:t>
      </w:r>
    </w:p>
    <w:p w14:paraId="20DEF69E" w14:textId="23FEEF3A" w:rsidR="00351022" w:rsidRPr="00351022" w:rsidRDefault="00351022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sz w:val="20"/>
          <w:szCs w:val="20"/>
          <w:lang w:eastAsia="en-US"/>
        </w:rPr>
      </w:pPr>
      <w:r w:rsidRPr="00094785">
        <w:rPr>
          <w:sz w:val="20"/>
          <w:szCs w:val="20"/>
          <w:lang w:eastAsia="en-US"/>
        </w:rPr>
        <w:t xml:space="preserve">Correction of wrong reference to Annex 4 instead of Annex 7 of </w:t>
      </w:r>
      <w:r w:rsidR="009806E8">
        <w:rPr>
          <w:sz w:val="20"/>
          <w:szCs w:val="20"/>
          <w:lang w:eastAsia="en-US"/>
        </w:rPr>
        <w:t xml:space="preserve">UN </w:t>
      </w:r>
      <w:r w:rsidRPr="00094785">
        <w:rPr>
          <w:sz w:val="20"/>
          <w:szCs w:val="20"/>
          <w:lang w:eastAsia="en-US"/>
        </w:rPr>
        <w:t xml:space="preserve">GTR No.15; in Annex </w:t>
      </w:r>
      <w:r>
        <w:rPr>
          <w:sz w:val="20"/>
          <w:szCs w:val="20"/>
          <w:lang w:eastAsia="en-US"/>
        </w:rPr>
        <w:t>7</w:t>
      </w:r>
      <w:r w:rsidRPr="00094785">
        <w:rPr>
          <w:sz w:val="20"/>
          <w:szCs w:val="20"/>
          <w:lang w:eastAsia="en-US"/>
        </w:rPr>
        <w:t>, Appendix 7</w:t>
      </w:r>
      <w:r w:rsidR="00251A12">
        <w:rPr>
          <w:sz w:val="20"/>
          <w:szCs w:val="20"/>
          <w:lang w:eastAsia="en-US"/>
        </w:rPr>
        <w:t>b</w:t>
      </w:r>
      <w:r w:rsidRPr="00094785">
        <w:rPr>
          <w:sz w:val="20"/>
          <w:szCs w:val="20"/>
          <w:lang w:eastAsia="en-US"/>
        </w:rPr>
        <w:t>, paragraph 2.1.</w:t>
      </w:r>
      <w:r w:rsidR="00AE1612">
        <w:rPr>
          <w:sz w:val="20"/>
          <w:szCs w:val="20"/>
          <w:lang w:eastAsia="en-US"/>
        </w:rPr>
        <w:t>(</w:t>
      </w:r>
      <w:r w:rsidRPr="00094785">
        <w:rPr>
          <w:sz w:val="20"/>
          <w:szCs w:val="20"/>
          <w:lang w:eastAsia="en-US"/>
        </w:rPr>
        <w:t>b).</w:t>
      </w:r>
    </w:p>
    <w:p w14:paraId="62BAEDA5" w14:textId="0B6E4879" w:rsidR="00272179" w:rsidRPr="00351022" w:rsidRDefault="00C3308A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sz w:val="20"/>
          <w:szCs w:val="20"/>
          <w:lang w:eastAsia="en-US"/>
        </w:rPr>
      </w:pPr>
      <w:r w:rsidRPr="00351022">
        <w:rPr>
          <w:sz w:val="20"/>
          <w:szCs w:val="20"/>
          <w:lang w:eastAsia="en-US"/>
        </w:rPr>
        <w:t>When copying the methodology from EU regulation, a ‘.’ was wrongly introduced instead of a ‘</w:t>
      </w:r>
      <w:proofErr w:type="gramStart"/>
      <w:r w:rsidRPr="00351022">
        <w:rPr>
          <w:sz w:val="20"/>
          <w:szCs w:val="20"/>
          <w:lang w:eastAsia="en-US"/>
        </w:rPr>
        <w:t>-‘</w:t>
      </w:r>
      <w:r w:rsidR="000F5263" w:rsidRPr="00351022">
        <w:rPr>
          <w:sz w:val="20"/>
          <w:szCs w:val="20"/>
          <w:lang w:eastAsia="en-US"/>
        </w:rPr>
        <w:t xml:space="preserve"> in</w:t>
      </w:r>
      <w:proofErr w:type="gramEnd"/>
      <w:r w:rsidR="000F5263" w:rsidRPr="00351022">
        <w:rPr>
          <w:sz w:val="20"/>
          <w:szCs w:val="20"/>
          <w:lang w:eastAsia="en-US"/>
        </w:rPr>
        <w:t xml:space="preserve"> the formula. </w:t>
      </w:r>
    </w:p>
    <w:p w14:paraId="6517DF18" w14:textId="547CB1F7" w:rsidR="005F1FB8" w:rsidRPr="00351022" w:rsidRDefault="00C3308A" w:rsidP="00455EE7">
      <w:pPr>
        <w:pStyle w:val="ListParagraph"/>
        <w:numPr>
          <w:ilvl w:val="0"/>
          <w:numId w:val="34"/>
        </w:numPr>
        <w:spacing w:after="120"/>
        <w:ind w:left="1134" w:right="1134" w:firstLine="0"/>
        <w:contextualSpacing w:val="0"/>
        <w:rPr>
          <w:rFonts w:cs="Courier New"/>
          <w:sz w:val="20"/>
          <w:szCs w:val="20"/>
        </w:rPr>
      </w:pPr>
      <w:r w:rsidRPr="00351022">
        <w:rPr>
          <w:sz w:val="20"/>
          <w:szCs w:val="20"/>
          <w:lang w:eastAsia="en-US"/>
        </w:rPr>
        <w:t xml:space="preserve">This correction has been </w:t>
      </w:r>
      <w:proofErr w:type="gramStart"/>
      <w:r w:rsidRPr="00351022">
        <w:rPr>
          <w:sz w:val="20"/>
          <w:szCs w:val="20"/>
          <w:lang w:eastAsia="en-US"/>
        </w:rPr>
        <w:t>review</w:t>
      </w:r>
      <w:proofErr w:type="gramEnd"/>
      <w:r w:rsidRPr="00351022">
        <w:rPr>
          <w:sz w:val="20"/>
          <w:szCs w:val="20"/>
          <w:lang w:eastAsia="en-US"/>
        </w:rPr>
        <w:t xml:space="preserve"> by </w:t>
      </w:r>
      <w:r w:rsidR="000F5263" w:rsidRPr="00351022">
        <w:rPr>
          <w:sz w:val="20"/>
          <w:szCs w:val="20"/>
          <w:lang w:eastAsia="en-US"/>
        </w:rPr>
        <w:t xml:space="preserve">EU </w:t>
      </w:r>
      <w:r w:rsidRPr="00351022">
        <w:rPr>
          <w:sz w:val="20"/>
          <w:szCs w:val="20"/>
          <w:lang w:eastAsia="en-US"/>
        </w:rPr>
        <w:t>J</w:t>
      </w:r>
      <w:r w:rsidR="000F5263" w:rsidRPr="00351022">
        <w:rPr>
          <w:sz w:val="20"/>
          <w:szCs w:val="20"/>
          <w:lang w:eastAsia="en-US"/>
        </w:rPr>
        <w:t xml:space="preserve">oint Research </w:t>
      </w:r>
      <w:proofErr w:type="spellStart"/>
      <w:r w:rsidRPr="00351022">
        <w:rPr>
          <w:sz w:val="20"/>
          <w:szCs w:val="20"/>
          <w:lang w:eastAsia="en-US"/>
        </w:rPr>
        <w:t>C</w:t>
      </w:r>
      <w:r w:rsidR="000F5263" w:rsidRPr="00351022">
        <w:rPr>
          <w:sz w:val="20"/>
          <w:szCs w:val="20"/>
          <w:lang w:eastAsia="en-US"/>
        </w:rPr>
        <w:t>enter</w:t>
      </w:r>
      <w:proofErr w:type="spellEnd"/>
      <w:r w:rsidRPr="00351022">
        <w:rPr>
          <w:sz w:val="20"/>
          <w:szCs w:val="20"/>
          <w:lang w:eastAsia="en-US"/>
        </w:rPr>
        <w:t xml:space="preserve"> which is at the origin of the methodology.</w:t>
      </w:r>
    </w:p>
    <w:p w14:paraId="5FD6818B" w14:textId="77777777" w:rsidR="005F1FB8" w:rsidRPr="00540E1C" w:rsidRDefault="005F1FB8" w:rsidP="005F1FB8">
      <w:pPr>
        <w:pStyle w:val="SingleTxtG"/>
        <w:spacing w:before="240" w:after="0"/>
        <w:ind w:left="567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F1FB8" w:rsidRPr="00540E1C" w:rsidSect="007B02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174A" w14:textId="77777777" w:rsidR="00A15950" w:rsidRDefault="00A15950"/>
  </w:endnote>
  <w:endnote w:type="continuationSeparator" w:id="0">
    <w:p w14:paraId="203A5D05" w14:textId="77777777" w:rsidR="00A15950" w:rsidRDefault="00A15950"/>
  </w:endnote>
  <w:endnote w:type="continuationNotice" w:id="1">
    <w:p w14:paraId="3AA79FF2" w14:textId="77777777" w:rsidR="00A15950" w:rsidRDefault="00A15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E2E4" w14:textId="7435DED0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BD0E85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90DE" w14:textId="3E504C1E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C3308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780A" w14:textId="68ED8F28" w:rsidR="00D92643" w:rsidRPr="000C1674" w:rsidRDefault="000C1674" w:rsidP="000C1674">
    <w:pPr>
      <w:pStyle w:val="Footer"/>
      <w:ind w:right="1134"/>
      <w:rPr>
        <w:rFonts w:ascii="C39T30Lfz" w:hAnsi="C39T30Lfz"/>
        <w:sz w:val="20"/>
      </w:rPr>
    </w:pPr>
    <w:r w:rsidRPr="000C1674">
      <w:rPr>
        <w:rFonts w:ascii="C39T30Lfz" w:hAnsi="C39T30Lfz"/>
        <w:noProof/>
        <w:sz w:val="20"/>
        <w:lang w:eastAsia="zh-CN"/>
      </w:rPr>
      <w:drawing>
        <wp:anchor distT="0" distB="0" distL="114300" distR="114300" simplePos="0" relativeHeight="251659264" behindDoc="1" locked="1" layoutInCell="1" allowOverlap="1" wp14:anchorId="769FDDF5" wp14:editId="6E12F92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9D5B5" w14:textId="09C9110C" w:rsidR="000C1674" w:rsidRPr="000C1674" w:rsidRDefault="000C1674" w:rsidP="000C1674">
    <w:pPr>
      <w:pStyle w:val="Footer"/>
      <w:ind w:right="1134"/>
      <w:rPr>
        <w:rFonts w:asciiTheme="majorBidi" w:hAnsiTheme="majorBidi" w:cstheme="majorBidi"/>
        <w:sz w:val="20"/>
      </w:rPr>
    </w:pPr>
    <w:r w:rsidRPr="000C1674">
      <w:rPr>
        <w:rFonts w:asciiTheme="majorBidi" w:hAnsiTheme="majorBidi" w:cstheme="majorBidi"/>
        <w:sz w:val="20"/>
      </w:rPr>
      <w:t>GE.20-14369(E)</w:t>
    </w:r>
  </w:p>
  <w:p w14:paraId="019FA9D8" w14:textId="6D98C199" w:rsidR="000C1674" w:rsidRPr="000C1674" w:rsidRDefault="000C1674" w:rsidP="000C167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*2014369*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8AAF424" wp14:editId="368FA288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6923" w14:textId="77777777" w:rsidR="00A15950" w:rsidRPr="000B175B" w:rsidRDefault="00A159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6BE5F3" w14:textId="77777777" w:rsidR="00A15950" w:rsidRPr="00FC68B7" w:rsidRDefault="00A159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7FE768" w14:textId="77777777" w:rsidR="00A15950" w:rsidRDefault="00A15950"/>
  </w:footnote>
  <w:footnote w:id="2">
    <w:p w14:paraId="35545F5F" w14:textId="520B22C0" w:rsidR="005F1FB8" w:rsidRPr="007E5C8F" w:rsidRDefault="005F1FB8" w:rsidP="005F1FB8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DC71FE" w:rsidRPr="00DC71FE">
        <w:rPr>
          <w:szCs w:val="18"/>
          <w:lang w:val="en-US"/>
        </w:rPr>
        <w:t xml:space="preserve">In accordance with the </w:t>
      </w:r>
      <w:proofErr w:type="spellStart"/>
      <w:r w:rsidR="00DC71FE" w:rsidRPr="00DC71FE">
        <w:rPr>
          <w:szCs w:val="18"/>
          <w:lang w:val="en-US"/>
        </w:rPr>
        <w:t>programme</w:t>
      </w:r>
      <w:proofErr w:type="spellEnd"/>
      <w:r w:rsidR="00DC71FE" w:rsidRPr="00DC71FE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DC71FE" w:rsidRPr="00DC71FE">
        <w:rPr>
          <w:szCs w:val="18"/>
          <w:lang w:val="en-US"/>
        </w:rPr>
        <w:t>programme</w:t>
      </w:r>
      <w:proofErr w:type="spellEnd"/>
      <w:r w:rsidR="00DC71FE" w:rsidRPr="00DC71FE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  <w:footnote w:id="3">
    <w:p w14:paraId="70710A27" w14:textId="14772E43" w:rsidR="00251A12" w:rsidRPr="00D96CAC" w:rsidRDefault="00AF5463" w:rsidP="00AF5463">
      <w:pPr>
        <w:pStyle w:val="FootnoteText"/>
      </w:pPr>
      <w:r>
        <w:tab/>
      </w:r>
      <w:r w:rsidR="00251A12" w:rsidRPr="00E52478">
        <w:rPr>
          <w:rStyle w:val="FootnoteReference"/>
        </w:rPr>
        <w:footnoteRef/>
      </w:r>
      <w:r>
        <w:tab/>
      </w:r>
      <w:r w:rsidR="00251A12" w:rsidRPr="00E52478">
        <w:rPr>
          <w:rFonts w:eastAsia="MS Mincho"/>
        </w:rPr>
        <w:t xml:space="preserve">As defined in </w:t>
      </w:r>
      <w:r>
        <w:rPr>
          <w:rFonts w:eastAsia="MS Mincho"/>
        </w:rPr>
        <w:t xml:space="preserve">UN </w:t>
      </w:r>
      <w:r w:rsidR="00251A12" w:rsidRPr="00E52478">
        <w:rPr>
          <w:rFonts w:eastAsia="MS Mincho"/>
        </w:rPr>
        <w:t>GTR</w:t>
      </w:r>
      <w:r w:rsidR="005C7B84">
        <w:rPr>
          <w:rFonts w:eastAsia="MS Mincho"/>
        </w:rPr>
        <w:t xml:space="preserve"> No. </w:t>
      </w:r>
      <w:r w:rsidR="00251A12" w:rsidRPr="00E52478">
        <w:rPr>
          <w:rFonts w:eastAsia="MS Mincho"/>
        </w:rPr>
        <w:t>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0472" w14:textId="797660D6" w:rsidR="007B02AA" w:rsidRPr="007B02AA" w:rsidRDefault="00A15950">
    <w:pPr>
      <w:pStyle w:val="Header"/>
    </w:pPr>
    <w:fldSimple w:instr=" TITLE  \* MERGEFORMAT ">
      <w:r w:rsidR="007F4CB2">
        <w:t>ECE/TRANS/WP.29/GRPE/2021/4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527F" w14:textId="0D40EA2A" w:rsidR="007B02AA" w:rsidRPr="007B02AA" w:rsidRDefault="00A15950" w:rsidP="007B02AA">
    <w:pPr>
      <w:pStyle w:val="Header"/>
      <w:jc w:val="right"/>
    </w:pPr>
    <w:fldSimple w:instr=" TITLE  \* MERGEFORMAT ">
      <w:r w:rsidR="007F4CB2">
        <w:t>ECE/TRANS/WP.29/GRPE/2021/4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105BE6"/>
    <w:multiLevelType w:val="hybridMultilevel"/>
    <w:tmpl w:val="B98CBA9E"/>
    <w:lvl w:ilvl="0" w:tplc="ADC87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021E7"/>
    <w:multiLevelType w:val="hybridMultilevel"/>
    <w:tmpl w:val="6F544CB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3B87D7E"/>
    <w:multiLevelType w:val="hybridMultilevel"/>
    <w:tmpl w:val="12F82E9A"/>
    <w:lvl w:ilvl="0" w:tplc="ADC87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6BB0BC4"/>
    <w:multiLevelType w:val="hybridMultilevel"/>
    <w:tmpl w:val="0BCE2ECC"/>
    <w:lvl w:ilvl="0" w:tplc="52B0A33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33FBE"/>
    <w:multiLevelType w:val="hybridMultilevel"/>
    <w:tmpl w:val="36108B3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3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20"/>
  </w:num>
  <w:num w:numId="16">
    <w:abstractNumId w:val="15"/>
  </w:num>
  <w:num w:numId="17">
    <w:abstractNumId w:val="27"/>
  </w:num>
  <w:num w:numId="18">
    <w:abstractNumId w:val="31"/>
  </w:num>
  <w:num w:numId="19">
    <w:abstractNumId w:val="13"/>
  </w:num>
  <w:num w:numId="20">
    <w:abstractNumId w:val="26"/>
  </w:num>
  <w:num w:numId="21">
    <w:abstractNumId w:val="11"/>
  </w:num>
  <w:num w:numId="22">
    <w:abstractNumId w:val="29"/>
  </w:num>
  <w:num w:numId="23">
    <w:abstractNumId w:val="23"/>
  </w:num>
  <w:num w:numId="24">
    <w:abstractNumId w:val="32"/>
  </w:num>
  <w:num w:numId="25">
    <w:abstractNumId w:val="30"/>
  </w:num>
  <w:num w:numId="26">
    <w:abstractNumId w:val="34"/>
  </w:num>
  <w:num w:numId="27">
    <w:abstractNumId w:val="25"/>
  </w:num>
  <w:num w:numId="28">
    <w:abstractNumId w:val="22"/>
  </w:num>
  <w:num w:numId="29">
    <w:abstractNumId w:val="33"/>
  </w:num>
  <w:num w:numId="30">
    <w:abstractNumId w:val="21"/>
  </w:num>
  <w:num w:numId="31">
    <w:abstractNumId w:val="17"/>
  </w:num>
  <w:num w:numId="32">
    <w:abstractNumId w:val="28"/>
  </w:num>
  <w:num w:numId="33">
    <w:abstractNumId w:val="24"/>
  </w:num>
  <w:num w:numId="34">
    <w:abstractNumId w:val="12"/>
  </w:num>
  <w:num w:numId="3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AA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674"/>
    <w:rsid w:val="000E0415"/>
    <w:rsid w:val="000F5263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6BC9"/>
    <w:rsid w:val="001C7895"/>
    <w:rsid w:val="001D1614"/>
    <w:rsid w:val="001D26DF"/>
    <w:rsid w:val="001F1599"/>
    <w:rsid w:val="001F19C4"/>
    <w:rsid w:val="002043F0"/>
    <w:rsid w:val="00211E0B"/>
    <w:rsid w:val="00224BAA"/>
    <w:rsid w:val="00232575"/>
    <w:rsid w:val="00247258"/>
    <w:rsid w:val="00251A12"/>
    <w:rsid w:val="00257CAC"/>
    <w:rsid w:val="00271331"/>
    <w:rsid w:val="00272179"/>
    <w:rsid w:val="0027237A"/>
    <w:rsid w:val="002932F4"/>
    <w:rsid w:val="002974E9"/>
    <w:rsid w:val="002A306B"/>
    <w:rsid w:val="002A7F94"/>
    <w:rsid w:val="002B109A"/>
    <w:rsid w:val="002C6D45"/>
    <w:rsid w:val="002D6E53"/>
    <w:rsid w:val="002E3080"/>
    <w:rsid w:val="002F046D"/>
    <w:rsid w:val="002F3023"/>
    <w:rsid w:val="00301764"/>
    <w:rsid w:val="003229D8"/>
    <w:rsid w:val="00323B50"/>
    <w:rsid w:val="00336C97"/>
    <w:rsid w:val="00337F88"/>
    <w:rsid w:val="00342432"/>
    <w:rsid w:val="00351022"/>
    <w:rsid w:val="0035223F"/>
    <w:rsid w:val="00352D4B"/>
    <w:rsid w:val="0035638C"/>
    <w:rsid w:val="00366BFC"/>
    <w:rsid w:val="00382FE4"/>
    <w:rsid w:val="003A46BB"/>
    <w:rsid w:val="003A4EC7"/>
    <w:rsid w:val="003A7295"/>
    <w:rsid w:val="003B1F60"/>
    <w:rsid w:val="003C2CC4"/>
    <w:rsid w:val="003D4B23"/>
    <w:rsid w:val="003E278A"/>
    <w:rsid w:val="003E4730"/>
    <w:rsid w:val="003F6816"/>
    <w:rsid w:val="00413520"/>
    <w:rsid w:val="004325CB"/>
    <w:rsid w:val="00440A07"/>
    <w:rsid w:val="00452A9C"/>
    <w:rsid w:val="00455EE7"/>
    <w:rsid w:val="00462880"/>
    <w:rsid w:val="004745B6"/>
    <w:rsid w:val="00476F24"/>
    <w:rsid w:val="004840FE"/>
    <w:rsid w:val="004917A0"/>
    <w:rsid w:val="004A5D33"/>
    <w:rsid w:val="004C55B0"/>
    <w:rsid w:val="004F1221"/>
    <w:rsid w:val="004F4B59"/>
    <w:rsid w:val="004F6BA0"/>
    <w:rsid w:val="00503BEA"/>
    <w:rsid w:val="00533616"/>
    <w:rsid w:val="00535ABA"/>
    <w:rsid w:val="0053768B"/>
    <w:rsid w:val="005420F2"/>
    <w:rsid w:val="0054285C"/>
    <w:rsid w:val="00571739"/>
    <w:rsid w:val="00584173"/>
    <w:rsid w:val="00585FBD"/>
    <w:rsid w:val="00595520"/>
    <w:rsid w:val="005977F0"/>
    <w:rsid w:val="005A44B9"/>
    <w:rsid w:val="005A77DD"/>
    <w:rsid w:val="005B1BA0"/>
    <w:rsid w:val="005B3DB3"/>
    <w:rsid w:val="005C0268"/>
    <w:rsid w:val="005C7B84"/>
    <w:rsid w:val="005D15CA"/>
    <w:rsid w:val="005F08DF"/>
    <w:rsid w:val="005F1FB8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2413"/>
    <w:rsid w:val="006A3C72"/>
    <w:rsid w:val="006A7392"/>
    <w:rsid w:val="006B03A1"/>
    <w:rsid w:val="006B67D9"/>
    <w:rsid w:val="006C5535"/>
    <w:rsid w:val="006D0589"/>
    <w:rsid w:val="006E564B"/>
    <w:rsid w:val="006E7154"/>
    <w:rsid w:val="006F67BE"/>
    <w:rsid w:val="007003CD"/>
    <w:rsid w:val="0070701E"/>
    <w:rsid w:val="0072632A"/>
    <w:rsid w:val="007358E8"/>
    <w:rsid w:val="00736ECE"/>
    <w:rsid w:val="0074533B"/>
    <w:rsid w:val="007643BC"/>
    <w:rsid w:val="00780C68"/>
    <w:rsid w:val="00783E93"/>
    <w:rsid w:val="00785AE0"/>
    <w:rsid w:val="00790EEB"/>
    <w:rsid w:val="007959FE"/>
    <w:rsid w:val="007A0CF1"/>
    <w:rsid w:val="007A7547"/>
    <w:rsid w:val="007B02AA"/>
    <w:rsid w:val="007B6BA5"/>
    <w:rsid w:val="007C056F"/>
    <w:rsid w:val="007C3390"/>
    <w:rsid w:val="007C42D8"/>
    <w:rsid w:val="007C4F4B"/>
    <w:rsid w:val="007D6F65"/>
    <w:rsid w:val="007D7362"/>
    <w:rsid w:val="007F4CB2"/>
    <w:rsid w:val="007F5CE2"/>
    <w:rsid w:val="007F6611"/>
    <w:rsid w:val="00810BAC"/>
    <w:rsid w:val="008175E9"/>
    <w:rsid w:val="008242D7"/>
    <w:rsid w:val="0082577B"/>
    <w:rsid w:val="00825CB5"/>
    <w:rsid w:val="008554CB"/>
    <w:rsid w:val="00866893"/>
    <w:rsid w:val="00866F02"/>
    <w:rsid w:val="00867D18"/>
    <w:rsid w:val="00871F9A"/>
    <w:rsid w:val="00871FD5"/>
    <w:rsid w:val="0088172E"/>
    <w:rsid w:val="00881EFA"/>
    <w:rsid w:val="008879CB"/>
    <w:rsid w:val="00895C1F"/>
    <w:rsid w:val="008979B1"/>
    <w:rsid w:val="008A6B25"/>
    <w:rsid w:val="008A6C4F"/>
    <w:rsid w:val="008B389E"/>
    <w:rsid w:val="008C30AA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06E8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20A3"/>
    <w:rsid w:val="00A15950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4C03"/>
    <w:rsid w:val="00AB708F"/>
    <w:rsid w:val="00AC0F2C"/>
    <w:rsid w:val="00AC23DC"/>
    <w:rsid w:val="00AC502A"/>
    <w:rsid w:val="00AE1612"/>
    <w:rsid w:val="00AE1E26"/>
    <w:rsid w:val="00AF5463"/>
    <w:rsid w:val="00AF58C1"/>
    <w:rsid w:val="00B04A3F"/>
    <w:rsid w:val="00B05006"/>
    <w:rsid w:val="00B06643"/>
    <w:rsid w:val="00B10846"/>
    <w:rsid w:val="00B15055"/>
    <w:rsid w:val="00B20551"/>
    <w:rsid w:val="00B30179"/>
    <w:rsid w:val="00B31E0B"/>
    <w:rsid w:val="00B33FC7"/>
    <w:rsid w:val="00B37B15"/>
    <w:rsid w:val="00B4162A"/>
    <w:rsid w:val="00B41F61"/>
    <w:rsid w:val="00B45C02"/>
    <w:rsid w:val="00B70B63"/>
    <w:rsid w:val="00B72A1E"/>
    <w:rsid w:val="00B81E12"/>
    <w:rsid w:val="00BA339B"/>
    <w:rsid w:val="00BB23CC"/>
    <w:rsid w:val="00BC1E7E"/>
    <w:rsid w:val="00BC2425"/>
    <w:rsid w:val="00BC74E9"/>
    <w:rsid w:val="00BD0E85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0AE"/>
    <w:rsid w:val="00C044E2"/>
    <w:rsid w:val="00C048CB"/>
    <w:rsid w:val="00C066F3"/>
    <w:rsid w:val="00C22CDB"/>
    <w:rsid w:val="00C3308A"/>
    <w:rsid w:val="00C3527E"/>
    <w:rsid w:val="00C42E88"/>
    <w:rsid w:val="00C463DD"/>
    <w:rsid w:val="00C6552B"/>
    <w:rsid w:val="00C72AE2"/>
    <w:rsid w:val="00C745C3"/>
    <w:rsid w:val="00C978F5"/>
    <w:rsid w:val="00CA24A4"/>
    <w:rsid w:val="00CA269F"/>
    <w:rsid w:val="00CB348D"/>
    <w:rsid w:val="00CD46F5"/>
    <w:rsid w:val="00CE3708"/>
    <w:rsid w:val="00CE4A8F"/>
    <w:rsid w:val="00CF071D"/>
    <w:rsid w:val="00D0123D"/>
    <w:rsid w:val="00D14B0E"/>
    <w:rsid w:val="00D15B04"/>
    <w:rsid w:val="00D2031B"/>
    <w:rsid w:val="00D25FE2"/>
    <w:rsid w:val="00D37DA9"/>
    <w:rsid w:val="00D406A7"/>
    <w:rsid w:val="00D424B8"/>
    <w:rsid w:val="00D43252"/>
    <w:rsid w:val="00D44D86"/>
    <w:rsid w:val="00D50B7D"/>
    <w:rsid w:val="00D52012"/>
    <w:rsid w:val="00D609DC"/>
    <w:rsid w:val="00D62E38"/>
    <w:rsid w:val="00D704E5"/>
    <w:rsid w:val="00D72727"/>
    <w:rsid w:val="00D92643"/>
    <w:rsid w:val="00D96CAC"/>
    <w:rsid w:val="00D978C6"/>
    <w:rsid w:val="00DA0956"/>
    <w:rsid w:val="00DA357F"/>
    <w:rsid w:val="00DA3E12"/>
    <w:rsid w:val="00DC18AD"/>
    <w:rsid w:val="00DC71FE"/>
    <w:rsid w:val="00DC75A1"/>
    <w:rsid w:val="00DF7CAE"/>
    <w:rsid w:val="00E4128E"/>
    <w:rsid w:val="00E423C0"/>
    <w:rsid w:val="00E6414C"/>
    <w:rsid w:val="00E7260F"/>
    <w:rsid w:val="00E8702D"/>
    <w:rsid w:val="00E905F4"/>
    <w:rsid w:val="00E911A8"/>
    <w:rsid w:val="00E916A9"/>
    <w:rsid w:val="00E916DE"/>
    <w:rsid w:val="00E925AD"/>
    <w:rsid w:val="00E94F84"/>
    <w:rsid w:val="00E96630"/>
    <w:rsid w:val="00EA0653"/>
    <w:rsid w:val="00ED099C"/>
    <w:rsid w:val="00ED18DC"/>
    <w:rsid w:val="00ED6201"/>
    <w:rsid w:val="00ED7A2A"/>
    <w:rsid w:val="00EF1D7F"/>
    <w:rsid w:val="00F0137E"/>
    <w:rsid w:val="00F04E44"/>
    <w:rsid w:val="00F10244"/>
    <w:rsid w:val="00F21786"/>
    <w:rsid w:val="00F25D06"/>
    <w:rsid w:val="00F31CFF"/>
    <w:rsid w:val="00F3742B"/>
    <w:rsid w:val="00F37F81"/>
    <w:rsid w:val="00F41FDB"/>
    <w:rsid w:val="00F50597"/>
    <w:rsid w:val="00F56D63"/>
    <w:rsid w:val="00F609A9"/>
    <w:rsid w:val="00F80C99"/>
    <w:rsid w:val="00F867EC"/>
    <w:rsid w:val="00F91B2B"/>
    <w:rsid w:val="00FA4F09"/>
    <w:rsid w:val="00FB4BB9"/>
    <w:rsid w:val="00FC03CD"/>
    <w:rsid w:val="00FC0646"/>
    <w:rsid w:val="00FC68B7"/>
    <w:rsid w:val="00FE66B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A36C849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paragraph" w:customStyle="1" w:styleId="Default">
    <w:name w:val="Default"/>
    <w:rsid w:val="008554C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33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0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3308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08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9FA6-CF77-45B5-B024-CC9C7A42D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B7FC0-808F-49D1-9B8B-C4EF7885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D4A2F-209F-4A32-B749-836F59AB5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EB5F3-1E31-44C3-B690-D9A2FBB7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2329</Characters>
  <Application>Microsoft Office Word</Application>
  <DocSecurity>0</DocSecurity>
  <Lines>60</Lines>
  <Paragraphs>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ECE/TRANS/WP.29/GRPE/2020/5</vt:lpstr>
      <vt:lpstr>ECE/TRANS/WP.29/GRPE/2020/5</vt:lpstr>
      <vt:lpstr>ECE/TRANS/WP.29/GRPE/2020/5</vt:lpstr>
    </vt:vector>
  </TitlesOfParts>
  <Company>CSD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ECE/TRANS/WP.29/GRPE/2021/4</dc:title>
  <dc:subject>2014369</dc:subject>
  <dc:creator>Una Philippa GILTSOFF</dc:creator>
  <cp:keywords/>
  <dc:description/>
  <cp:lastModifiedBy>Una Philippa GILTSOFF</cp:lastModifiedBy>
  <cp:revision>2</cp:revision>
  <cp:lastPrinted>2020-11-03T08:40:00Z</cp:lastPrinted>
  <dcterms:created xsi:type="dcterms:W3CDTF">2020-11-03T13:34:00Z</dcterms:created>
  <dcterms:modified xsi:type="dcterms:W3CDTF">2020-11-03T13:34:00Z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P525191@inetpsa.com</vt:lpwstr>
  </property>
  <property fmtid="{D5CDD505-2E9C-101B-9397-08002B2CF9AE}" pid="5" name="MSIP_Label_2fd53d93-3f4c-4b90-b511-bd6bdbb4fba9_SetDate">
    <vt:lpwstr>2020-09-24T09:12:43.1402025Z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  <property fmtid="{D5CDD505-2E9C-101B-9397-08002B2CF9AE}" pid="10" name="ContentTypeId">
    <vt:lpwstr>0x0101003B8422D08C252547BB1CFA7F78E2CB83</vt:lpwstr>
  </property>
</Properties>
</file>