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9B0F" w14:textId="77777777" w:rsidR="009F347F" w:rsidRDefault="009F347F">
      <w:pPr>
        <w:pStyle w:val="BodyText"/>
        <w:spacing w:before="3"/>
        <w:rPr>
          <w:b/>
          <w:sz w:val="30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344"/>
      </w:tblGrid>
      <w:tr w:rsidR="00F73A8E" w14:paraId="6746B2D6" w14:textId="77777777" w:rsidTr="00F73A8E">
        <w:trPr>
          <w:trHeight w:hRule="exact" w:val="991"/>
        </w:trPr>
        <w:tc>
          <w:tcPr>
            <w:tcW w:w="5103" w:type="dxa"/>
            <w:hideMark/>
          </w:tcPr>
          <w:p w14:paraId="19072474" w14:textId="57E22F2A" w:rsidR="00F73A8E" w:rsidRDefault="00F73A8E">
            <w:pPr>
              <w:spacing w:after="80" w:line="300" w:lineRule="exact"/>
              <w:rPr>
                <w:rFonts w:eastAsia="HGSGothicM"/>
                <w:kern w:val="2"/>
                <w:lang w:eastAsia="ja-JP"/>
              </w:rPr>
            </w:pPr>
            <w:bookmarkStart w:id="0" w:name="_Hlk54022601"/>
            <w:r>
              <w:rPr>
                <w:rFonts w:eastAsia="HGSGothicM"/>
                <w:kern w:val="2"/>
                <w:lang w:eastAsia="ko-KR"/>
              </w:rPr>
              <w:t>Submitted</w:t>
            </w:r>
            <w:r>
              <w:rPr>
                <w:rFonts w:eastAsia="HGSGothicM"/>
                <w:kern w:val="2"/>
                <w:lang w:eastAsia="ja-JP"/>
              </w:rPr>
              <w:t xml:space="preserve"> by the expert from </w:t>
            </w:r>
            <w:r>
              <w:rPr>
                <w:rFonts w:eastAsia="HGSGothicM"/>
                <w:kern w:val="2"/>
                <w:lang w:eastAsia="ja-JP"/>
              </w:rPr>
              <w:t>the Russian Federation</w:t>
            </w:r>
          </w:p>
        </w:tc>
        <w:tc>
          <w:tcPr>
            <w:tcW w:w="4341" w:type="dxa"/>
            <w:hideMark/>
          </w:tcPr>
          <w:p w14:paraId="420E3DFF" w14:textId="56F806D0" w:rsidR="00F73A8E" w:rsidRDefault="00F73A8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Informal document </w:t>
            </w:r>
            <w:r>
              <w:rPr>
                <w:b/>
                <w:lang w:val="fr-FR"/>
              </w:rPr>
              <w:t>GRE-83-5</w:t>
            </w:r>
            <w:r>
              <w:rPr>
                <w:b/>
                <w:lang w:val="fr-FR"/>
              </w:rPr>
              <w:t>2</w:t>
            </w:r>
          </w:p>
          <w:p w14:paraId="376D40E5" w14:textId="77777777" w:rsidR="00F73A8E" w:rsidRPr="00F73A8E" w:rsidRDefault="00F73A8E">
            <w:pPr>
              <w:tabs>
                <w:tab w:val="center" w:pos="4677"/>
                <w:tab w:val="right" w:pos="9355"/>
              </w:tabs>
              <w:ind w:left="567"/>
              <w:jc w:val="right"/>
              <w:rPr>
                <w:rFonts w:eastAsia="HGSGothicM"/>
                <w:kern w:val="2"/>
                <w:lang w:val="fr-CH" w:eastAsia="ko-KR"/>
              </w:rPr>
            </w:pPr>
            <w:r w:rsidRPr="00F73A8E">
              <w:rPr>
                <w:rFonts w:eastAsia="HGSGothicM"/>
                <w:kern w:val="2"/>
                <w:lang w:val="fr-CH" w:eastAsia="ar-SA"/>
              </w:rPr>
              <w:t xml:space="preserve">83rd GRE, </w:t>
            </w:r>
            <w:r w:rsidRPr="00F73A8E">
              <w:rPr>
                <w:rFonts w:eastAsia="HGSGothicM"/>
                <w:kern w:val="2"/>
                <w:lang w:val="fr-CH" w:eastAsia="ja-JP"/>
              </w:rPr>
              <w:t>19-23 October</w:t>
            </w:r>
            <w:r w:rsidRPr="00F73A8E">
              <w:rPr>
                <w:rFonts w:eastAsia="HGSGothicM"/>
                <w:kern w:val="2"/>
                <w:lang w:val="fr-CH" w:eastAsia="ar-SA"/>
              </w:rPr>
              <w:t xml:space="preserve"> 2020</w:t>
            </w:r>
            <w:r w:rsidRPr="00F73A8E">
              <w:rPr>
                <w:rFonts w:eastAsia="HGSGothicM"/>
                <w:kern w:val="2"/>
                <w:lang w:val="fr-CH" w:eastAsia="ko-KR"/>
              </w:rPr>
              <w:t xml:space="preserve">, </w:t>
            </w:r>
          </w:p>
          <w:p w14:paraId="755F6230" w14:textId="5DF2CCF9" w:rsidR="00F73A8E" w:rsidRDefault="00F73A8E">
            <w:pPr>
              <w:tabs>
                <w:tab w:val="center" w:pos="4677"/>
                <w:tab w:val="right" w:pos="9355"/>
              </w:tabs>
              <w:ind w:left="567"/>
              <w:jc w:val="right"/>
              <w:rPr>
                <w:rFonts w:ascii="HGSGothicM" w:eastAsia="HGSGothicM" w:hAnsi="Century"/>
                <w:kern w:val="2"/>
                <w:lang w:val="en-GB" w:eastAsia="ar-SA"/>
              </w:rPr>
            </w:pPr>
            <w:r w:rsidRPr="00F73A8E">
              <w:rPr>
                <w:rFonts w:eastAsia="HGSGothicM"/>
                <w:kern w:val="2"/>
                <w:lang w:val="fr-CH" w:eastAsia="ko-KR"/>
              </w:rPr>
              <w:t xml:space="preserve"> </w:t>
            </w:r>
            <w:r>
              <w:rPr>
                <w:rFonts w:eastAsia="HGSGothicM"/>
                <w:kern w:val="2"/>
                <w:lang w:eastAsia="ar-SA"/>
              </w:rPr>
              <w:t xml:space="preserve">agenda item </w:t>
            </w:r>
            <w:r w:rsidR="00D81196">
              <w:rPr>
                <w:rFonts w:eastAsia="HGSGothicM"/>
                <w:kern w:val="2"/>
                <w:lang w:eastAsia="ar-SA"/>
              </w:rPr>
              <w:t>6</w:t>
            </w:r>
            <w:r>
              <w:rPr>
                <w:rFonts w:eastAsia="HGSGothicM"/>
                <w:kern w:val="2"/>
                <w:lang w:eastAsia="ja-JP"/>
              </w:rPr>
              <w:t>(a)</w:t>
            </w:r>
          </w:p>
        </w:tc>
        <w:bookmarkEnd w:id="0"/>
      </w:tr>
    </w:tbl>
    <w:p w14:paraId="6118286A" w14:textId="77777777" w:rsidR="001400F1" w:rsidRDefault="001400F1">
      <w:pPr>
        <w:spacing w:line="223" w:lineRule="auto"/>
        <w:ind w:left="1266" w:right="1269"/>
        <w:rPr>
          <w:b/>
          <w:sz w:val="28"/>
        </w:rPr>
      </w:pPr>
    </w:p>
    <w:p w14:paraId="22FA501C" w14:textId="77777777" w:rsidR="001400F1" w:rsidRDefault="001400F1">
      <w:pPr>
        <w:spacing w:line="223" w:lineRule="auto"/>
        <w:ind w:left="1266" w:right="1269"/>
        <w:rPr>
          <w:b/>
          <w:sz w:val="28"/>
        </w:rPr>
      </w:pPr>
    </w:p>
    <w:p w14:paraId="6680ABBB" w14:textId="77777777" w:rsidR="001400F1" w:rsidRDefault="001400F1">
      <w:pPr>
        <w:spacing w:line="223" w:lineRule="auto"/>
        <w:ind w:left="1266" w:right="1269"/>
        <w:rPr>
          <w:b/>
          <w:sz w:val="28"/>
        </w:rPr>
      </w:pPr>
    </w:p>
    <w:p w14:paraId="1E0002F1" w14:textId="77777777" w:rsidR="001400F1" w:rsidRDefault="001400F1">
      <w:pPr>
        <w:spacing w:line="223" w:lineRule="auto"/>
        <w:ind w:left="1266" w:right="1269"/>
        <w:rPr>
          <w:b/>
          <w:sz w:val="28"/>
        </w:rPr>
      </w:pPr>
    </w:p>
    <w:p w14:paraId="2A9E42E7" w14:textId="3BCBBBA6" w:rsidR="009F347F" w:rsidRDefault="001400F1">
      <w:pPr>
        <w:spacing w:line="223" w:lineRule="auto"/>
        <w:ind w:left="1266" w:right="1269"/>
        <w:rPr>
          <w:b/>
          <w:sz w:val="28"/>
        </w:rPr>
      </w:pPr>
      <w:r w:rsidRPr="001400F1">
        <w:rPr>
          <w:b/>
          <w:sz w:val="28"/>
        </w:rPr>
        <w:t xml:space="preserve">Correction </w:t>
      </w:r>
      <w:r w:rsidR="00D81196">
        <w:rPr>
          <w:b/>
          <w:sz w:val="28"/>
        </w:rPr>
        <w:t xml:space="preserve">to </w:t>
      </w:r>
      <w:r w:rsidR="001F50E2" w:rsidRPr="001F50E2">
        <w:rPr>
          <w:b/>
          <w:sz w:val="28"/>
        </w:rPr>
        <w:t>ECE/TRANS/WP.29/GRE/2020/3</w:t>
      </w:r>
      <w:bookmarkStart w:id="1" w:name="_GoBack"/>
      <w:bookmarkEnd w:id="1"/>
    </w:p>
    <w:p w14:paraId="14795117" w14:textId="77777777" w:rsidR="009F347F" w:rsidRDefault="009F347F">
      <w:pPr>
        <w:pStyle w:val="BodyText"/>
        <w:spacing w:before="3"/>
        <w:rPr>
          <w:b/>
          <w:sz w:val="31"/>
        </w:rPr>
      </w:pPr>
    </w:p>
    <w:p w14:paraId="0D28A98A" w14:textId="77777777" w:rsidR="009F347F" w:rsidRDefault="001400F1">
      <w:pPr>
        <w:ind w:left="1266"/>
        <w:rPr>
          <w:b/>
          <w:sz w:val="24"/>
        </w:rPr>
      </w:pPr>
      <w:r>
        <w:rPr>
          <w:b/>
          <w:sz w:val="24"/>
        </w:rPr>
        <w:t>Submitted by the expert from the Russian Federation*</w:t>
      </w:r>
    </w:p>
    <w:p w14:paraId="6BFCBFDD" w14:textId="77777777" w:rsidR="009F347F" w:rsidRDefault="009F347F">
      <w:pPr>
        <w:pStyle w:val="BodyText"/>
        <w:spacing w:before="9"/>
        <w:rPr>
          <w:b/>
        </w:rPr>
      </w:pPr>
    </w:p>
    <w:p w14:paraId="5A596BFB" w14:textId="77777777" w:rsidR="009F347F" w:rsidRDefault="001400F1">
      <w:pPr>
        <w:pStyle w:val="BodyText"/>
        <w:spacing w:line="249" w:lineRule="auto"/>
        <w:ind w:left="1266" w:right="1246" w:firstLine="571"/>
        <w:jc w:val="both"/>
      </w:pPr>
      <w:r>
        <w:t>The text reproduced below was prepared by the expert from the Russian Federation in order to clarify the height requirements for the installation of the dipped-beam headlamp, reversing</w:t>
      </w:r>
      <w:r>
        <w:rPr>
          <w:spacing w:val="-7"/>
        </w:rPr>
        <w:t xml:space="preserve"> </w:t>
      </w:r>
      <w:r>
        <w:t>lamp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rear</w:t>
      </w:r>
      <w:r>
        <w:rPr>
          <w:spacing w:val="-5"/>
        </w:rPr>
        <w:t xml:space="preserve"> </w:t>
      </w:r>
      <w:r>
        <w:t>fog</w:t>
      </w:r>
      <w:r>
        <w:rPr>
          <w:spacing w:val="-4"/>
        </w:rPr>
        <w:t xml:space="preserve"> </w:t>
      </w:r>
      <w:r>
        <w:t>lamp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category</w:t>
      </w:r>
      <w:r>
        <w:rPr>
          <w:spacing w:val="-8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(designed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off-road</w:t>
      </w:r>
      <w:r>
        <w:rPr>
          <w:spacing w:val="-3"/>
        </w:rPr>
        <w:t xml:space="preserve"> </w:t>
      </w:r>
      <w:r>
        <w:t>use).</w:t>
      </w:r>
      <w:r>
        <w:rPr>
          <w:spacing w:val="-5"/>
        </w:rPr>
        <w:t xml:space="preserve"> </w:t>
      </w:r>
      <w:r>
        <w:t>The modifications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04,</w:t>
      </w:r>
      <w:r>
        <w:rPr>
          <w:spacing w:val="-11"/>
        </w:rPr>
        <w:t xml:space="preserve"> </w:t>
      </w:r>
      <w:r>
        <w:t>05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06</w:t>
      </w:r>
      <w:r>
        <w:rPr>
          <w:spacing w:val="-9"/>
        </w:rPr>
        <w:t xml:space="preserve"> </w:t>
      </w:r>
      <w:r>
        <w:t>series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amendments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Regulation</w:t>
      </w:r>
      <w:r>
        <w:rPr>
          <w:spacing w:val="-13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48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marked in bold for new or strikethrough for deleted</w:t>
      </w:r>
      <w:r>
        <w:rPr>
          <w:spacing w:val="-6"/>
        </w:rPr>
        <w:t xml:space="preserve"> </w:t>
      </w:r>
      <w:r>
        <w:t>characters.</w:t>
      </w:r>
    </w:p>
    <w:p w14:paraId="33906F33" w14:textId="77777777" w:rsidR="009F347F" w:rsidRDefault="009F347F">
      <w:pPr>
        <w:pStyle w:val="BodyText"/>
      </w:pPr>
    </w:p>
    <w:p w14:paraId="4706CA66" w14:textId="77777777" w:rsidR="009F347F" w:rsidRDefault="009F347F">
      <w:pPr>
        <w:pStyle w:val="BodyText"/>
      </w:pPr>
    </w:p>
    <w:p w14:paraId="6A8F80D8" w14:textId="77777777" w:rsidR="009F347F" w:rsidRDefault="009F347F">
      <w:pPr>
        <w:pStyle w:val="BodyText"/>
      </w:pPr>
    </w:p>
    <w:p w14:paraId="03FCA855" w14:textId="77777777" w:rsidR="009F347F" w:rsidRDefault="009F347F">
      <w:pPr>
        <w:spacing w:line="254" w:lineRule="auto"/>
        <w:rPr>
          <w:sz w:val="18"/>
        </w:rPr>
        <w:sectPr w:rsidR="009F347F">
          <w:type w:val="continuous"/>
          <w:pgSz w:w="11910" w:h="16840"/>
          <w:pgMar w:top="680" w:right="1020" w:bottom="280" w:left="1000" w:header="720" w:footer="720" w:gutter="0"/>
          <w:cols w:space="720"/>
        </w:sectPr>
      </w:pPr>
    </w:p>
    <w:p w14:paraId="39C21F5B" w14:textId="77777777" w:rsidR="009F347F" w:rsidRDefault="001F50E2"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39ECAB7F">
          <v:group id="_x0000_s1027" style="width:484.9pt;height:.5pt;mso-position-horizontal-relative:char;mso-position-vertical-relative:line" coordsize="9698,10">
            <v:rect id="_x0000_s1028" style="position:absolute;width:9698;height:10" fillcolor="black" stroked="f"/>
            <w10:anchorlock/>
          </v:group>
        </w:pict>
      </w:r>
    </w:p>
    <w:p w14:paraId="6739AB11" w14:textId="77777777" w:rsidR="009F347F" w:rsidRDefault="009F347F">
      <w:pPr>
        <w:pStyle w:val="BodyText"/>
        <w:spacing w:before="6"/>
        <w:rPr>
          <w:b/>
          <w:sz w:val="18"/>
        </w:rPr>
      </w:pPr>
    </w:p>
    <w:p w14:paraId="2A64902E" w14:textId="77777777" w:rsidR="009F347F" w:rsidRDefault="001400F1">
      <w:pPr>
        <w:pStyle w:val="Heading1"/>
        <w:numPr>
          <w:ilvl w:val="0"/>
          <w:numId w:val="1"/>
        </w:numPr>
        <w:tabs>
          <w:tab w:val="left" w:pos="1265"/>
          <w:tab w:val="left" w:pos="1266"/>
        </w:tabs>
      </w:pPr>
      <w:r>
        <w:t>Proposal</w:t>
      </w:r>
    </w:p>
    <w:p w14:paraId="6EFC08DA" w14:textId="77777777" w:rsidR="009F347F" w:rsidRDefault="001400F1">
      <w:pPr>
        <w:spacing w:before="249"/>
        <w:ind w:left="1266"/>
        <w:rPr>
          <w:sz w:val="20"/>
        </w:rPr>
      </w:pPr>
      <w:r>
        <w:rPr>
          <w:i/>
          <w:sz w:val="20"/>
        </w:rPr>
        <w:t>Paragraph 6.2.4.2.</w:t>
      </w:r>
      <w:r>
        <w:rPr>
          <w:sz w:val="20"/>
        </w:rPr>
        <w:t>, amend to read:</w:t>
      </w:r>
    </w:p>
    <w:p w14:paraId="55EC92B9" w14:textId="77777777" w:rsidR="009F347F" w:rsidRDefault="001400F1">
      <w:pPr>
        <w:pStyle w:val="BodyText"/>
        <w:spacing w:before="130" w:line="247" w:lineRule="auto"/>
        <w:ind w:left="2401" w:right="1250" w:hanging="1136"/>
        <w:jc w:val="both"/>
      </w:pPr>
      <w:r>
        <w:t xml:space="preserve">"6.2.4.2. In height: not less than 500 mm and not more than 1,200 mm above the ground. </w:t>
      </w:r>
      <w:r>
        <w:rPr>
          <w:position w:val="2"/>
        </w:rPr>
        <w:t xml:space="preserve">For category </w:t>
      </w:r>
      <w:r>
        <w:rPr>
          <w:b/>
          <w:position w:val="2"/>
        </w:rPr>
        <w:t>N</w:t>
      </w:r>
      <w:r>
        <w:rPr>
          <w:b/>
          <w:position w:val="1"/>
          <w:sz w:val="13"/>
        </w:rPr>
        <w:t>2</w:t>
      </w:r>
      <w:r>
        <w:rPr>
          <w:b/>
          <w:position w:val="2"/>
        </w:rPr>
        <w:t xml:space="preserve">G, </w:t>
      </w:r>
      <w:r>
        <w:rPr>
          <w:position w:val="2"/>
        </w:rPr>
        <w:t>N</w:t>
      </w:r>
      <w:r>
        <w:rPr>
          <w:sz w:val="13"/>
        </w:rPr>
        <w:t>3</w:t>
      </w:r>
      <w:r>
        <w:rPr>
          <w:position w:val="2"/>
        </w:rPr>
        <w:t>G</w:t>
      </w:r>
      <w:r>
        <w:rPr>
          <w:b/>
          <w:position w:val="2"/>
        </w:rPr>
        <w:t>, M</w:t>
      </w:r>
      <w:r>
        <w:rPr>
          <w:b/>
          <w:position w:val="1"/>
          <w:sz w:val="13"/>
        </w:rPr>
        <w:t>2</w:t>
      </w:r>
      <w:r>
        <w:rPr>
          <w:b/>
          <w:position w:val="2"/>
        </w:rPr>
        <w:t>G, M</w:t>
      </w:r>
      <w:r>
        <w:rPr>
          <w:b/>
          <w:position w:val="1"/>
          <w:sz w:val="13"/>
        </w:rPr>
        <w:t>3</w:t>
      </w:r>
      <w:r>
        <w:rPr>
          <w:b/>
          <w:position w:val="2"/>
        </w:rPr>
        <w:t xml:space="preserve">G </w:t>
      </w:r>
      <w:r>
        <w:rPr>
          <w:position w:val="2"/>
        </w:rPr>
        <w:t xml:space="preserve">(off-road) vehicles the maximum height </w:t>
      </w:r>
      <w:r>
        <w:t>may be increased to 1,500 mm."</w:t>
      </w:r>
    </w:p>
    <w:p w14:paraId="6FC5A30A" w14:textId="77777777" w:rsidR="009F347F" w:rsidRDefault="001400F1">
      <w:pPr>
        <w:spacing w:before="125"/>
        <w:ind w:left="1266"/>
        <w:rPr>
          <w:sz w:val="20"/>
        </w:rPr>
      </w:pPr>
      <w:r>
        <w:rPr>
          <w:i/>
          <w:sz w:val="20"/>
        </w:rPr>
        <w:t xml:space="preserve">Paragraph 6.4.4.2., </w:t>
      </w:r>
      <w:r>
        <w:rPr>
          <w:sz w:val="20"/>
        </w:rPr>
        <w:t>amend to read:</w:t>
      </w:r>
    </w:p>
    <w:p w14:paraId="0C0C9CB0" w14:textId="77777777" w:rsidR="009F347F" w:rsidRDefault="001400F1">
      <w:pPr>
        <w:spacing w:before="130" w:line="249" w:lineRule="auto"/>
        <w:ind w:left="2401" w:right="1248" w:hanging="1136"/>
        <w:jc w:val="both"/>
        <w:rPr>
          <w:sz w:val="20"/>
        </w:rPr>
      </w:pPr>
      <w:r>
        <w:rPr>
          <w:sz w:val="20"/>
        </w:rPr>
        <w:t xml:space="preserve">"6.4.4.2. In height: not less than 250 mm and not more than 1,200 mm above the ground. </w:t>
      </w:r>
      <w:r>
        <w:rPr>
          <w:b/>
          <w:position w:val="1"/>
          <w:sz w:val="20"/>
        </w:rPr>
        <w:t>For category N</w:t>
      </w:r>
      <w:r>
        <w:rPr>
          <w:b/>
          <w:sz w:val="13"/>
        </w:rPr>
        <w:t>2</w:t>
      </w:r>
      <w:r>
        <w:rPr>
          <w:b/>
          <w:position w:val="1"/>
          <w:sz w:val="20"/>
        </w:rPr>
        <w:t>G, N</w:t>
      </w:r>
      <w:r>
        <w:rPr>
          <w:b/>
          <w:sz w:val="13"/>
        </w:rPr>
        <w:t>3</w:t>
      </w:r>
      <w:r>
        <w:rPr>
          <w:b/>
          <w:position w:val="1"/>
          <w:sz w:val="20"/>
        </w:rPr>
        <w:t>G, M</w:t>
      </w:r>
      <w:r>
        <w:rPr>
          <w:b/>
          <w:sz w:val="13"/>
        </w:rPr>
        <w:t>2</w:t>
      </w:r>
      <w:r>
        <w:rPr>
          <w:b/>
          <w:position w:val="1"/>
          <w:sz w:val="20"/>
        </w:rPr>
        <w:t>G, M</w:t>
      </w:r>
      <w:r>
        <w:rPr>
          <w:b/>
          <w:sz w:val="13"/>
        </w:rPr>
        <w:t>3</w:t>
      </w:r>
      <w:r>
        <w:rPr>
          <w:b/>
          <w:position w:val="1"/>
          <w:sz w:val="20"/>
        </w:rPr>
        <w:t xml:space="preserve">G (off-road) vehicles the maximum </w:t>
      </w:r>
      <w:r>
        <w:rPr>
          <w:b/>
          <w:sz w:val="20"/>
        </w:rPr>
        <w:t>height may be increased to 1,400 mm.</w:t>
      </w:r>
      <w:r>
        <w:rPr>
          <w:sz w:val="20"/>
        </w:rPr>
        <w:t>"</w:t>
      </w:r>
    </w:p>
    <w:p w14:paraId="5AE3CEB3" w14:textId="77777777" w:rsidR="009F347F" w:rsidRDefault="001400F1">
      <w:pPr>
        <w:spacing w:before="122"/>
        <w:ind w:left="1266"/>
        <w:rPr>
          <w:sz w:val="20"/>
        </w:rPr>
      </w:pPr>
      <w:r>
        <w:rPr>
          <w:i/>
          <w:sz w:val="20"/>
        </w:rPr>
        <w:t xml:space="preserve">Paragraph 6.11.4.2., </w:t>
      </w:r>
      <w:r>
        <w:rPr>
          <w:sz w:val="20"/>
        </w:rPr>
        <w:t>amend to read:</w:t>
      </w:r>
    </w:p>
    <w:p w14:paraId="707D7CCB" w14:textId="39324EA6" w:rsidR="009F347F" w:rsidRDefault="001400F1">
      <w:pPr>
        <w:pStyle w:val="BodyText"/>
        <w:spacing w:before="130" w:line="247" w:lineRule="auto"/>
        <w:ind w:left="2401" w:right="1245" w:hanging="1136"/>
        <w:jc w:val="both"/>
      </w:pPr>
      <w:r>
        <w:t>"6.11.4.2.</w:t>
      </w:r>
      <w:r>
        <w:rPr>
          <w:spacing w:val="49"/>
        </w:rPr>
        <w:t xml:space="preserve"> </w:t>
      </w:r>
      <w:r>
        <w:t xml:space="preserve">In height: </w:t>
      </w:r>
      <w:r w:rsidRPr="001400F1">
        <w:rPr>
          <w:color w:val="212121"/>
          <w:spacing w:val="-2"/>
          <w:shd w:val="clear" w:color="auto" w:fill="FFFFFF"/>
        </w:rPr>
        <w:t>not less than 250 mm nor more than 1,000 mm above the ground. For rear fog lamps grouped with any rear lamp</w:t>
      </w:r>
      <w:r w:rsidRPr="001400F1">
        <w:rPr>
          <w:color w:val="212121"/>
          <w:spacing w:val="-2"/>
          <w:highlight w:val="yellow"/>
          <w:shd w:val="clear" w:color="auto" w:fill="FFFFFF"/>
        </w:rPr>
        <w:t> </w:t>
      </w:r>
      <w:r w:rsidRPr="001400F1">
        <w:rPr>
          <w:strike/>
          <w:color w:val="212121"/>
          <w:spacing w:val="-2"/>
          <w:highlight w:val="yellow"/>
          <w:shd w:val="clear" w:color="auto" w:fill="FFFFFF"/>
        </w:rPr>
        <w:t>or for category </w:t>
      </w:r>
      <w:r w:rsidRPr="001400F1">
        <w:rPr>
          <w:b/>
          <w:bCs/>
          <w:strike/>
          <w:color w:val="212121"/>
          <w:spacing w:val="-2"/>
          <w:highlight w:val="yellow"/>
          <w:shd w:val="clear" w:color="auto" w:fill="FFFFFF"/>
        </w:rPr>
        <w:t>N</w:t>
      </w:r>
      <w:r w:rsidRPr="001400F1">
        <w:rPr>
          <w:b/>
          <w:bCs/>
          <w:strike/>
          <w:color w:val="212121"/>
          <w:spacing w:val="-2"/>
          <w:highlight w:val="yellow"/>
          <w:shd w:val="clear" w:color="auto" w:fill="FFFFFF"/>
          <w:vertAlign w:val="subscript"/>
        </w:rPr>
        <w:t>2</w:t>
      </w:r>
      <w:r w:rsidRPr="001400F1">
        <w:rPr>
          <w:b/>
          <w:bCs/>
          <w:strike/>
          <w:color w:val="212121"/>
          <w:spacing w:val="-2"/>
          <w:highlight w:val="yellow"/>
          <w:shd w:val="clear" w:color="auto" w:fill="FFFFFF"/>
        </w:rPr>
        <w:t>G,</w:t>
      </w:r>
      <w:r w:rsidRPr="001400F1">
        <w:rPr>
          <w:strike/>
          <w:color w:val="212121"/>
          <w:spacing w:val="-2"/>
          <w:highlight w:val="yellow"/>
          <w:shd w:val="clear" w:color="auto" w:fill="FFFFFF"/>
        </w:rPr>
        <w:t> N</w:t>
      </w:r>
      <w:r w:rsidRPr="001400F1">
        <w:rPr>
          <w:strike/>
          <w:color w:val="212121"/>
          <w:spacing w:val="-2"/>
          <w:highlight w:val="yellow"/>
          <w:shd w:val="clear" w:color="auto" w:fill="FFFFFF"/>
          <w:vertAlign w:val="subscript"/>
        </w:rPr>
        <w:t>3</w:t>
      </w:r>
      <w:r w:rsidRPr="001400F1">
        <w:rPr>
          <w:strike/>
          <w:color w:val="212121"/>
          <w:spacing w:val="-2"/>
          <w:highlight w:val="yellow"/>
          <w:shd w:val="clear" w:color="auto" w:fill="FFFFFF"/>
        </w:rPr>
        <w:t>G</w:t>
      </w:r>
      <w:r w:rsidRPr="001400F1">
        <w:rPr>
          <w:b/>
          <w:bCs/>
          <w:strike/>
          <w:color w:val="212121"/>
          <w:spacing w:val="-2"/>
          <w:highlight w:val="yellow"/>
          <w:shd w:val="clear" w:color="auto" w:fill="FFFFFF"/>
        </w:rPr>
        <w:t>, M</w:t>
      </w:r>
      <w:r w:rsidRPr="001400F1">
        <w:rPr>
          <w:b/>
          <w:bCs/>
          <w:strike/>
          <w:color w:val="212121"/>
          <w:spacing w:val="-2"/>
          <w:highlight w:val="yellow"/>
          <w:shd w:val="clear" w:color="auto" w:fill="FFFFFF"/>
          <w:vertAlign w:val="subscript"/>
        </w:rPr>
        <w:t>2</w:t>
      </w:r>
      <w:r w:rsidRPr="001400F1">
        <w:rPr>
          <w:b/>
          <w:bCs/>
          <w:strike/>
          <w:color w:val="212121"/>
          <w:spacing w:val="-2"/>
          <w:highlight w:val="yellow"/>
          <w:shd w:val="clear" w:color="auto" w:fill="FFFFFF"/>
        </w:rPr>
        <w:t>G, M</w:t>
      </w:r>
      <w:r w:rsidRPr="001400F1">
        <w:rPr>
          <w:b/>
          <w:bCs/>
          <w:strike/>
          <w:color w:val="212121"/>
          <w:spacing w:val="-2"/>
          <w:highlight w:val="yellow"/>
          <w:shd w:val="clear" w:color="auto" w:fill="FFFFFF"/>
          <w:vertAlign w:val="subscript"/>
        </w:rPr>
        <w:t>3</w:t>
      </w:r>
      <w:r w:rsidRPr="001400F1">
        <w:rPr>
          <w:b/>
          <w:bCs/>
          <w:strike/>
          <w:color w:val="212121"/>
          <w:spacing w:val="-2"/>
          <w:highlight w:val="yellow"/>
          <w:shd w:val="clear" w:color="auto" w:fill="FFFFFF"/>
        </w:rPr>
        <w:t>G</w:t>
      </w:r>
      <w:r w:rsidRPr="001400F1">
        <w:rPr>
          <w:strike/>
          <w:color w:val="212121"/>
          <w:spacing w:val="-2"/>
          <w:highlight w:val="yellow"/>
          <w:shd w:val="clear" w:color="auto" w:fill="FFFFFF"/>
        </w:rPr>
        <w:t> (off-road) vehicles</w:t>
      </w:r>
      <w:r w:rsidRPr="001400F1">
        <w:rPr>
          <w:strike/>
          <w:color w:val="212121"/>
          <w:spacing w:val="-2"/>
          <w:shd w:val="clear" w:color="auto" w:fill="FFFFFF"/>
        </w:rPr>
        <w:t>,</w:t>
      </w:r>
      <w:r w:rsidRPr="001400F1">
        <w:rPr>
          <w:color w:val="212121"/>
          <w:spacing w:val="-2"/>
          <w:shd w:val="clear" w:color="auto" w:fill="FFFFFF"/>
        </w:rPr>
        <w:t> the maximum height may be increased to 1,200 mm. </w:t>
      </w:r>
      <w:r w:rsidRPr="001400F1">
        <w:rPr>
          <w:b/>
          <w:bCs/>
          <w:color w:val="212121"/>
          <w:spacing w:val="-2"/>
          <w:highlight w:val="yellow"/>
          <w:shd w:val="clear" w:color="auto" w:fill="FFFFFF"/>
        </w:rPr>
        <w:t>For categories N</w:t>
      </w:r>
      <w:r w:rsidRPr="001400F1">
        <w:rPr>
          <w:b/>
          <w:bCs/>
          <w:color w:val="212121"/>
          <w:spacing w:val="-2"/>
          <w:highlight w:val="yellow"/>
          <w:shd w:val="clear" w:color="auto" w:fill="FFFFFF"/>
          <w:vertAlign w:val="subscript"/>
        </w:rPr>
        <w:t>2</w:t>
      </w:r>
      <w:r w:rsidRPr="001400F1">
        <w:rPr>
          <w:b/>
          <w:bCs/>
          <w:color w:val="212121"/>
          <w:spacing w:val="-2"/>
          <w:highlight w:val="yellow"/>
          <w:shd w:val="clear" w:color="auto" w:fill="FFFFFF"/>
        </w:rPr>
        <w:t>G, N</w:t>
      </w:r>
      <w:r w:rsidRPr="001400F1">
        <w:rPr>
          <w:b/>
          <w:bCs/>
          <w:color w:val="212121"/>
          <w:spacing w:val="-2"/>
          <w:highlight w:val="yellow"/>
          <w:shd w:val="clear" w:color="auto" w:fill="FFFFFF"/>
          <w:vertAlign w:val="subscript"/>
        </w:rPr>
        <w:t>3</w:t>
      </w:r>
      <w:r w:rsidRPr="001400F1">
        <w:rPr>
          <w:b/>
          <w:bCs/>
          <w:color w:val="212121"/>
          <w:spacing w:val="-2"/>
          <w:highlight w:val="yellow"/>
          <w:shd w:val="clear" w:color="auto" w:fill="FFFFFF"/>
        </w:rPr>
        <w:t>G, M</w:t>
      </w:r>
      <w:r w:rsidRPr="001400F1">
        <w:rPr>
          <w:b/>
          <w:bCs/>
          <w:color w:val="212121"/>
          <w:spacing w:val="-2"/>
          <w:highlight w:val="yellow"/>
          <w:shd w:val="clear" w:color="auto" w:fill="FFFFFF"/>
          <w:vertAlign w:val="subscript"/>
        </w:rPr>
        <w:t>2</w:t>
      </w:r>
      <w:r w:rsidRPr="001400F1">
        <w:rPr>
          <w:b/>
          <w:bCs/>
          <w:color w:val="212121"/>
          <w:spacing w:val="-2"/>
          <w:highlight w:val="yellow"/>
          <w:shd w:val="clear" w:color="auto" w:fill="FFFFFF"/>
        </w:rPr>
        <w:t>G, M</w:t>
      </w:r>
      <w:r w:rsidRPr="001400F1">
        <w:rPr>
          <w:b/>
          <w:bCs/>
          <w:color w:val="212121"/>
          <w:spacing w:val="-2"/>
          <w:highlight w:val="yellow"/>
          <w:shd w:val="clear" w:color="auto" w:fill="FFFFFF"/>
          <w:vertAlign w:val="subscript"/>
        </w:rPr>
        <w:t>3</w:t>
      </w:r>
      <w:r w:rsidRPr="001400F1">
        <w:rPr>
          <w:b/>
          <w:bCs/>
          <w:color w:val="212121"/>
          <w:spacing w:val="-2"/>
          <w:highlight w:val="yellow"/>
          <w:shd w:val="clear" w:color="auto" w:fill="FFFFFF"/>
        </w:rPr>
        <w:t>G (off-road) vehicles maximum height may be increased to 1,400 mm</w:t>
      </w:r>
      <w:r w:rsidRPr="001400F1">
        <w:rPr>
          <w:spacing w:val="-3"/>
        </w:rPr>
        <w:t>."</w:t>
      </w:r>
    </w:p>
    <w:p w14:paraId="19297ACC" w14:textId="77777777" w:rsidR="009F347F" w:rsidRDefault="009F347F">
      <w:pPr>
        <w:pStyle w:val="BodyText"/>
        <w:spacing w:before="4"/>
        <w:rPr>
          <w:sz w:val="21"/>
        </w:rPr>
      </w:pPr>
    </w:p>
    <w:p w14:paraId="6758B21C" w14:textId="77777777" w:rsidR="009F347F" w:rsidRDefault="001400F1">
      <w:pPr>
        <w:pStyle w:val="Heading1"/>
        <w:numPr>
          <w:ilvl w:val="0"/>
          <w:numId w:val="1"/>
        </w:numPr>
        <w:tabs>
          <w:tab w:val="left" w:pos="1266"/>
        </w:tabs>
        <w:ind w:hanging="435"/>
      </w:pPr>
      <w:r>
        <w:t>Justification</w:t>
      </w:r>
    </w:p>
    <w:p w14:paraId="50B5B962" w14:textId="77777777" w:rsidR="009F347F" w:rsidRDefault="001400F1">
      <w:pPr>
        <w:pStyle w:val="ListParagraph"/>
        <w:numPr>
          <w:ilvl w:val="1"/>
          <w:numId w:val="1"/>
        </w:numPr>
        <w:tabs>
          <w:tab w:val="left" w:pos="1835"/>
        </w:tabs>
        <w:spacing w:before="249" w:line="249" w:lineRule="auto"/>
        <w:ind w:right="1246" w:firstLine="0"/>
        <w:jc w:val="both"/>
        <w:rPr>
          <w:sz w:val="20"/>
        </w:rPr>
      </w:pPr>
      <w:r>
        <w:rPr>
          <w:sz w:val="20"/>
        </w:rPr>
        <w:t>The purpose of these proposals is to ensure reliable and safe operation of category G vehicles (off-road) on routes that include, inter alia, areas with difficult landscape. Vehicles intended, inter alia, for use in off-road conditions have increased longitudinal cross-country angles, ground clearance above the front and rear axle, departure and approach angles, and inter-axles ground</w:t>
      </w:r>
      <w:r>
        <w:rPr>
          <w:spacing w:val="-1"/>
          <w:sz w:val="20"/>
        </w:rPr>
        <w:t xml:space="preserve"> </w:t>
      </w:r>
      <w:r>
        <w:rPr>
          <w:sz w:val="20"/>
        </w:rPr>
        <w:t>clearance.</w:t>
      </w:r>
    </w:p>
    <w:p w14:paraId="6695BCF1" w14:textId="77777777" w:rsidR="009F347F" w:rsidRDefault="001400F1">
      <w:pPr>
        <w:pStyle w:val="ListParagraph"/>
        <w:numPr>
          <w:ilvl w:val="1"/>
          <w:numId w:val="1"/>
        </w:numPr>
        <w:tabs>
          <w:tab w:val="left" w:pos="1835"/>
        </w:tabs>
        <w:spacing w:before="124" w:line="247" w:lineRule="auto"/>
        <w:ind w:right="1248" w:firstLine="0"/>
        <w:jc w:val="both"/>
        <w:rPr>
          <w:sz w:val="20"/>
        </w:rPr>
      </w:pPr>
      <w:r>
        <w:rPr>
          <w:sz w:val="20"/>
        </w:rPr>
        <w:t xml:space="preserve">Deviations due to these design features of vehicles in the current versions </w:t>
      </w:r>
      <w:r>
        <w:rPr>
          <w:spacing w:val="4"/>
          <w:sz w:val="20"/>
        </w:rPr>
        <w:t xml:space="preserve">of </w:t>
      </w:r>
      <w:r>
        <w:rPr>
          <w:sz w:val="20"/>
        </w:rPr>
        <w:t>the UN</w:t>
      </w:r>
      <w:r>
        <w:rPr>
          <w:position w:val="2"/>
          <w:sz w:val="20"/>
        </w:rPr>
        <w:t xml:space="preserve"> Regulation were provided only for category N</w:t>
      </w:r>
      <w:r>
        <w:rPr>
          <w:sz w:val="13"/>
        </w:rPr>
        <w:t>3</w:t>
      </w:r>
      <w:r>
        <w:rPr>
          <w:position w:val="2"/>
          <w:sz w:val="20"/>
        </w:rPr>
        <w:t>G vehicles. It is proposed to extend the deviations to the categories N</w:t>
      </w:r>
      <w:r>
        <w:rPr>
          <w:sz w:val="13"/>
        </w:rPr>
        <w:t>2</w:t>
      </w:r>
      <w:r>
        <w:rPr>
          <w:position w:val="2"/>
          <w:sz w:val="20"/>
        </w:rPr>
        <w:t>G, M</w:t>
      </w:r>
      <w:r>
        <w:rPr>
          <w:sz w:val="13"/>
        </w:rPr>
        <w:t>2</w:t>
      </w:r>
      <w:r>
        <w:rPr>
          <w:position w:val="2"/>
          <w:sz w:val="20"/>
        </w:rPr>
        <w:t>G, M</w:t>
      </w:r>
      <w:r>
        <w:rPr>
          <w:sz w:val="13"/>
        </w:rPr>
        <w:t>3</w:t>
      </w:r>
      <w:r>
        <w:rPr>
          <w:position w:val="2"/>
          <w:sz w:val="20"/>
        </w:rPr>
        <w:t>G vehicles.</w:t>
      </w:r>
    </w:p>
    <w:p w14:paraId="197E4950" w14:textId="77777777" w:rsidR="009F347F" w:rsidRDefault="009F347F">
      <w:pPr>
        <w:pStyle w:val="BodyText"/>
      </w:pPr>
    </w:p>
    <w:p w14:paraId="1CCF3AC9" w14:textId="77777777" w:rsidR="009F347F" w:rsidRDefault="001F50E2">
      <w:pPr>
        <w:pStyle w:val="BodyText"/>
        <w:spacing w:before="7"/>
        <w:rPr>
          <w:sz w:val="15"/>
        </w:rPr>
      </w:pPr>
      <w:r>
        <w:pict w14:anchorId="477C0CD0">
          <v:rect id="_x0000_s1026" style="position:absolute;margin-left:243.65pt;margin-top:10.9pt;width:108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50EF7C0" w14:textId="77777777" w:rsidR="009F347F" w:rsidRDefault="009F347F">
      <w:pPr>
        <w:pStyle w:val="BodyText"/>
      </w:pPr>
    </w:p>
    <w:p w14:paraId="3A436C93" w14:textId="77777777" w:rsidR="009F347F" w:rsidRDefault="009F347F">
      <w:pPr>
        <w:pStyle w:val="BodyText"/>
      </w:pPr>
    </w:p>
    <w:p w14:paraId="47A9057D" w14:textId="77777777" w:rsidR="009F347F" w:rsidRDefault="009F347F">
      <w:pPr>
        <w:pStyle w:val="BodyText"/>
      </w:pPr>
    </w:p>
    <w:p w14:paraId="3A446E31" w14:textId="77777777" w:rsidR="009F347F" w:rsidRDefault="009F347F">
      <w:pPr>
        <w:pStyle w:val="BodyText"/>
      </w:pPr>
    </w:p>
    <w:p w14:paraId="6E442936" w14:textId="77777777" w:rsidR="009F347F" w:rsidRDefault="009F347F">
      <w:pPr>
        <w:pStyle w:val="BodyText"/>
      </w:pPr>
    </w:p>
    <w:p w14:paraId="47EDED89" w14:textId="77777777" w:rsidR="009F347F" w:rsidRDefault="009F347F">
      <w:pPr>
        <w:pStyle w:val="BodyText"/>
      </w:pPr>
    </w:p>
    <w:p w14:paraId="0DBE706C" w14:textId="77777777" w:rsidR="009F347F" w:rsidRDefault="009F347F">
      <w:pPr>
        <w:pStyle w:val="BodyText"/>
      </w:pPr>
    </w:p>
    <w:p w14:paraId="5DEB95EE" w14:textId="77777777" w:rsidR="009F347F" w:rsidRDefault="009F347F">
      <w:pPr>
        <w:pStyle w:val="BodyText"/>
      </w:pPr>
    </w:p>
    <w:p w14:paraId="31E3BC3B" w14:textId="77777777" w:rsidR="009F347F" w:rsidRDefault="009F347F">
      <w:pPr>
        <w:pStyle w:val="BodyText"/>
      </w:pPr>
    </w:p>
    <w:p w14:paraId="08B8E513" w14:textId="77777777" w:rsidR="009F347F" w:rsidRDefault="009F347F">
      <w:pPr>
        <w:pStyle w:val="BodyText"/>
      </w:pPr>
    </w:p>
    <w:p w14:paraId="3838C1E0" w14:textId="77777777" w:rsidR="009F347F" w:rsidRDefault="009F347F">
      <w:pPr>
        <w:pStyle w:val="BodyText"/>
      </w:pPr>
    </w:p>
    <w:p w14:paraId="74727C26" w14:textId="77777777" w:rsidR="009F347F" w:rsidRDefault="009F347F">
      <w:pPr>
        <w:pStyle w:val="BodyText"/>
      </w:pPr>
    </w:p>
    <w:p w14:paraId="6711AC79" w14:textId="77777777" w:rsidR="009F347F" w:rsidRDefault="009F347F">
      <w:pPr>
        <w:pStyle w:val="BodyText"/>
      </w:pPr>
    </w:p>
    <w:p w14:paraId="2C1282BD" w14:textId="77777777" w:rsidR="009F347F" w:rsidRDefault="009F347F">
      <w:pPr>
        <w:pStyle w:val="BodyText"/>
      </w:pPr>
    </w:p>
    <w:p w14:paraId="5D2E4BE6" w14:textId="77777777" w:rsidR="009F347F" w:rsidRDefault="009F347F">
      <w:pPr>
        <w:pStyle w:val="BodyText"/>
      </w:pPr>
    </w:p>
    <w:p w14:paraId="54229C15" w14:textId="77777777" w:rsidR="009F347F" w:rsidRDefault="009F347F">
      <w:pPr>
        <w:pStyle w:val="BodyText"/>
      </w:pPr>
    </w:p>
    <w:p w14:paraId="4ECAB030" w14:textId="77777777" w:rsidR="009F347F" w:rsidRDefault="009F347F">
      <w:pPr>
        <w:pStyle w:val="BodyText"/>
      </w:pPr>
    </w:p>
    <w:p w14:paraId="50D6041E" w14:textId="77777777" w:rsidR="009F347F" w:rsidRDefault="009F347F">
      <w:pPr>
        <w:pStyle w:val="BodyText"/>
      </w:pPr>
    </w:p>
    <w:p w14:paraId="3D68D534" w14:textId="77777777" w:rsidR="009F347F" w:rsidRDefault="009F347F">
      <w:pPr>
        <w:pStyle w:val="BodyText"/>
      </w:pPr>
    </w:p>
    <w:p w14:paraId="79C811B7" w14:textId="77777777" w:rsidR="009F347F" w:rsidRDefault="009F347F">
      <w:pPr>
        <w:pStyle w:val="BodyText"/>
      </w:pPr>
    </w:p>
    <w:p w14:paraId="0B5C93EB" w14:textId="77777777" w:rsidR="009F347F" w:rsidRDefault="009F347F">
      <w:pPr>
        <w:pStyle w:val="BodyText"/>
      </w:pPr>
    </w:p>
    <w:p w14:paraId="79A34A5A" w14:textId="77777777" w:rsidR="009F347F" w:rsidRDefault="009F347F">
      <w:pPr>
        <w:pStyle w:val="BodyText"/>
      </w:pPr>
    </w:p>
    <w:p w14:paraId="08685071" w14:textId="77777777" w:rsidR="009F347F" w:rsidRDefault="009F347F">
      <w:pPr>
        <w:pStyle w:val="BodyText"/>
      </w:pPr>
    </w:p>
    <w:p w14:paraId="24E2A857" w14:textId="77777777" w:rsidR="009F347F" w:rsidRDefault="009F347F">
      <w:pPr>
        <w:pStyle w:val="BodyText"/>
      </w:pPr>
    </w:p>
    <w:p w14:paraId="2660C84E" w14:textId="77777777" w:rsidR="009F347F" w:rsidRDefault="009F347F">
      <w:pPr>
        <w:pStyle w:val="BodyText"/>
      </w:pPr>
    </w:p>
    <w:p w14:paraId="69F122BD" w14:textId="77777777" w:rsidR="009F347F" w:rsidRDefault="009F347F">
      <w:pPr>
        <w:pStyle w:val="BodyText"/>
      </w:pPr>
    </w:p>
    <w:p w14:paraId="62CE94A9" w14:textId="77777777" w:rsidR="009F347F" w:rsidRDefault="009F347F">
      <w:pPr>
        <w:pStyle w:val="BodyText"/>
      </w:pPr>
    </w:p>
    <w:p w14:paraId="2A29F5BB" w14:textId="77777777" w:rsidR="009F347F" w:rsidRDefault="009F347F">
      <w:pPr>
        <w:pStyle w:val="BodyText"/>
      </w:pPr>
    </w:p>
    <w:p w14:paraId="26C4D4B6" w14:textId="77777777" w:rsidR="009F347F" w:rsidRDefault="009F347F">
      <w:pPr>
        <w:pStyle w:val="BodyText"/>
      </w:pPr>
    </w:p>
    <w:p w14:paraId="6821126C" w14:textId="77777777" w:rsidR="009F347F" w:rsidRDefault="009F347F">
      <w:pPr>
        <w:pStyle w:val="BodyText"/>
        <w:spacing w:before="3"/>
        <w:rPr>
          <w:sz w:val="23"/>
        </w:rPr>
      </w:pPr>
    </w:p>
    <w:p w14:paraId="57CC9DF0" w14:textId="77777777" w:rsidR="009F347F" w:rsidRDefault="001400F1">
      <w:pPr>
        <w:pStyle w:val="BodyText"/>
        <w:ind w:left="132"/>
      </w:pPr>
      <w:r>
        <w:rPr>
          <w:w w:val="99"/>
        </w:rPr>
        <w:t>2</w:t>
      </w:r>
    </w:p>
    <w:sectPr w:rsidR="009F347F">
      <w:pgSz w:w="11910" w:h="16840"/>
      <w:pgMar w:top="7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2F9"/>
    <w:multiLevelType w:val="hybridMultilevel"/>
    <w:tmpl w:val="E872EA0E"/>
    <w:lvl w:ilvl="0" w:tplc="CCEE5ADE">
      <w:start w:val="1"/>
      <w:numFmt w:val="upperRoman"/>
      <w:lvlText w:val="%1."/>
      <w:lvlJc w:val="left"/>
      <w:pPr>
        <w:ind w:left="1266" w:hanging="4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88F245B2">
      <w:start w:val="1"/>
      <w:numFmt w:val="decimal"/>
      <w:lvlText w:val="%2."/>
      <w:lvlJc w:val="left"/>
      <w:pPr>
        <w:ind w:left="1266" w:hanging="5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2F342B20">
      <w:numFmt w:val="bullet"/>
      <w:lvlText w:val="•"/>
      <w:lvlJc w:val="left"/>
      <w:pPr>
        <w:ind w:left="2985" w:hanging="569"/>
      </w:pPr>
      <w:rPr>
        <w:rFonts w:hint="default"/>
        <w:lang w:val="en-US" w:eastAsia="en-US" w:bidi="ar-SA"/>
      </w:rPr>
    </w:lvl>
    <w:lvl w:ilvl="3" w:tplc="BB32F748">
      <w:numFmt w:val="bullet"/>
      <w:lvlText w:val="•"/>
      <w:lvlJc w:val="left"/>
      <w:pPr>
        <w:ind w:left="3847" w:hanging="569"/>
      </w:pPr>
      <w:rPr>
        <w:rFonts w:hint="default"/>
        <w:lang w:val="en-US" w:eastAsia="en-US" w:bidi="ar-SA"/>
      </w:rPr>
    </w:lvl>
    <w:lvl w:ilvl="4" w:tplc="28A21BE0">
      <w:numFmt w:val="bullet"/>
      <w:lvlText w:val="•"/>
      <w:lvlJc w:val="left"/>
      <w:pPr>
        <w:ind w:left="4710" w:hanging="569"/>
      </w:pPr>
      <w:rPr>
        <w:rFonts w:hint="default"/>
        <w:lang w:val="en-US" w:eastAsia="en-US" w:bidi="ar-SA"/>
      </w:rPr>
    </w:lvl>
    <w:lvl w:ilvl="5" w:tplc="AC98C97C">
      <w:numFmt w:val="bullet"/>
      <w:lvlText w:val="•"/>
      <w:lvlJc w:val="left"/>
      <w:pPr>
        <w:ind w:left="5573" w:hanging="569"/>
      </w:pPr>
      <w:rPr>
        <w:rFonts w:hint="default"/>
        <w:lang w:val="en-US" w:eastAsia="en-US" w:bidi="ar-SA"/>
      </w:rPr>
    </w:lvl>
    <w:lvl w:ilvl="6" w:tplc="27BCD6A0">
      <w:numFmt w:val="bullet"/>
      <w:lvlText w:val="•"/>
      <w:lvlJc w:val="left"/>
      <w:pPr>
        <w:ind w:left="6435" w:hanging="569"/>
      </w:pPr>
      <w:rPr>
        <w:rFonts w:hint="default"/>
        <w:lang w:val="en-US" w:eastAsia="en-US" w:bidi="ar-SA"/>
      </w:rPr>
    </w:lvl>
    <w:lvl w:ilvl="7" w:tplc="4AD2F242">
      <w:numFmt w:val="bullet"/>
      <w:lvlText w:val="•"/>
      <w:lvlJc w:val="left"/>
      <w:pPr>
        <w:ind w:left="7298" w:hanging="569"/>
      </w:pPr>
      <w:rPr>
        <w:rFonts w:hint="default"/>
        <w:lang w:val="en-US" w:eastAsia="en-US" w:bidi="ar-SA"/>
      </w:rPr>
    </w:lvl>
    <w:lvl w:ilvl="8" w:tplc="53E29CF4">
      <w:numFmt w:val="bullet"/>
      <w:lvlText w:val="•"/>
      <w:lvlJc w:val="left"/>
      <w:pPr>
        <w:ind w:left="8161" w:hanging="5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47F"/>
    <w:rsid w:val="001400F1"/>
    <w:rsid w:val="001F50E2"/>
    <w:rsid w:val="0056522A"/>
    <w:rsid w:val="009F347F"/>
    <w:rsid w:val="00D81196"/>
    <w:rsid w:val="00F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E53DE4"/>
  <w15:docId w15:val="{31D773D8-23C7-4C84-9DDA-BFA25E27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12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9"/>
      <w:ind w:left="1266"/>
    </w:pPr>
  </w:style>
  <w:style w:type="paragraph" w:customStyle="1" w:styleId="TableParagraph">
    <w:name w:val="Table Paragraph"/>
    <w:basedOn w:val="Normal"/>
    <w:uiPriority w:val="1"/>
    <w:qFormat/>
    <w:pPr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3A1F6-54ED-4512-AC49-1924FAE25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3A329-99EF-4090-9E27-0BE579A54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0F6AC-ECA5-4789-B41F-3F7F7FF9313D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1838</Characters>
  <Application>Microsoft Office Word</Application>
  <DocSecurity>0</DocSecurity>
  <Lines>35</Lines>
  <Paragraphs>11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November 2019</dc:creator>
  <cp:lastModifiedBy>E/ECE/324/Rev.2/Add.122/Rev.2/Amend.4</cp:lastModifiedBy>
  <cp:revision>5</cp:revision>
  <dcterms:created xsi:type="dcterms:W3CDTF">2020-10-23T07:59:00Z</dcterms:created>
  <dcterms:modified xsi:type="dcterms:W3CDTF">2020-10-23T08:01:00Z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2020-10-22T00:00:00Z</vt:filetime>
  </property>
  <property fmtid="{D5CDD505-2E9C-101B-9397-08002B2CF9AE}" pid="5" name="ContentTypeId">
    <vt:lpwstr>0x0101003B8422D08C252547BB1CFA7F78E2CB83</vt:lpwstr>
  </property>
</Properties>
</file>