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5B83" w14:textId="77777777" w:rsidR="00400B87" w:rsidRPr="00400B87" w:rsidRDefault="00400B87" w:rsidP="00400B87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639979E" w14:textId="77777777" w:rsidR="00400B87" w:rsidRPr="00400B87" w:rsidRDefault="00400B87" w:rsidP="00400B87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A7A58DF" w14:textId="2ACE6051" w:rsidR="00400B87" w:rsidRPr="00400B87" w:rsidRDefault="005D70F8" w:rsidP="00400B87">
      <w:pPr>
        <w:keepNext/>
        <w:keepLines/>
        <w:suppressAutoHyphens/>
        <w:spacing w:after="12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Proposal for Supplement [x] </w:t>
      </w:r>
      <w:r w:rsidR="00255390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to </w:t>
      </w:r>
      <w:r w:rsidR="00400B87" w:rsidRPr="00400B87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UN Regulation No. 48 (</w:t>
      </w:r>
      <w:r w:rsidR="00615F6B" w:rsidRPr="00615F6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Installation of lighting and light-signalling devices</w:t>
      </w:r>
      <w:r w:rsidR="00400B87" w:rsidRPr="00400B87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)</w:t>
      </w:r>
    </w:p>
    <w:p w14:paraId="22B04000" w14:textId="77777777" w:rsidR="00400B87" w:rsidRPr="00400B87" w:rsidRDefault="00400B87" w:rsidP="00400B87">
      <w:pPr>
        <w:suppressAutoHyphens/>
        <w:spacing w:after="120" w:line="240" w:lineRule="atLeast"/>
        <w:ind w:left="1134" w:right="567" w:hanging="1134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CD31F8B" w14:textId="77777777" w:rsidR="00400B87" w:rsidRPr="00255390" w:rsidRDefault="00400B87" w:rsidP="00255390">
      <w:pPr>
        <w:suppressAutoHyphens/>
        <w:spacing w:after="120" w:line="240" w:lineRule="atLeast"/>
        <w:ind w:left="1134" w:right="567" w:hanging="1134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EFF3DF6" w14:textId="53AF7535" w:rsidR="00B44E6A" w:rsidRPr="00B936E1" w:rsidRDefault="00B21989" w:rsidP="00B21989">
      <w:pPr>
        <w:pStyle w:val="HChG"/>
        <w:spacing w:before="240"/>
        <w:rPr>
          <w:b w:val="0"/>
          <w:lang w:val="en-US"/>
        </w:rPr>
      </w:pPr>
      <w:r>
        <w:tab/>
        <w:t>I</w:t>
      </w:r>
      <w:r w:rsidR="00255390">
        <w:t>.</w:t>
      </w:r>
      <w:r>
        <w:tab/>
      </w:r>
      <w:r w:rsidR="00B936E1" w:rsidRPr="00B21989">
        <w:t>Proposal</w:t>
      </w:r>
    </w:p>
    <w:p w14:paraId="251DF1D4" w14:textId="77777777" w:rsidR="00615F6B" w:rsidRPr="00E35EF4" w:rsidRDefault="00615F6B" w:rsidP="00C1310D">
      <w:pPr>
        <w:pStyle w:val="SingleTxtG"/>
        <w:spacing w:line="240" w:lineRule="exact"/>
        <w:ind w:left="2268" w:right="567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>aragraph 2</w:t>
      </w:r>
      <w:r>
        <w:rPr>
          <w:i/>
          <w:iCs/>
          <w:lang w:eastAsia="ja-JP"/>
        </w:rPr>
        <w:t xml:space="preserve">.9.2., </w:t>
      </w:r>
      <w:r w:rsidRPr="00E35EF4">
        <w:rPr>
          <w:iCs/>
          <w:lang w:eastAsia="ja-JP"/>
        </w:rPr>
        <w:t>amend to read:</w:t>
      </w:r>
    </w:p>
    <w:p w14:paraId="08D30D36" w14:textId="024B78FA" w:rsidR="00615F6B" w:rsidRPr="00615F6B" w:rsidRDefault="00615F6B" w:rsidP="00C1310D">
      <w:pPr>
        <w:pStyle w:val="para"/>
        <w:ind w:right="567"/>
        <w:rPr>
          <w:bCs/>
          <w:iCs/>
          <w:lang w:val="en-US"/>
        </w:rPr>
      </w:pPr>
      <w:r>
        <w:rPr>
          <w:bCs/>
          <w:iCs/>
          <w:lang w:val="en-US"/>
        </w:rPr>
        <w:t>“</w:t>
      </w:r>
      <w:r w:rsidRPr="00BF031D">
        <w:rPr>
          <w:bCs/>
          <w:iCs/>
          <w:lang w:val="en-US"/>
        </w:rPr>
        <w:t>2.9.2.</w:t>
      </w:r>
      <w:r w:rsidRPr="00BF031D">
        <w:rPr>
          <w:bCs/>
          <w:iCs/>
          <w:lang w:val="en-US"/>
        </w:rPr>
        <w:tab/>
      </w:r>
      <w:r>
        <w:rPr>
          <w:bCs/>
          <w:iCs/>
          <w:lang w:val="en-US"/>
        </w:rPr>
        <w:t>"</w:t>
      </w:r>
      <w:r w:rsidRPr="00BF031D">
        <w:rPr>
          <w:bCs/>
          <w:i/>
          <w:iCs/>
          <w:lang w:val="en-US"/>
        </w:rPr>
        <w:t xml:space="preserve">Electronic light </w:t>
      </w:r>
      <w:r w:rsidRPr="00615F6B">
        <w:rPr>
          <w:bCs/>
          <w:i/>
          <w:iCs/>
          <w:lang w:val="en-US"/>
        </w:rPr>
        <w:t>source control gear</w:t>
      </w:r>
      <w:r w:rsidRPr="00615F6B">
        <w:rPr>
          <w:bCs/>
          <w:iCs/>
          <w:lang w:val="en-US"/>
        </w:rPr>
        <w:t>" means one or more components between supply and light source</w:t>
      </w:r>
      <w:r w:rsidRPr="00615F6B">
        <w:rPr>
          <w:bCs/>
          <w:iCs/>
          <w:strike/>
          <w:lang w:val="en-US"/>
        </w:rPr>
        <w:t>, whether or not integrated with the light source or the applied lamp,</w:t>
      </w:r>
      <w:r w:rsidRPr="00615F6B">
        <w:rPr>
          <w:bCs/>
          <w:iCs/>
          <w:lang w:val="en-US"/>
        </w:rPr>
        <w:t xml:space="preserve"> to control voltage and/ or electrical current of the light source.</w:t>
      </w:r>
      <w:r>
        <w:rPr>
          <w:bCs/>
          <w:iCs/>
          <w:lang w:val="en-US"/>
        </w:rPr>
        <w:t>”</w:t>
      </w:r>
      <w:r w:rsidRPr="00615F6B">
        <w:rPr>
          <w:bCs/>
          <w:iCs/>
          <w:lang w:val="en-US"/>
        </w:rPr>
        <w:t xml:space="preserve"> </w:t>
      </w:r>
    </w:p>
    <w:p w14:paraId="34793A2F" w14:textId="77777777" w:rsidR="00615F6B" w:rsidRDefault="00615F6B" w:rsidP="00615F6B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</w:p>
    <w:p w14:paraId="7BE87D8A" w14:textId="28F75B60" w:rsidR="00615F6B" w:rsidRPr="00615F6B" w:rsidRDefault="00615F6B" w:rsidP="00C1310D">
      <w:pPr>
        <w:pStyle w:val="SingleTxtG"/>
        <w:spacing w:line="240" w:lineRule="exact"/>
        <w:ind w:left="2268" w:right="567" w:hanging="1134"/>
        <w:rPr>
          <w:iCs/>
          <w:lang w:eastAsia="ja-JP"/>
        </w:rPr>
      </w:pPr>
      <w:r w:rsidRPr="00615F6B">
        <w:rPr>
          <w:i/>
          <w:iCs/>
          <w:lang w:eastAsia="ja-JP"/>
        </w:rPr>
        <w:t xml:space="preserve">Paragraph 2.9.2.2., </w:t>
      </w:r>
      <w:r w:rsidRPr="00615F6B">
        <w:rPr>
          <w:iCs/>
          <w:lang w:eastAsia="ja-JP"/>
        </w:rPr>
        <w:t>delete:</w:t>
      </w:r>
    </w:p>
    <w:p w14:paraId="21250BF3" w14:textId="563346D7" w:rsidR="00615F6B" w:rsidRDefault="00F001EE" w:rsidP="00C1310D">
      <w:pPr>
        <w:pStyle w:val="para"/>
        <w:ind w:right="567"/>
        <w:rPr>
          <w:bCs/>
          <w:iCs/>
          <w:strike/>
          <w:lang w:val="en-US"/>
        </w:rPr>
      </w:pPr>
      <w:r w:rsidRPr="00F001EE">
        <w:rPr>
          <w:bCs/>
          <w:iCs/>
          <w:lang w:val="en-US"/>
        </w:rPr>
        <w:t>“</w:t>
      </w:r>
      <w:r w:rsidR="00615F6B" w:rsidRPr="00615F6B">
        <w:rPr>
          <w:bCs/>
          <w:iCs/>
          <w:strike/>
          <w:lang w:val="en-US"/>
        </w:rPr>
        <w:t>2.9.2.2.</w:t>
      </w:r>
      <w:r w:rsidR="00615F6B" w:rsidRPr="00615F6B">
        <w:rPr>
          <w:bCs/>
          <w:iCs/>
          <w:strike/>
          <w:lang w:val="en-US"/>
        </w:rPr>
        <w:tab/>
        <w:t>"</w:t>
      </w:r>
      <w:r w:rsidR="00615F6B" w:rsidRPr="00615F6B">
        <w:rPr>
          <w:bCs/>
          <w:i/>
          <w:iCs/>
          <w:strike/>
          <w:lang w:val="en-US"/>
        </w:rPr>
        <w:t>Ignitor</w:t>
      </w:r>
      <w:r w:rsidR="00615F6B" w:rsidRPr="00615F6B">
        <w:rPr>
          <w:bCs/>
          <w:iCs/>
          <w:strike/>
          <w:lang w:val="en-US"/>
        </w:rPr>
        <w:t>" means an electronic light source control gear to start the arc of a gas-discharge light source.</w:t>
      </w:r>
      <w:r w:rsidRPr="00F001EE">
        <w:rPr>
          <w:bCs/>
          <w:iCs/>
          <w:lang w:val="en-US"/>
        </w:rPr>
        <w:t>”</w:t>
      </w:r>
    </w:p>
    <w:p w14:paraId="62752390" w14:textId="4B480613" w:rsidR="00B936E1" w:rsidRPr="00615F6B" w:rsidRDefault="00B936E1" w:rsidP="00B21989">
      <w:pPr>
        <w:pStyle w:val="SingleTxtG"/>
        <w:ind w:left="2268" w:right="567"/>
        <w:rPr>
          <w:rFonts w:asciiTheme="majorBidi" w:hAnsiTheme="majorBidi" w:cstheme="majorBidi"/>
          <w:sz w:val="22"/>
          <w:szCs w:val="22"/>
          <w:lang w:val="en-US"/>
        </w:rPr>
      </w:pPr>
    </w:p>
    <w:p w14:paraId="42E23C4E" w14:textId="46B39171" w:rsidR="00B936E1" w:rsidRDefault="00B936E1" w:rsidP="00B936E1">
      <w:pPr>
        <w:pStyle w:val="SingleTxtG"/>
        <w:ind w:left="1276" w:hanging="709"/>
        <w:rPr>
          <w:rFonts w:asciiTheme="majorBidi" w:hAnsiTheme="majorBidi" w:cstheme="majorBidi"/>
        </w:rPr>
      </w:pPr>
    </w:p>
    <w:p w14:paraId="67A71C48" w14:textId="62344BBF" w:rsidR="00B21989" w:rsidRDefault="00B21989" w:rsidP="00B21989">
      <w:pPr>
        <w:pStyle w:val="HChG"/>
        <w:spacing w:before="240"/>
        <w:rPr>
          <w:rFonts w:ascii="Arial" w:hAnsi="Arial"/>
          <w:b w:val="0"/>
          <w:bCs/>
        </w:rPr>
      </w:pPr>
      <w:r>
        <w:tab/>
        <w:t>II.</w:t>
      </w:r>
      <w:r>
        <w:tab/>
        <w:t>Justification</w:t>
      </w:r>
    </w:p>
    <w:p w14:paraId="6B66EEBE" w14:textId="372EF48D" w:rsidR="00615F6B" w:rsidRPr="00615F6B" w:rsidRDefault="00615F6B" w:rsidP="00255390">
      <w:pPr>
        <w:suppressAutoHyphens/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615F6B">
        <w:rPr>
          <w:rFonts w:ascii="Times New Roman" w:eastAsia="Times New Roman" w:hAnsi="Times New Roman" w:cs="Times New Roman"/>
          <w:u w:val="single"/>
          <w:lang w:val="en-GB"/>
        </w:rPr>
        <w:t>Paragraph 2.9.2.</w:t>
      </w:r>
    </w:p>
    <w:p w14:paraId="0EB04BDA" w14:textId="2C0786EA" w:rsidR="00255390" w:rsidRDefault="00615F6B" w:rsidP="00255390">
      <w:pPr>
        <w:suppressAutoHyphens/>
        <w:spacing w:after="120" w:line="240" w:lineRule="auto"/>
        <w:ind w:left="1134" w:right="567"/>
        <w:jc w:val="both"/>
        <w:rPr>
          <w:rFonts w:asciiTheme="majorBidi" w:hAnsiTheme="majorBidi" w:cstheme="majorBidi"/>
          <w:lang w:val="en-GB"/>
        </w:rPr>
      </w:pPr>
      <w:r w:rsidRPr="00615F6B">
        <w:rPr>
          <w:rFonts w:ascii="Times New Roman" w:eastAsia="Times New Roman" w:hAnsi="Times New Roman" w:cs="Times New Roman"/>
          <w:lang w:val="en-GB"/>
        </w:rPr>
        <w:t xml:space="preserve">For light sources with integrated electronics </w:t>
      </w:r>
      <w:r w:rsidR="0018135B">
        <w:rPr>
          <w:rFonts w:ascii="Times New Roman" w:eastAsia="Times New Roman" w:hAnsi="Times New Roman" w:cs="Times New Roman"/>
          <w:lang w:val="en-GB"/>
        </w:rPr>
        <w:t>an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"</w:t>
      </w:r>
      <w:r w:rsidRPr="00615F6B">
        <w:rPr>
          <w:rFonts w:ascii="Times New Roman" w:eastAsia="Times New Roman" w:hAnsi="Times New Roman" w:cs="Times New Roman"/>
          <w:i/>
          <w:iCs/>
          <w:lang w:val="en-GB"/>
        </w:rPr>
        <w:t>Electronic light source control gear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" </w:t>
      </w:r>
      <w:r w:rsidR="0018135B">
        <w:rPr>
          <w:rFonts w:ascii="Times New Roman" w:eastAsia="Times New Roman" w:hAnsi="Times New Roman" w:cs="Times New Roman"/>
          <w:lang w:val="en-GB"/>
        </w:rPr>
        <w:t>comprises of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components between the supply and the light emitting elements. The definition was derived from IEC and CIE, where a light source is the light emitting element. Provisions for "</w:t>
      </w:r>
      <w:r w:rsidRPr="00615F6B">
        <w:rPr>
          <w:rFonts w:ascii="Times New Roman" w:eastAsia="Times New Roman" w:hAnsi="Times New Roman" w:cs="Times New Roman"/>
          <w:i/>
          <w:iCs/>
          <w:lang w:val="en-GB"/>
        </w:rPr>
        <w:t>Electronic light source control gear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" are normally used in installation and </w:t>
      </w:r>
      <w:r w:rsidR="0018135B">
        <w:rPr>
          <w:rFonts w:ascii="Times New Roman" w:eastAsia="Times New Roman" w:hAnsi="Times New Roman" w:cs="Times New Roman"/>
          <w:lang w:val="en-GB"/>
        </w:rPr>
        <w:t>device</w:t>
      </w:r>
      <w:r w:rsidR="0018135B" w:rsidRPr="00615F6B">
        <w:rPr>
          <w:rFonts w:ascii="Times New Roman" w:eastAsia="Times New Roman" w:hAnsi="Times New Roman" w:cs="Times New Roman"/>
          <w:lang w:val="en-GB"/>
        </w:rPr>
        <w:t xml:space="preserve"> </w:t>
      </w:r>
      <w:r w:rsidRPr="00615F6B">
        <w:rPr>
          <w:rFonts w:ascii="Times New Roman" w:eastAsia="Times New Roman" w:hAnsi="Times New Roman" w:cs="Times New Roman"/>
          <w:lang w:val="en-GB"/>
        </w:rPr>
        <w:t>regulations</w:t>
      </w:r>
      <w:r w:rsidR="0018135B">
        <w:rPr>
          <w:rFonts w:ascii="Times New Roman" w:eastAsia="Times New Roman" w:hAnsi="Times New Roman" w:cs="Times New Roman"/>
          <w:lang w:val="en-GB"/>
        </w:rPr>
        <w:t>,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but create confusion in relation to light sources with integrated electronics. </w:t>
      </w:r>
      <w:r>
        <w:rPr>
          <w:rFonts w:ascii="Times New Roman" w:eastAsia="Times New Roman" w:hAnsi="Times New Roman" w:cs="Times New Roman"/>
          <w:lang w:val="en-GB"/>
        </w:rPr>
        <w:t>Therefore,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it is proposed to tune this term to the use in installation and </w:t>
      </w:r>
      <w:r w:rsidR="0018135B">
        <w:rPr>
          <w:rFonts w:ascii="Times New Roman" w:eastAsia="Times New Roman" w:hAnsi="Times New Roman" w:cs="Times New Roman"/>
          <w:lang w:val="en-GB"/>
        </w:rPr>
        <w:t>device</w:t>
      </w:r>
      <w:r w:rsidR="0018135B" w:rsidRPr="00615F6B">
        <w:rPr>
          <w:rFonts w:ascii="Times New Roman" w:eastAsia="Times New Roman" w:hAnsi="Times New Roman" w:cs="Times New Roman"/>
          <w:lang w:val="en-GB"/>
        </w:rPr>
        <w:t xml:space="preserve"> </w:t>
      </w:r>
      <w:r w:rsidRPr="00615F6B">
        <w:rPr>
          <w:rFonts w:ascii="Times New Roman" w:eastAsia="Times New Roman" w:hAnsi="Times New Roman" w:cs="Times New Roman"/>
          <w:lang w:val="en-GB"/>
        </w:rPr>
        <w:t>regulations</w:t>
      </w:r>
      <w:r w:rsidR="0018135B">
        <w:rPr>
          <w:rFonts w:ascii="Times New Roman" w:eastAsia="Times New Roman" w:hAnsi="Times New Roman" w:cs="Times New Roman"/>
          <w:lang w:val="en-GB"/>
        </w:rPr>
        <w:t xml:space="preserve"> and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no longer </w:t>
      </w:r>
      <w:r w:rsidR="0018135B">
        <w:rPr>
          <w:rFonts w:ascii="Times New Roman" w:eastAsia="Times New Roman" w:hAnsi="Times New Roman" w:cs="Times New Roman"/>
          <w:lang w:val="en-GB"/>
        </w:rPr>
        <w:t xml:space="preserve">specifically mention integration (or not) in the </w:t>
      </w:r>
      <w:r w:rsidRPr="00615F6B">
        <w:rPr>
          <w:rFonts w:ascii="Times New Roman" w:eastAsia="Times New Roman" w:hAnsi="Times New Roman" w:cs="Times New Roman"/>
          <w:lang w:val="en-GB"/>
        </w:rPr>
        <w:t>light source; "</w:t>
      </w:r>
      <w:r w:rsidRPr="00615F6B">
        <w:rPr>
          <w:rFonts w:ascii="Times New Roman" w:eastAsia="Times New Roman" w:hAnsi="Times New Roman" w:cs="Times New Roman"/>
          <w:i/>
          <w:iCs/>
          <w:lang w:val="en-GB"/>
        </w:rPr>
        <w:t>Electronic light source control gear</w:t>
      </w:r>
      <w:r w:rsidRPr="00615F6B">
        <w:rPr>
          <w:rFonts w:ascii="Times New Roman" w:eastAsia="Times New Roman" w:hAnsi="Times New Roman" w:cs="Times New Roman"/>
          <w:lang w:val="en-GB"/>
        </w:rPr>
        <w:t>" is not defined in R.E.5.</w:t>
      </w:r>
      <w:r w:rsidR="0096450A">
        <w:rPr>
          <w:rFonts w:ascii="Times New Roman" w:eastAsia="Times New Roman" w:hAnsi="Times New Roman" w:cs="Times New Roman"/>
          <w:lang w:val="en-GB"/>
        </w:rPr>
        <w:t>,</w:t>
      </w:r>
      <w:r w:rsidRPr="00615F6B">
        <w:rPr>
          <w:rFonts w:ascii="Times New Roman" w:eastAsia="Times New Roman" w:hAnsi="Times New Roman" w:cs="Times New Roman"/>
          <w:lang w:val="en-GB"/>
        </w:rPr>
        <w:t xml:space="preserve"> but </w:t>
      </w:r>
      <w:r w:rsidR="0096450A">
        <w:rPr>
          <w:rFonts w:ascii="Times New Roman" w:eastAsia="Times New Roman" w:hAnsi="Times New Roman" w:cs="Times New Roman"/>
          <w:lang w:val="en-GB"/>
        </w:rPr>
        <w:t xml:space="preserve">is </w:t>
      </w:r>
      <w:r w:rsidRPr="00615F6B">
        <w:rPr>
          <w:rFonts w:ascii="Times New Roman" w:eastAsia="Times New Roman" w:hAnsi="Times New Roman" w:cs="Times New Roman"/>
          <w:lang w:val="en-GB"/>
        </w:rPr>
        <w:t>part of the light source definition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14:paraId="2634C8C8" w14:textId="77777777" w:rsidR="00615F6B" w:rsidRDefault="00615F6B" w:rsidP="00615F6B">
      <w:pPr>
        <w:suppressAutoHyphens/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14:paraId="1070AFFC" w14:textId="02D9787D" w:rsidR="00615F6B" w:rsidRPr="00615F6B" w:rsidRDefault="00615F6B" w:rsidP="00615F6B">
      <w:pPr>
        <w:suppressAutoHyphens/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615F6B">
        <w:rPr>
          <w:rFonts w:ascii="Times New Roman" w:eastAsia="Times New Roman" w:hAnsi="Times New Roman" w:cs="Times New Roman"/>
          <w:u w:val="single"/>
          <w:lang w:val="en-GB"/>
        </w:rPr>
        <w:t>Paragraph 2.9.2.</w:t>
      </w:r>
      <w:r>
        <w:rPr>
          <w:rFonts w:ascii="Times New Roman" w:eastAsia="Times New Roman" w:hAnsi="Times New Roman" w:cs="Times New Roman"/>
          <w:u w:val="single"/>
          <w:lang w:val="en-GB"/>
        </w:rPr>
        <w:t>2.</w:t>
      </w:r>
    </w:p>
    <w:p w14:paraId="52B2D820" w14:textId="000A8F72" w:rsidR="00B21989" w:rsidRPr="00AE645D" w:rsidRDefault="00615F6B" w:rsidP="00255390">
      <w:pPr>
        <w:suppressAutoHyphens/>
        <w:spacing w:after="120" w:line="240" w:lineRule="auto"/>
        <w:ind w:left="1134" w:right="567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</w:t>
      </w:r>
      <w:r w:rsidRPr="00615F6B">
        <w:rPr>
          <w:rFonts w:asciiTheme="majorBidi" w:hAnsiTheme="majorBidi" w:cstheme="majorBidi"/>
          <w:lang w:val="en-GB"/>
        </w:rPr>
        <w:t>h</w:t>
      </w:r>
      <w:r w:rsidR="008661B3">
        <w:rPr>
          <w:rFonts w:asciiTheme="majorBidi" w:hAnsiTheme="majorBidi" w:cstheme="majorBidi"/>
          <w:lang w:val="en-GB"/>
        </w:rPr>
        <w:t>e</w:t>
      </w:r>
      <w:r w:rsidRPr="00615F6B">
        <w:rPr>
          <w:rFonts w:asciiTheme="majorBidi" w:hAnsiTheme="majorBidi" w:cstheme="majorBidi"/>
          <w:lang w:val="en-GB"/>
        </w:rPr>
        <w:t xml:space="preserve"> term </w:t>
      </w:r>
      <w:r w:rsidR="0096450A">
        <w:rPr>
          <w:rFonts w:asciiTheme="majorBidi" w:hAnsiTheme="majorBidi" w:cstheme="majorBidi"/>
          <w:lang w:val="en-GB"/>
        </w:rPr>
        <w:t>“</w:t>
      </w:r>
      <w:r w:rsidR="0096450A" w:rsidRPr="008661B3">
        <w:rPr>
          <w:rFonts w:asciiTheme="majorBidi" w:hAnsiTheme="majorBidi" w:cstheme="majorBidi"/>
          <w:i/>
          <w:iCs/>
          <w:lang w:val="en-GB"/>
        </w:rPr>
        <w:t>Ignitor</w:t>
      </w:r>
      <w:r w:rsidR="0096450A">
        <w:rPr>
          <w:rFonts w:asciiTheme="majorBidi" w:hAnsiTheme="majorBidi" w:cstheme="majorBidi"/>
          <w:lang w:val="en-GB"/>
        </w:rPr>
        <w:t xml:space="preserve">” </w:t>
      </w:r>
      <w:r w:rsidRPr="00615F6B">
        <w:rPr>
          <w:rFonts w:asciiTheme="majorBidi" w:hAnsiTheme="majorBidi" w:cstheme="majorBidi"/>
          <w:lang w:val="en-GB"/>
        </w:rPr>
        <w:t xml:space="preserve">is not </w:t>
      </w:r>
      <w:r w:rsidR="008661B3" w:rsidRPr="00615F6B">
        <w:rPr>
          <w:rFonts w:asciiTheme="majorBidi" w:hAnsiTheme="majorBidi" w:cstheme="majorBidi"/>
          <w:lang w:val="en-GB"/>
        </w:rPr>
        <w:t>used</w:t>
      </w:r>
      <w:r w:rsidR="008661B3">
        <w:rPr>
          <w:rFonts w:asciiTheme="majorBidi" w:hAnsiTheme="majorBidi" w:cstheme="majorBidi"/>
          <w:lang w:val="en-GB"/>
        </w:rPr>
        <w:t>;</w:t>
      </w:r>
      <w:r>
        <w:rPr>
          <w:rFonts w:asciiTheme="majorBidi" w:hAnsiTheme="majorBidi" w:cstheme="majorBidi"/>
          <w:lang w:val="en-GB"/>
        </w:rPr>
        <w:t xml:space="preserve"> </w:t>
      </w:r>
      <w:r w:rsidR="008661B3">
        <w:rPr>
          <w:rFonts w:asciiTheme="majorBidi" w:hAnsiTheme="majorBidi" w:cstheme="majorBidi"/>
          <w:lang w:val="en-GB"/>
        </w:rPr>
        <w:t>therefore,</w:t>
      </w:r>
      <w:r>
        <w:rPr>
          <w:rFonts w:asciiTheme="majorBidi" w:hAnsiTheme="majorBidi" w:cstheme="majorBidi"/>
          <w:lang w:val="en-GB"/>
        </w:rPr>
        <w:t xml:space="preserve"> it is proposed </w:t>
      </w:r>
      <w:r w:rsidR="00C22793">
        <w:rPr>
          <w:rFonts w:asciiTheme="majorBidi" w:hAnsiTheme="majorBidi" w:cstheme="majorBidi"/>
          <w:lang w:val="en-GB"/>
        </w:rPr>
        <w:t>to delete this definition</w:t>
      </w:r>
      <w:r w:rsidR="00B21989" w:rsidRPr="00AE645D">
        <w:rPr>
          <w:rFonts w:asciiTheme="majorBidi" w:hAnsiTheme="majorBidi" w:cstheme="majorBidi"/>
          <w:lang w:val="en-GB"/>
        </w:rPr>
        <w:t>.</w:t>
      </w:r>
    </w:p>
    <w:sectPr w:rsidR="00B21989" w:rsidRPr="00AE645D" w:rsidSect="00002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C47E" w14:textId="77777777" w:rsidR="00BB1531" w:rsidRDefault="00BB1531" w:rsidP="00B936E1">
      <w:pPr>
        <w:spacing w:after="0" w:line="240" w:lineRule="auto"/>
      </w:pPr>
      <w:r>
        <w:separator/>
      </w:r>
    </w:p>
  </w:endnote>
  <w:endnote w:type="continuationSeparator" w:id="0">
    <w:p w14:paraId="266AB598" w14:textId="77777777" w:rsidR="00BB1531" w:rsidRDefault="00BB1531" w:rsidP="00B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B163" w14:textId="77777777" w:rsidR="008A1C28" w:rsidRDefault="008A1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F3DC" w14:textId="77777777" w:rsidR="008A1C28" w:rsidRDefault="008A1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04D8" w14:textId="77777777" w:rsidR="008A1C28" w:rsidRDefault="008A1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154F" w14:textId="77777777" w:rsidR="00BB1531" w:rsidRDefault="00BB1531" w:rsidP="00B936E1">
      <w:pPr>
        <w:spacing w:after="0" w:line="240" w:lineRule="auto"/>
      </w:pPr>
      <w:r>
        <w:separator/>
      </w:r>
    </w:p>
  </w:footnote>
  <w:footnote w:type="continuationSeparator" w:id="0">
    <w:p w14:paraId="1D82163F" w14:textId="77777777" w:rsidR="00BB1531" w:rsidRDefault="00BB1531" w:rsidP="00B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80A8" w14:textId="77777777" w:rsidR="008A1C28" w:rsidRDefault="008A1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2AD5" w14:textId="77777777" w:rsidR="008A1C28" w:rsidRDefault="008A1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002EEC" w:rsidRPr="00400B87" w14:paraId="4744E2F3" w14:textId="77777777" w:rsidTr="00B24795">
      <w:tc>
        <w:tcPr>
          <w:tcW w:w="4395" w:type="dxa"/>
          <w:vAlign w:val="center"/>
          <w:hideMark/>
        </w:tcPr>
        <w:p w14:paraId="183114A4" w14:textId="77777777" w:rsidR="00002EEC" w:rsidRPr="00400B87" w:rsidRDefault="00002EEC" w:rsidP="00002EE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Transmitted by the GRE-IWG SLR</w:t>
          </w:r>
        </w:p>
      </w:tc>
      <w:tc>
        <w:tcPr>
          <w:tcW w:w="5103" w:type="dxa"/>
          <w:hideMark/>
        </w:tcPr>
        <w:p w14:paraId="2DF1A2BC" w14:textId="0E44A3AE" w:rsidR="00002EEC" w:rsidRPr="00400B87" w:rsidRDefault="00002EEC" w:rsidP="00002EEC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fr-BE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fr-BE" w:eastAsia="ar-SA"/>
            </w:rPr>
            <w:t>Informal document</w:t>
          </w: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fr-BE" w:eastAsia="ar-SA"/>
            </w:rPr>
            <w:t xml:space="preserve"> </w:t>
          </w:r>
          <w:r w:rsidRPr="00400B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GRE-8</w:t>
          </w:r>
          <w:r w:rsidR="00615F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3</w:t>
          </w:r>
          <w:r w:rsidRPr="00400B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-</w:t>
          </w:r>
          <w:r w:rsidR="008A1C2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fr-BE" w:eastAsia="ar-SA"/>
            </w:rPr>
            <w:t>06</w:t>
          </w:r>
        </w:p>
        <w:p w14:paraId="29FCC0E4" w14:textId="61CB286D" w:rsidR="00002EEC" w:rsidRPr="008A1C28" w:rsidRDefault="00002EEC" w:rsidP="00002EE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</w:pPr>
          <w:r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8</w:t>
          </w:r>
          <w:r w:rsidR="00615F6B"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3rd </w:t>
          </w:r>
          <w:r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GRE, </w:t>
          </w:r>
          <w:r w:rsidR="00615F6B"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19-23</w:t>
          </w:r>
          <w:r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 xml:space="preserve"> October 20</w:t>
          </w:r>
          <w:r w:rsidR="00615F6B" w:rsidRPr="008A1C28">
            <w:rPr>
              <w:rFonts w:ascii="Times New Roman" w:eastAsia="Times New Roman" w:hAnsi="Times New Roman" w:cs="Times New Roman"/>
              <w:sz w:val="24"/>
              <w:szCs w:val="24"/>
              <w:lang w:val="en-US" w:eastAsia="ar-SA"/>
            </w:rPr>
            <w:t>20</w:t>
          </w:r>
        </w:p>
        <w:p w14:paraId="6080C650" w14:textId="7A0FA54A" w:rsidR="00002EEC" w:rsidRPr="00400B87" w:rsidRDefault="00002EEC" w:rsidP="00002EEC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</w:pPr>
          <w:r w:rsidRPr="00400B87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 xml:space="preserve">Agenda item </w:t>
          </w:r>
          <w:r w:rsidR="008A1C28">
            <w:rPr>
              <w:rFonts w:ascii="Times New Roman" w:eastAsia="Times New Roman" w:hAnsi="Times New Roman" w:cs="Times New Roman"/>
              <w:sz w:val="24"/>
              <w:szCs w:val="24"/>
              <w:lang w:val="en-GB" w:eastAsia="ar-SA"/>
            </w:rPr>
            <w:t>6 (a)</w:t>
          </w:r>
          <w:bookmarkStart w:id="0" w:name="_GoBack"/>
          <w:bookmarkEnd w:id="0"/>
        </w:p>
      </w:tc>
    </w:tr>
  </w:tbl>
  <w:p w14:paraId="59E07335" w14:textId="77777777" w:rsidR="00002EEC" w:rsidRDefault="00002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672"/>
    <w:multiLevelType w:val="hybridMultilevel"/>
    <w:tmpl w:val="07EE9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6A"/>
    <w:rsid w:val="00002EEC"/>
    <w:rsid w:val="00076A1F"/>
    <w:rsid w:val="00081242"/>
    <w:rsid w:val="0018135B"/>
    <w:rsid w:val="00255390"/>
    <w:rsid w:val="002976FC"/>
    <w:rsid w:val="002B0DC6"/>
    <w:rsid w:val="00381E84"/>
    <w:rsid w:val="00400B87"/>
    <w:rsid w:val="004A75F6"/>
    <w:rsid w:val="00537DC6"/>
    <w:rsid w:val="005D70F8"/>
    <w:rsid w:val="005E4752"/>
    <w:rsid w:val="00615F6B"/>
    <w:rsid w:val="007A31E7"/>
    <w:rsid w:val="008661B3"/>
    <w:rsid w:val="008A1C28"/>
    <w:rsid w:val="008C5071"/>
    <w:rsid w:val="00957808"/>
    <w:rsid w:val="0096450A"/>
    <w:rsid w:val="009C4D45"/>
    <w:rsid w:val="00A651E7"/>
    <w:rsid w:val="00A9592A"/>
    <w:rsid w:val="00AE645D"/>
    <w:rsid w:val="00B21989"/>
    <w:rsid w:val="00B44E6A"/>
    <w:rsid w:val="00B87FD4"/>
    <w:rsid w:val="00B936E1"/>
    <w:rsid w:val="00BB1531"/>
    <w:rsid w:val="00BF327D"/>
    <w:rsid w:val="00C1310D"/>
    <w:rsid w:val="00C22793"/>
    <w:rsid w:val="00C57393"/>
    <w:rsid w:val="00CD6A47"/>
    <w:rsid w:val="00D95295"/>
    <w:rsid w:val="00DD6B1D"/>
    <w:rsid w:val="00EC017E"/>
    <w:rsid w:val="00F001EE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7120A"/>
  <w15:chartTrackingRefBased/>
  <w15:docId w15:val="{43C694AC-AEF1-4739-BF71-B286CAC2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B44E6A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44E6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B44E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44E6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44E6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uiPriority w:val="99"/>
    <w:rsid w:val="00B44E6A"/>
    <w:rPr>
      <w:color w:val="auto"/>
      <w:u w:val="none"/>
    </w:rPr>
  </w:style>
  <w:style w:type="paragraph" w:styleId="TOC1">
    <w:name w:val="toc 1"/>
    <w:basedOn w:val="Normal"/>
    <w:next w:val="Normal"/>
    <w:autoRedefine/>
    <w:uiPriority w:val="39"/>
    <w:rsid w:val="00B44E6A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uppressAutoHyphens/>
      <w:spacing w:after="120" w:line="240" w:lineRule="atLeast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B44E6A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B44E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B9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1"/>
  </w:style>
  <w:style w:type="paragraph" w:styleId="Footer">
    <w:name w:val="footer"/>
    <w:basedOn w:val="Normal"/>
    <w:link w:val="FooterChar"/>
    <w:uiPriority w:val="99"/>
    <w:unhideWhenUsed/>
    <w:rsid w:val="00B9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1"/>
  </w:style>
  <w:style w:type="paragraph" w:styleId="BalloonText">
    <w:name w:val="Balloon Text"/>
    <w:basedOn w:val="Normal"/>
    <w:link w:val="BalloonTextChar"/>
    <w:uiPriority w:val="99"/>
    <w:semiHidden/>
    <w:unhideWhenUsed/>
    <w:rsid w:val="0095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SingleTxtG"/>
    <w:link w:val="paraChar"/>
    <w:qFormat/>
    <w:rsid w:val="00615F6B"/>
    <w:pPr>
      <w:ind w:left="2268" w:hanging="1134"/>
    </w:pPr>
  </w:style>
  <w:style w:type="character" w:customStyle="1" w:styleId="paraChar">
    <w:name w:val="para Char"/>
    <w:link w:val="para"/>
    <w:rsid w:val="00615F6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1196</Characters>
  <Application>Microsoft Office Word</Application>
  <DocSecurity>0</DocSecurity>
  <Lines>38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Bauckhage, Thomas</dc:creator>
  <cp:keywords/>
  <dc:description/>
  <cp:lastModifiedBy>E/ECE/324/Rev.2/Add.122/Rev.2/Amend.4</cp:lastModifiedBy>
  <cp:revision>8</cp:revision>
  <dcterms:created xsi:type="dcterms:W3CDTF">2020-08-27T15:49:00Z</dcterms:created>
  <dcterms:modified xsi:type="dcterms:W3CDTF">2020-09-22T14:16:00Z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Thomas.Bauckhage@hella.com</vt:lpwstr>
  </property>
  <property fmtid="{D5CDD505-2E9C-101B-9397-08002B2CF9AE}" pid="5" name="MSIP_Label_5a4f3930-35a4-43d2-be4a-3a5160255453_SetDate">
    <vt:lpwstr>2019-08-26T11:09:48.8598468Z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0a183e24-96df-4bfd-b815-96336c9276ac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Thomas.Bauckhage@hella.com</vt:lpwstr>
  </property>
  <property fmtid="{D5CDD505-2E9C-101B-9397-08002B2CF9AE}" pid="13" name="MSIP_Label_f731df75-0a72-42d5-9cc1-0c4dcec1599e_SetDate">
    <vt:lpwstr>2019-08-26T11:09:48.8598468Z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0a183e24-96df-4bfd-b815-96336c9276ac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