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01F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01F11" w:rsidP="00701F11">
            <w:pPr>
              <w:jc w:val="right"/>
            </w:pPr>
            <w:r w:rsidRPr="00701F11">
              <w:rPr>
                <w:sz w:val="40"/>
              </w:rPr>
              <w:t>ECE</w:t>
            </w:r>
            <w:r>
              <w:t>/TRANS/WP.29/GRE/2020/17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01F11" w:rsidP="00C97039">
            <w:pPr>
              <w:spacing w:before="240"/>
            </w:pPr>
            <w:r>
              <w:t>Distr. générale</w:t>
            </w:r>
          </w:p>
          <w:p w:rsidR="00701F11" w:rsidRDefault="00701F11" w:rsidP="00701F11">
            <w:pPr>
              <w:spacing w:line="240" w:lineRule="exact"/>
            </w:pPr>
            <w:r>
              <w:t>29 juillet 2020</w:t>
            </w:r>
          </w:p>
          <w:p w:rsidR="00701F11" w:rsidRDefault="00701F11" w:rsidP="00701F11">
            <w:pPr>
              <w:spacing w:line="240" w:lineRule="exact"/>
            </w:pPr>
            <w:r>
              <w:t>Français</w:t>
            </w:r>
          </w:p>
          <w:p w:rsidR="00701F11" w:rsidRPr="00DB58B5" w:rsidRDefault="00701F11" w:rsidP="00701F1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</w:t>
      </w:r>
      <w:bookmarkStart w:id="0" w:name="_GoBack"/>
      <w:bookmarkEnd w:id="0"/>
      <w:r w:rsidRPr="000312C0">
        <w:rPr>
          <w:b/>
          <w:sz w:val="28"/>
          <w:szCs w:val="28"/>
        </w:rPr>
        <w:t>ique pour l</w:t>
      </w:r>
      <w:r w:rsidR="00701F1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01F11" w:rsidRDefault="00701F11" w:rsidP="00701F11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01F11" w:rsidRDefault="00701F11" w:rsidP="00701F11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701F11" w:rsidRPr="00246D76" w:rsidRDefault="00701F11" w:rsidP="00701F11">
      <w:pPr>
        <w:ind w:right="4393"/>
        <w:rPr>
          <w:b/>
        </w:rPr>
      </w:pPr>
      <w:r>
        <w:rPr>
          <w:b/>
          <w:bCs/>
          <w:lang w:val="fr-FR"/>
        </w:rPr>
        <w:t>Quatre-vingt-troisième session</w:t>
      </w:r>
    </w:p>
    <w:p w:rsidR="00701F11" w:rsidRPr="00E04EC7" w:rsidRDefault="00701F11" w:rsidP="00701F11">
      <w:pPr>
        <w:ind w:right="4393"/>
      </w:pPr>
      <w:r>
        <w:rPr>
          <w:lang w:val="fr-FR"/>
        </w:rPr>
        <w:t>Genève, 19-23 octobre 2020</w:t>
      </w:r>
    </w:p>
    <w:p w:rsidR="00701F11" w:rsidRPr="00525E6C" w:rsidRDefault="00701F11" w:rsidP="00701F11">
      <w:pPr>
        <w:ind w:right="4393"/>
        <w:rPr>
          <w:bCs/>
        </w:rPr>
      </w:pPr>
      <w:r>
        <w:rPr>
          <w:lang w:val="fr-FR"/>
        </w:rPr>
        <w:t>Point 5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701F11" w:rsidRDefault="00701F11" w:rsidP="00701F11">
      <w:pPr>
        <w:rPr>
          <w:b/>
          <w:bCs/>
          <w:lang w:val="fr-FR"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 37 (Lampes à incandescence),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99 (Sources lumineuses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à décharge) et 128 (Sources lumineuses à diodes électroluminescentes),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Résolution 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ensemble sur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une spécification commune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catégories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sources lumineuses</w:t>
      </w:r>
    </w:p>
    <w:p w:rsidR="00701F11" w:rsidRPr="00525E6C" w:rsidRDefault="00701F11" w:rsidP="00701F1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[11] à la version initiale du 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128 (Sources lumineuses </w:t>
      </w:r>
      <w:r>
        <w:rPr>
          <w:lang w:val="fr-FR"/>
        </w:rPr>
        <w:br/>
      </w:r>
      <w:r>
        <w:rPr>
          <w:lang w:val="fr-FR"/>
        </w:rPr>
        <w:t>à diodes électroluminescentes)</w:t>
      </w:r>
    </w:p>
    <w:p w:rsidR="00701F11" w:rsidRPr="00525E6C" w:rsidRDefault="00701F11" w:rsidP="00701F11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 l</w:t>
      </w:r>
      <w:r>
        <w:rPr>
          <w:lang w:val="fr-FR"/>
        </w:rPr>
        <w:t>’</w:t>
      </w:r>
      <w:r>
        <w:rPr>
          <w:lang w:val="fr-FR"/>
        </w:rPr>
        <w:t>Équipe spéciale des sources lumineuses de substitution ou de conversion</w:t>
      </w:r>
      <w:r w:rsidRPr="00701F11">
        <w:rPr>
          <w:b w:val="0"/>
          <w:bCs/>
          <w:sz w:val="20"/>
          <w:lang w:val="fr-FR"/>
        </w:rPr>
        <w:footnoteReference w:customMarkFollows="1" w:id="2"/>
        <w:t>*</w:t>
      </w:r>
    </w:p>
    <w:p w:rsidR="00701F11" w:rsidRDefault="00701F11" w:rsidP="00701F11">
      <w:pPr>
        <w:pStyle w:val="SingleTxtG"/>
      </w:pPr>
      <w:r>
        <w:rPr>
          <w:lang w:val="fr-FR"/>
        </w:rPr>
        <w:tab/>
      </w:r>
      <w:r>
        <w:rPr>
          <w:lang w:val="fr-FR"/>
        </w:rPr>
        <w:t>Le texte reproduit ci-après, établi par l</w:t>
      </w:r>
      <w:r>
        <w:rPr>
          <w:lang w:val="fr-FR"/>
        </w:rPr>
        <w:t>’</w:t>
      </w:r>
      <w:r>
        <w:rPr>
          <w:lang w:val="fr-FR"/>
        </w:rPr>
        <w:t>expert de l</w:t>
      </w:r>
      <w:r>
        <w:rPr>
          <w:lang w:val="fr-FR"/>
        </w:rPr>
        <w:t>’</w:t>
      </w:r>
      <w:r>
        <w:rPr>
          <w:lang w:val="fr-FR"/>
        </w:rPr>
        <w:t>Équipe spéciale des sources lumineuses de substitution ou de conversion, tend à exclure l</w:t>
      </w:r>
      <w:r>
        <w:rPr>
          <w:lang w:val="fr-FR"/>
        </w:rPr>
        <w:t>’</w:t>
      </w:r>
      <w:r>
        <w:rPr>
          <w:lang w:val="fr-FR"/>
        </w:rPr>
        <w:t>homologation des sources lumineuses à diodes électroluminescentes de remplacement (DELr) conformément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128.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 xml:space="preserve">apporter au texte actuel du Règlement ONU figurent en caractères gras pour les ajouts et biffés pour les suppressions.  </w:t>
      </w:r>
    </w:p>
    <w:p w:rsidR="00701F11" w:rsidRDefault="00701F11" w:rsidP="00701F11">
      <w:pPr>
        <w:pStyle w:val="HChG"/>
      </w:pPr>
      <w: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701F11" w:rsidRDefault="00701F11" w:rsidP="00701F11">
      <w:pPr>
        <w:pStyle w:val="SingleTxtG"/>
      </w:pPr>
      <w:r>
        <w:rPr>
          <w:i/>
          <w:iCs/>
          <w:lang w:val="fr-FR"/>
        </w:rPr>
        <w:t>Annexe 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701F11" w:rsidRPr="005170CB" w:rsidRDefault="00701F11" w:rsidP="00701F11">
      <w:pPr>
        <w:pStyle w:val="SingleTxtG"/>
        <w:ind w:left="2268"/>
        <w:rPr>
          <w:bCs/>
        </w:rPr>
      </w:pPr>
      <w:r>
        <w:rPr>
          <w:lang w:val="fr-FR"/>
        </w:rPr>
        <w:t>«</w:t>
      </w:r>
      <w:r>
        <w:rPr>
          <w:lang w:val="fr-FR"/>
        </w:rPr>
        <w:t> </w:t>
      </w:r>
      <w:r>
        <w:rPr>
          <w:lang w:val="fr-FR"/>
        </w:rPr>
        <w:t>Les feuilles relatives à la catégorie de sources lumineuses à DEL et le groupe auquel appartient cette catégorie, ainsi que les restrictions d</w:t>
      </w:r>
      <w:r>
        <w:rPr>
          <w:lang w:val="fr-FR"/>
        </w:rPr>
        <w:t>’</w:t>
      </w:r>
      <w:r>
        <w:rPr>
          <w:lang w:val="fr-FR"/>
        </w:rPr>
        <w:t>utilisation correspondantes, s</w:t>
      </w:r>
      <w:r>
        <w:rPr>
          <w:lang w:val="fr-FR"/>
        </w:rPr>
        <w:t>’</w:t>
      </w:r>
      <w:r>
        <w:rPr>
          <w:lang w:val="fr-FR"/>
        </w:rPr>
        <w:t>appliquent conformément à la Résolution R.E.5 ou à ses révisions ultérieures applicables au moment de la demande d</w:t>
      </w:r>
      <w:r>
        <w:rPr>
          <w:lang w:val="fr-FR"/>
        </w:rPr>
        <w:t>’</w:t>
      </w:r>
      <w:r>
        <w:rPr>
          <w:lang w:val="fr-FR"/>
        </w:rPr>
        <w:t>homologation de type de la source lumineuse à DEL</w:t>
      </w:r>
      <w:r>
        <w:rPr>
          <w:b/>
          <w:bCs/>
          <w:lang w:val="fr-FR"/>
        </w:rPr>
        <w:t> </w:t>
      </w:r>
      <w:r w:rsidRPr="00982157">
        <w:rPr>
          <w:b/>
          <w:bCs/>
          <w:lang w:val="fr-FR"/>
        </w:rPr>
        <w:t>; toutefois, les feuilles de sources lumineuses à DEL de remplacement sont exclues de la présente annexe</w:t>
      </w:r>
      <w:r>
        <w:rPr>
          <w:b/>
          <w:bCs/>
          <w:lang w:val="fr-FR"/>
        </w:rPr>
        <w:t> </w:t>
      </w:r>
      <w:r w:rsidRPr="00982157">
        <w:rPr>
          <w:b/>
          <w:bCs/>
          <w:lang w:val="fr-FR"/>
        </w:rPr>
        <w:t>1</w:t>
      </w:r>
      <w:r>
        <w:rPr>
          <w:lang w:val="fr-FR"/>
        </w:rPr>
        <w:t>. ».</w:t>
      </w:r>
    </w:p>
    <w:p w:rsidR="00701F11" w:rsidRDefault="00701F11" w:rsidP="00701F11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701F11" w:rsidRPr="002155BE" w:rsidRDefault="00701F11" w:rsidP="00701F11">
      <w:pPr>
        <w:pStyle w:val="SingleTxtG"/>
        <w:rPr>
          <w:bCs/>
        </w:rPr>
      </w:pP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intention de la présente proposition est de préciser que les sources lumineuses à DEL de remplacement (DELr) sont exclues de l</w:t>
      </w:r>
      <w:r>
        <w:rPr>
          <w:lang w:val="fr-FR"/>
        </w:rPr>
        <w:t>’</w:t>
      </w:r>
      <w:r>
        <w:rPr>
          <w:lang w:val="fr-FR"/>
        </w:rPr>
        <w:t>homologation conformément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128. Elle accompagne une autre proposition tendant à introduire les sources lumineuses à DEL de remplacement (DELr)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37.</w:t>
      </w:r>
    </w:p>
    <w:p w:rsidR="00F9573C" w:rsidRPr="00701F11" w:rsidRDefault="00701F11" w:rsidP="00701F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01F11" w:rsidSect="00701F1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A3" w:rsidRDefault="002935A3" w:rsidP="00F95C08">
      <w:pPr>
        <w:spacing w:line="240" w:lineRule="auto"/>
      </w:pPr>
    </w:p>
  </w:endnote>
  <w:endnote w:type="continuationSeparator" w:id="0">
    <w:p w:rsidR="002935A3" w:rsidRPr="00AC3823" w:rsidRDefault="002935A3" w:rsidP="00AC3823">
      <w:pPr>
        <w:pStyle w:val="Pieddepage"/>
      </w:pPr>
    </w:p>
  </w:endnote>
  <w:endnote w:type="continuationNotice" w:id="1">
    <w:p w:rsidR="002935A3" w:rsidRDefault="002935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1" w:rsidRPr="00701F11" w:rsidRDefault="00701F11" w:rsidP="00701F11">
    <w:pPr>
      <w:pStyle w:val="Pieddepage"/>
      <w:tabs>
        <w:tab w:val="right" w:pos="9638"/>
      </w:tabs>
    </w:pPr>
    <w:r w:rsidRPr="00701F11">
      <w:rPr>
        <w:b/>
        <w:sz w:val="18"/>
      </w:rPr>
      <w:fldChar w:fldCharType="begin"/>
    </w:r>
    <w:r w:rsidRPr="00701F11">
      <w:rPr>
        <w:b/>
        <w:sz w:val="18"/>
      </w:rPr>
      <w:instrText xml:space="preserve"> PAGE  \* MERGEFORMAT </w:instrText>
    </w:r>
    <w:r w:rsidRPr="00701F11">
      <w:rPr>
        <w:b/>
        <w:sz w:val="18"/>
      </w:rPr>
      <w:fldChar w:fldCharType="separate"/>
    </w:r>
    <w:r w:rsidRPr="00701F11">
      <w:rPr>
        <w:b/>
        <w:noProof/>
        <w:sz w:val="18"/>
      </w:rPr>
      <w:t>2</w:t>
    </w:r>
    <w:r w:rsidRPr="00701F11">
      <w:rPr>
        <w:b/>
        <w:sz w:val="18"/>
      </w:rPr>
      <w:fldChar w:fldCharType="end"/>
    </w:r>
    <w:r>
      <w:rPr>
        <w:b/>
        <w:sz w:val="18"/>
      </w:rPr>
      <w:tab/>
    </w:r>
    <w:r>
      <w:t>GE.20-10238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1" w:rsidRPr="00701F11" w:rsidRDefault="00701F11" w:rsidP="00701F11">
    <w:pPr>
      <w:pStyle w:val="Pieddepage"/>
      <w:tabs>
        <w:tab w:val="right" w:pos="9638"/>
      </w:tabs>
      <w:rPr>
        <w:b/>
        <w:sz w:val="18"/>
      </w:rPr>
    </w:pPr>
    <w:r>
      <w:t>GE.20-10238</w:t>
    </w:r>
    <w:r>
      <w:tab/>
    </w:r>
    <w:r w:rsidRPr="00701F11">
      <w:rPr>
        <w:b/>
        <w:sz w:val="18"/>
      </w:rPr>
      <w:fldChar w:fldCharType="begin"/>
    </w:r>
    <w:r w:rsidRPr="00701F11">
      <w:rPr>
        <w:b/>
        <w:sz w:val="18"/>
      </w:rPr>
      <w:instrText xml:space="preserve"> PAGE  \* MERGEFORMAT </w:instrText>
    </w:r>
    <w:r w:rsidRPr="00701F11">
      <w:rPr>
        <w:b/>
        <w:sz w:val="18"/>
      </w:rPr>
      <w:fldChar w:fldCharType="separate"/>
    </w:r>
    <w:r w:rsidRPr="00701F11">
      <w:rPr>
        <w:b/>
        <w:noProof/>
        <w:sz w:val="18"/>
      </w:rPr>
      <w:t>3</w:t>
    </w:r>
    <w:r w:rsidRPr="00701F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01F11" w:rsidRDefault="00701F11" w:rsidP="00701F1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20-10238  (F)    010920    010920</w:t>
    </w:r>
    <w:r>
      <w:rPr>
        <w:sz w:val="20"/>
      </w:rPr>
      <w:br/>
    </w:r>
    <w:r w:rsidRPr="00701F11">
      <w:rPr>
        <w:rFonts w:ascii="C39T30Lfz" w:hAnsi="C39T30Lfz"/>
        <w:sz w:val="56"/>
      </w:rPr>
      <w:t>*2010238*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A3" w:rsidRPr="00AC3823" w:rsidRDefault="002935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35A3" w:rsidRPr="00AC3823" w:rsidRDefault="002935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35A3" w:rsidRPr="00AC3823" w:rsidRDefault="002935A3">
      <w:pPr>
        <w:spacing w:line="240" w:lineRule="auto"/>
        <w:rPr>
          <w:sz w:val="2"/>
          <w:szCs w:val="2"/>
        </w:rPr>
      </w:pPr>
    </w:p>
  </w:footnote>
  <w:footnote w:id="2">
    <w:p w:rsidR="00701F11" w:rsidRPr="00706101" w:rsidRDefault="00701F11" w:rsidP="00701F11">
      <w:pPr>
        <w:pStyle w:val="Notedebasdepage"/>
      </w:pPr>
      <w:r>
        <w:rPr>
          <w:lang w:val="fr-FR"/>
        </w:rPr>
        <w:tab/>
      </w:r>
      <w:r w:rsidRPr="00701F11">
        <w:rPr>
          <w:sz w:val="20"/>
          <w:lang w:val="fr-FR"/>
        </w:rPr>
        <w:t>*</w:t>
      </w:r>
      <w:r>
        <w:rPr>
          <w:lang w:val="fr-FR"/>
        </w:rPr>
        <w:tab/>
        <w:t xml:space="preserve"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1" w:rsidRPr="00701F11" w:rsidRDefault="00701F11">
    <w:pPr>
      <w:pStyle w:val="En-tte"/>
    </w:pPr>
    <w:fldSimple w:instr=" TITLE  \* MERGEFORMAT ">
      <w:r>
        <w:t>ECE/TRANS/WP.29/GRE/2020/17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1" w:rsidRPr="00701F11" w:rsidRDefault="00701F11" w:rsidP="00701F11">
    <w:pPr>
      <w:pStyle w:val="En-tte"/>
      <w:jc w:val="right"/>
    </w:pPr>
    <w:fldSimple w:instr=" TITLE  \* MERGEFORMAT ">
      <w:r>
        <w:t>ECE/TRANS/WP.29/GRE/2020/17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35A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35A3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24511"/>
    <w:rsid w:val="005505B7"/>
    <w:rsid w:val="00573BE5"/>
    <w:rsid w:val="00586ED3"/>
    <w:rsid w:val="00596AA9"/>
    <w:rsid w:val="00701F11"/>
    <w:rsid w:val="0071601D"/>
    <w:rsid w:val="007A62E6"/>
    <w:rsid w:val="007F20FA"/>
    <w:rsid w:val="0080684C"/>
    <w:rsid w:val="00871C75"/>
    <w:rsid w:val="008776DC"/>
    <w:rsid w:val="0090588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DBB298"/>
  <w15:docId w15:val="{DB65E399-DA9F-4FE1-B35D-919208E5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01F1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01F1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701F1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0D5B-A7CC-49CF-B9E3-8F1E182A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308</Words>
  <Characters>1855</Characters>
  <Application>Microsoft Office Word</Application>
  <DocSecurity>0</DocSecurity>
  <Lines>47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ECE/TRANS/WP.29/GRE/2020/17</vt:lpstr>
    </vt:vector>
  </TitlesOfParts>
  <Company>DCM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ECE/TRANS/WP.29/GRE/2020/17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2020-09-01T08:34:00Z</dcterms:created>
  <dcterms:modified xsi:type="dcterms:W3CDTF">2020-09-01T08:34:00Z</dcterms:modified>
</cp:coreProperties>
</file>