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A0C1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A0C1E" w:rsidP="00DA0C1E">
            <w:pPr>
              <w:jc w:val="right"/>
            </w:pPr>
            <w:r w:rsidRPr="00DA0C1E">
              <w:rPr>
                <w:sz w:val="40"/>
              </w:rPr>
              <w:t>ECE</w:t>
            </w:r>
            <w:r>
              <w:t>/TRANS/WP.29/GRE/2020/12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A0C1E" w:rsidP="00C97039">
            <w:pPr>
              <w:spacing w:before="240"/>
            </w:pPr>
            <w:r>
              <w:t>Distr. générale</w:t>
            </w:r>
          </w:p>
          <w:p w:rsidR="00DA0C1E" w:rsidRDefault="00DA0C1E" w:rsidP="00DA0C1E">
            <w:pPr>
              <w:spacing w:line="240" w:lineRule="exact"/>
            </w:pPr>
            <w:r>
              <w:t>7 février 2020</w:t>
            </w:r>
          </w:p>
          <w:p w:rsidR="00DA0C1E" w:rsidRDefault="00DA0C1E" w:rsidP="00DA0C1E">
            <w:pPr>
              <w:spacing w:line="240" w:lineRule="exact"/>
            </w:pPr>
            <w:r>
              <w:t>Français</w:t>
            </w:r>
          </w:p>
          <w:p w:rsidR="00DA0C1E" w:rsidRPr="00DB58B5" w:rsidRDefault="00DA0C1E" w:rsidP="00DA0C1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51487" w:rsidRDefault="00C5148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51487" w:rsidRDefault="00C51487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C51487" w:rsidRDefault="006D322F" w:rsidP="00257168">
      <w:pPr>
        <w:spacing w:before="120" w:line="240" w:lineRule="exact"/>
        <w:rPr>
          <w:b/>
        </w:rPr>
      </w:pPr>
      <w:r w:rsidRPr="00732891">
        <w:rPr>
          <w:b/>
          <w:bCs/>
        </w:rPr>
        <w:t>Quatre-vingt-troisième</w:t>
      </w:r>
      <w:r w:rsidR="00C51487">
        <w:rPr>
          <w:b/>
        </w:rPr>
        <w:t xml:space="preserve"> session</w:t>
      </w:r>
    </w:p>
    <w:p w:rsidR="00C51487" w:rsidRDefault="00C51487" w:rsidP="006D322F">
      <w:r>
        <w:t xml:space="preserve">Genève, </w:t>
      </w:r>
      <w:r w:rsidR="006D322F" w:rsidRPr="00732891">
        <w:t>21</w:t>
      </w:r>
      <w:r w:rsidR="006D322F">
        <w:t>-</w:t>
      </w:r>
      <w:r w:rsidR="006D322F" w:rsidRPr="00732891">
        <w:t>24 avril 2020</w:t>
      </w:r>
    </w:p>
    <w:p w:rsidR="006D322F" w:rsidRPr="00732891" w:rsidRDefault="00C51487" w:rsidP="006D322F">
      <w:pPr>
        <w:rPr>
          <w:b/>
          <w:bCs/>
        </w:rPr>
      </w:pPr>
      <w:r>
        <w:t xml:space="preserve">Point </w:t>
      </w:r>
      <w:r w:rsidR="006D322F" w:rsidRPr="00732891">
        <w:rPr>
          <w:bCs/>
        </w:rPr>
        <w:t>4 d)</w:t>
      </w:r>
      <w:r w:rsidR="006D322F" w:rsidRPr="00732891">
        <w:t xml:space="preserve"> de l</w:t>
      </w:r>
      <w:r w:rsidR="006D322F">
        <w:t>’</w:t>
      </w:r>
      <w:r w:rsidR="006D322F" w:rsidRPr="00732891">
        <w:t>ordre du jour provisoire</w:t>
      </w:r>
    </w:p>
    <w:p w:rsidR="006D322F" w:rsidRPr="00732891" w:rsidRDefault="006D322F" w:rsidP="006D322F">
      <w:pPr>
        <w:rPr>
          <w:b/>
          <w:bCs/>
        </w:rPr>
      </w:pPr>
      <w:r w:rsidRPr="00732891">
        <w:rPr>
          <w:b/>
          <w:bCs/>
        </w:rPr>
        <w:t>Simplification des Règlements ONU relatifs à l</w:t>
      </w:r>
      <w:r>
        <w:rPr>
          <w:b/>
          <w:bCs/>
        </w:rPr>
        <w:t>’</w:t>
      </w:r>
      <w:r w:rsidRPr="00732891">
        <w:rPr>
          <w:b/>
          <w:bCs/>
        </w:rPr>
        <w:t xml:space="preserve">éclairage </w:t>
      </w:r>
      <w:r w:rsidR="00772C78">
        <w:rPr>
          <w:b/>
          <w:bCs/>
        </w:rPr>
        <w:br/>
      </w:r>
      <w:r w:rsidRPr="00732891">
        <w:rPr>
          <w:b/>
          <w:bCs/>
        </w:rPr>
        <w:t>et à la signalisation lumineuse :</w:t>
      </w:r>
    </w:p>
    <w:p w:rsidR="006D322F" w:rsidRPr="00732891" w:rsidRDefault="006D322F" w:rsidP="006D322F">
      <w:pPr>
        <w:rPr>
          <w:b/>
          <w:bCs/>
        </w:rPr>
      </w:pPr>
      <w:bookmarkStart w:id="0" w:name="_Hlk33172828"/>
      <w:r w:rsidRPr="00732891">
        <w:rPr>
          <w:b/>
          <w:bCs/>
        </w:rPr>
        <w:t>Règlement ONU n</w:t>
      </w:r>
      <w:r w:rsidRPr="00732891">
        <w:rPr>
          <w:b/>
          <w:bCs/>
          <w:vertAlign w:val="superscript"/>
        </w:rPr>
        <w:t>o</w:t>
      </w:r>
      <w:r w:rsidRPr="00732891">
        <w:rPr>
          <w:b/>
          <w:bCs/>
        </w:rPr>
        <w:t> </w:t>
      </w:r>
      <w:bookmarkEnd w:id="0"/>
      <w:r w:rsidRPr="00732891">
        <w:rPr>
          <w:b/>
          <w:bCs/>
        </w:rPr>
        <w:t>150 (Dispositifs rétroréfléchissants)</w:t>
      </w:r>
    </w:p>
    <w:p w:rsidR="006D322F" w:rsidRPr="00732891" w:rsidRDefault="006D322F" w:rsidP="006D322F">
      <w:pPr>
        <w:pStyle w:val="HChG"/>
      </w:pPr>
      <w:r w:rsidRPr="00732891">
        <w:tab/>
      </w:r>
      <w:r w:rsidRPr="00732891">
        <w:tab/>
        <w:t xml:space="preserve">Proposition visant à corriger le texte </w:t>
      </w:r>
      <w:r>
        <w:br/>
      </w:r>
      <w:r w:rsidRPr="00732891">
        <w:t xml:space="preserve">du </w:t>
      </w:r>
      <w:r w:rsidRPr="00732891">
        <w:rPr>
          <w:bCs/>
        </w:rPr>
        <w:t>Règlement ONU n</w:t>
      </w:r>
      <w:r w:rsidRPr="00732891">
        <w:rPr>
          <w:bCs/>
          <w:vertAlign w:val="superscript"/>
        </w:rPr>
        <w:t>o</w:t>
      </w:r>
      <w:r w:rsidRPr="00732891">
        <w:rPr>
          <w:bCs/>
        </w:rPr>
        <w:t> </w:t>
      </w:r>
      <w:r w:rsidRPr="00732891">
        <w:t>150</w:t>
      </w:r>
    </w:p>
    <w:p w:rsidR="006D322F" w:rsidRPr="00732891" w:rsidRDefault="006D322F" w:rsidP="006D322F">
      <w:pPr>
        <w:pStyle w:val="H1G"/>
        <w:rPr>
          <w:szCs w:val="24"/>
        </w:rPr>
      </w:pPr>
      <w:r w:rsidRPr="00732891">
        <w:tab/>
      </w:r>
      <w:r w:rsidRPr="00732891">
        <w:tab/>
        <w:t xml:space="preserve">Communication du </w:t>
      </w:r>
      <w:r>
        <w:t>g</w:t>
      </w:r>
      <w:r w:rsidRPr="00732891">
        <w:t xml:space="preserve">roupe de travail informel de la simplification </w:t>
      </w:r>
      <w:r>
        <w:br/>
      </w:r>
      <w:r w:rsidRPr="00732891">
        <w:t>des Règlements relatifs à l</w:t>
      </w:r>
      <w:r>
        <w:t>’</w:t>
      </w:r>
      <w:r w:rsidRPr="00732891">
        <w:t>éclairage et à la signalisation lumineuse</w:t>
      </w:r>
      <w:r w:rsidRPr="006D322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C51487" w:rsidRDefault="006D322F" w:rsidP="006D322F">
      <w:pPr>
        <w:pStyle w:val="SingleTxtG"/>
        <w:ind w:firstLine="567"/>
      </w:pPr>
      <w:r w:rsidRPr="00732891">
        <w:t>Le texte ci-après</w:t>
      </w:r>
      <w:r>
        <w:t>,</w:t>
      </w:r>
      <w:r w:rsidRPr="00732891">
        <w:t xml:space="preserve"> établi par le Groupe de travail informel de la simplification des Règlements relatifs à l</w:t>
      </w:r>
      <w:r>
        <w:t>’</w:t>
      </w:r>
      <w:r w:rsidRPr="00732891">
        <w:t>éclairage et à la signalisation lumineuse</w:t>
      </w:r>
      <w:r>
        <w:t xml:space="preserve">, vise à </w:t>
      </w:r>
      <w:r w:rsidRPr="00732891">
        <w:t>corriger les figures de l</w:t>
      </w:r>
      <w:r>
        <w:t>’</w:t>
      </w:r>
      <w:r w:rsidRPr="00732891">
        <w:t xml:space="preserve">annexe 24 du </w:t>
      </w:r>
      <w:r w:rsidRPr="00732891">
        <w:rPr>
          <w:bCs/>
        </w:rPr>
        <w:t>Règlement ONU n</w:t>
      </w:r>
      <w:r w:rsidRPr="00732891">
        <w:rPr>
          <w:bCs/>
          <w:vertAlign w:val="superscript"/>
        </w:rPr>
        <w:t>o</w:t>
      </w:r>
      <w:r w:rsidRPr="00732891">
        <w:rPr>
          <w:bCs/>
        </w:rPr>
        <w:t> </w:t>
      </w:r>
      <w:r w:rsidRPr="00732891">
        <w:t xml:space="preserve">150 et </w:t>
      </w:r>
      <w:r>
        <w:t>à</w:t>
      </w:r>
      <w:r w:rsidRPr="00732891">
        <w:t xml:space="preserve"> faciliter la lecture du texte de l</w:t>
      </w:r>
      <w:r>
        <w:t>’</w:t>
      </w:r>
      <w:r w:rsidRPr="00732891">
        <w:t>annexe</w:t>
      </w:r>
      <w:r>
        <w:t xml:space="preserve"> dans son ensemble</w:t>
      </w:r>
      <w:r w:rsidRPr="00732891">
        <w:t>.</w:t>
      </w:r>
    </w:p>
    <w:p w:rsidR="006D322F" w:rsidRPr="00732891" w:rsidRDefault="006D322F" w:rsidP="006D322F">
      <w:pPr>
        <w:pStyle w:val="HChG"/>
      </w:pPr>
      <w:r>
        <w:br w:type="page"/>
      </w:r>
      <w:r>
        <w:lastRenderedPageBreak/>
        <w:tab/>
      </w:r>
      <w:r w:rsidRPr="00732891">
        <w:t>I.</w:t>
      </w:r>
      <w:r w:rsidRPr="00732891">
        <w:tab/>
        <w:t>Proposition</w:t>
      </w:r>
    </w:p>
    <w:p w:rsidR="006D322F" w:rsidRPr="00732891" w:rsidRDefault="006D322F" w:rsidP="006D322F">
      <w:pPr>
        <w:pStyle w:val="SingleTxtG"/>
      </w:pPr>
      <w:r w:rsidRPr="006D322F">
        <w:rPr>
          <w:i/>
        </w:rPr>
        <w:t>Annexe 24</w:t>
      </w:r>
      <w:r w:rsidRPr="00732891">
        <w:t>, lire :</w:t>
      </w:r>
    </w:p>
    <w:p w:rsidR="006D322F" w:rsidRPr="00732891" w:rsidRDefault="006D322F" w:rsidP="006D322F">
      <w:pPr>
        <w:pStyle w:val="HChG"/>
      </w:pPr>
      <w:r w:rsidRPr="00732891">
        <w:tab/>
      </w:r>
      <w:r w:rsidRPr="00732891">
        <w:tab/>
      </w:r>
      <w:r w:rsidR="00772C78">
        <w:t>« </w:t>
      </w:r>
      <w:r w:rsidRPr="00732891">
        <w:t>Exemples de marques d</w:t>
      </w:r>
      <w:r>
        <w:t>’</w:t>
      </w:r>
      <w:r w:rsidRPr="00732891">
        <w:t>homologation</w:t>
      </w:r>
      <w:bookmarkStart w:id="1" w:name="_GoBack"/>
      <w:bookmarkEnd w:id="1"/>
    </w:p>
    <w:p w:rsidR="006D322F" w:rsidRPr="006D322F" w:rsidRDefault="006D322F" w:rsidP="006D322F">
      <w:pPr>
        <w:pStyle w:val="Titre1"/>
        <w:spacing w:after="120"/>
      </w:pPr>
      <w:bookmarkStart w:id="2" w:name="_Toc369177371"/>
      <w:r w:rsidRPr="00732891">
        <w:t>Figure A 24-I</w:t>
      </w:r>
      <w:bookmarkStart w:id="3" w:name="_Toc369177372"/>
      <w:bookmarkEnd w:id="2"/>
      <w:r>
        <w:br/>
      </w:r>
      <w:r w:rsidRPr="00732891">
        <w:rPr>
          <w:b/>
          <w:bCs/>
        </w:rPr>
        <w:t>Exemples de marquage d</w:t>
      </w:r>
      <w:r>
        <w:rPr>
          <w:b/>
          <w:bCs/>
        </w:rPr>
        <w:t>’</w:t>
      </w:r>
      <w:r w:rsidRPr="00732891">
        <w:rPr>
          <w:b/>
          <w:bCs/>
        </w:rPr>
        <w:t>un dispositif simple</w:t>
      </w:r>
      <w:bookmarkEnd w:id="3"/>
    </w:p>
    <w:tbl>
      <w:tblPr>
        <w:tblStyle w:val="Grilledutableau"/>
        <w:tblW w:w="7938" w:type="dxa"/>
        <w:tblInd w:w="1134" w:type="dxa"/>
        <w:tblLook w:val="04A0" w:firstRow="1" w:lastRow="0" w:firstColumn="1" w:lastColumn="0" w:noHBand="0" w:noVBand="1"/>
      </w:tblPr>
      <w:tblGrid>
        <w:gridCol w:w="4170"/>
        <w:gridCol w:w="3768"/>
      </w:tblGrid>
      <w:tr w:rsidR="006D322F" w:rsidRPr="00732891" w:rsidTr="00772C78">
        <w:tc>
          <w:tcPr>
            <w:tcW w:w="8038" w:type="dxa"/>
            <w:gridSpan w:val="2"/>
          </w:tcPr>
          <w:p w:rsidR="006D322F" w:rsidRPr="00732891" w:rsidRDefault="006D322F" w:rsidP="006D322F">
            <w:pPr>
              <w:pStyle w:val="SingleTxtG"/>
              <w:spacing w:before="120"/>
              <w:ind w:left="113" w:right="113"/>
            </w:pPr>
            <w:r w:rsidRPr="00732891">
              <w:rPr>
                <w:i/>
              </w:rPr>
              <w:t>Note</w:t>
            </w:r>
            <w:r w:rsidRPr="00732891">
              <w:t> :</w:t>
            </w:r>
            <w:r w:rsidRPr="00732891">
              <w:tab/>
              <w:t>Le numéro d</w:t>
            </w:r>
            <w:r>
              <w:t>’</w:t>
            </w:r>
            <w:r w:rsidRPr="00732891">
              <w:t xml:space="preserve">homologation doit être placé à proximité du cercle circonscrit à la lettre </w:t>
            </w:r>
            <w:r w:rsidR="00553A4A">
              <w:t>“</w:t>
            </w:r>
            <w:r w:rsidRPr="00732891">
              <w:t>E</w:t>
            </w:r>
            <w:r w:rsidR="00553A4A">
              <w:t>”</w:t>
            </w:r>
            <w:r>
              <w:t>,</w:t>
            </w:r>
            <w:r w:rsidRPr="00732891">
              <w:t xml:space="preserve"> dans une position quelconque par rapport à celui-ci. Les chiffres qui le composent doivent être orientés comme la lettre </w:t>
            </w:r>
            <w:r w:rsidR="00553A4A">
              <w:t>“</w:t>
            </w:r>
            <w:r w:rsidRPr="00732891">
              <w:t>E</w:t>
            </w:r>
            <w:r w:rsidR="00553A4A">
              <w:t>”</w:t>
            </w:r>
            <w:r w:rsidRPr="00732891">
              <w:t>. Le groupe de symboles qui indique la classe doit être diamétralement opposé au numéro d</w:t>
            </w:r>
            <w:r>
              <w:t>’</w:t>
            </w:r>
            <w:r w:rsidRPr="00732891">
              <w:t>homologation. Les autorités d</w:t>
            </w:r>
            <w:r>
              <w:t>’</w:t>
            </w:r>
            <w:r w:rsidRPr="00732891">
              <w:t>homologation s</w:t>
            </w:r>
            <w:r>
              <w:t>’</w:t>
            </w:r>
            <w:r w:rsidRPr="00732891">
              <w:t>abstiendront d</w:t>
            </w:r>
            <w:r>
              <w:t>’</w:t>
            </w:r>
            <w:r w:rsidRPr="00732891">
              <w:t>utiliser les numéros d</w:t>
            </w:r>
            <w:r>
              <w:t>’</w:t>
            </w:r>
            <w:r w:rsidRPr="00732891">
              <w:t xml:space="preserve">homologation IA, IB, IIIA, IIIB </w:t>
            </w:r>
            <w:r w:rsidRPr="00732891">
              <w:rPr>
                <w:spacing w:val="-2"/>
              </w:rPr>
              <w:t>et IVA, susceptibles d</w:t>
            </w:r>
            <w:r>
              <w:rPr>
                <w:spacing w:val="-2"/>
              </w:rPr>
              <w:t>’</w:t>
            </w:r>
            <w:r w:rsidRPr="00732891">
              <w:rPr>
                <w:spacing w:val="-2"/>
              </w:rPr>
              <w:t>être confondus avec les symboles des classes IA, IB, IIIA, IIIB et IVA.</w:t>
            </w:r>
          </w:p>
          <w:p w:rsidR="006D322F" w:rsidRPr="00732891" w:rsidRDefault="006D322F" w:rsidP="006D322F">
            <w:pPr>
              <w:spacing w:after="120"/>
              <w:ind w:left="113" w:right="113"/>
              <w:jc w:val="both"/>
            </w:pPr>
            <w:r w:rsidRPr="00732891">
              <w:t>Ces croquis, qui correspondent à diverses réalisations possibles, sont donnés uniquement à titre d</w:t>
            </w:r>
            <w:r>
              <w:t>’</w:t>
            </w:r>
            <w:r w:rsidRPr="00732891">
              <w:t>exemple</w:t>
            </w:r>
            <w:r>
              <w:t>s</w:t>
            </w:r>
            <w:r w:rsidRPr="00732891">
              <w:t>.</w:t>
            </w:r>
          </w:p>
        </w:tc>
      </w:tr>
      <w:tr w:rsidR="006D322F" w:rsidRPr="00732891" w:rsidTr="00772C78">
        <w:tc>
          <w:tcPr>
            <w:tcW w:w="4123" w:type="dxa"/>
          </w:tcPr>
          <w:p w:rsidR="006D322F" w:rsidRPr="00732891" w:rsidRDefault="006D322F" w:rsidP="006D322F">
            <w:pPr>
              <w:jc w:val="center"/>
              <w:rPr>
                <w:noProof/>
                <w:lang w:eastAsia="de-DE"/>
              </w:rPr>
            </w:pPr>
            <w:r w:rsidRPr="00732891">
              <w:rPr>
                <w:noProof/>
                <w:lang w:eastAsia="de-DE"/>
              </w:rPr>
              <w:drawing>
                <wp:inline distT="0" distB="0" distL="0" distR="0" wp14:anchorId="3EE8BAF6" wp14:editId="015945B0">
                  <wp:extent cx="2641600" cy="2130861"/>
                  <wp:effectExtent l="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789" cy="214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6D322F" w:rsidRPr="006D322F" w:rsidRDefault="006D322F" w:rsidP="006D322F">
            <w:pPr>
              <w:pStyle w:val="SingleTxtG"/>
              <w:spacing w:before="120"/>
              <w:ind w:left="113" w:right="113"/>
            </w:pPr>
            <w:r w:rsidRPr="006D322F">
              <w:t>Modèle A</w:t>
            </w:r>
            <w:r w:rsidRPr="006D322F">
              <w:t> </w:t>
            </w:r>
            <w:r w:rsidRPr="006D322F">
              <w:t>:</w:t>
            </w:r>
          </w:p>
          <w:p w:rsidR="006D322F" w:rsidRPr="006D322F" w:rsidRDefault="006D322F" w:rsidP="006D322F">
            <w:pPr>
              <w:pStyle w:val="SingleTxtG"/>
              <w:spacing w:before="120"/>
              <w:ind w:left="113" w:right="113"/>
            </w:pPr>
            <w:r w:rsidRPr="006D322F">
              <w:t>Cette marque d’homologation, apposée sur un dispositif rétroréfléchissant, indique que le type de celui-ci a été homologué aux Pays-Bas (E4), sous le numéro 150R00-216. Le numéro d’homologation indique que l’homologation a été accordée conformément aux prescriptions du présent Règlement tel que modifié par la série originale d’amendements.</w:t>
            </w:r>
          </w:p>
          <w:p w:rsidR="006D322F" w:rsidRPr="006D322F" w:rsidRDefault="006D322F" w:rsidP="006D322F">
            <w:pPr>
              <w:spacing w:before="120"/>
              <w:ind w:left="113" w:right="113"/>
            </w:pPr>
            <w:r w:rsidRPr="006D322F">
              <w:t>Pour a = voir le tableau 1</w:t>
            </w:r>
          </w:p>
        </w:tc>
      </w:tr>
      <w:tr w:rsidR="006D322F" w:rsidRPr="00732891" w:rsidTr="00772C78">
        <w:tc>
          <w:tcPr>
            <w:tcW w:w="4123" w:type="dxa"/>
          </w:tcPr>
          <w:p w:rsidR="006D322F" w:rsidRPr="00732891" w:rsidRDefault="006D322F" w:rsidP="00C72D72">
            <w:pPr>
              <w:spacing w:after="120"/>
              <w:jc w:val="center"/>
            </w:pPr>
            <w:r w:rsidRPr="00732891">
              <w:rPr>
                <w:noProof/>
              </w:rPr>
              <w:drawing>
                <wp:inline distT="0" distB="0" distL="0" distR="0" wp14:anchorId="58D32E01" wp14:editId="3898B7A1">
                  <wp:extent cx="2199005" cy="107632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76" b="10138"/>
                          <a:stretch/>
                        </pic:blipFill>
                        <pic:spPr bwMode="auto">
                          <a:xfrm>
                            <a:off x="0" y="0"/>
                            <a:ext cx="2219417" cy="108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6D322F" w:rsidRPr="00732891" w:rsidRDefault="006D322F" w:rsidP="006D322F">
            <w:pPr>
              <w:pStyle w:val="SingleTxtG"/>
              <w:spacing w:before="120"/>
              <w:ind w:left="113" w:right="113"/>
            </w:pPr>
            <w:r w:rsidRPr="00732891">
              <w:t>Modèle B</w:t>
            </w:r>
            <w:r>
              <w:t> </w:t>
            </w:r>
            <w:r w:rsidRPr="00732891">
              <w:t>:</w:t>
            </w:r>
          </w:p>
          <w:p w:rsidR="006D322F" w:rsidRPr="00732891" w:rsidRDefault="006D322F" w:rsidP="006D322F">
            <w:pPr>
              <w:pStyle w:val="SingleTxtG"/>
              <w:spacing w:before="120"/>
              <w:ind w:left="113" w:right="113"/>
            </w:pPr>
            <w:r w:rsidRPr="00732891">
              <w:t>Le dispositif est le même que celui du modèle A, mais les marques sont disposées différemment.</w:t>
            </w:r>
          </w:p>
        </w:tc>
      </w:tr>
      <w:tr w:rsidR="006D322F" w:rsidRPr="00732891" w:rsidTr="00772C78">
        <w:tc>
          <w:tcPr>
            <w:tcW w:w="4123" w:type="dxa"/>
          </w:tcPr>
          <w:p w:rsidR="00C72D72" w:rsidRPr="00732891" w:rsidRDefault="006D322F" w:rsidP="00C72D72">
            <w:pPr>
              <w:spacing w:after="120"/>
              <w:jc w:val="center"/>
              <w:rPr>
                <w:noProof/>
              </w:rPr>
            </w:pPr>
            <w:r w:rsidRPr="00732891">
              <w:rPr>
                <w:noProof/>
              </w:rPr>
              <w:drawing>
                <wp:inline distT="0" distB="0" distL="0" distR="0" wp14:anchorId="55C96391" wp14:editId="29FDA7D7">
                  <wp:extent cx="1274445" cy="1268095"/>
                  <wp:effectExtent l="0" t="0" r="1905" b="825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677" b="1"/>
                          <a:stretch/>
                        </pic:blipFill>
                        <pic:spPr bwMode="auto">
                          <a:xfrm>
                            <a:off x="0" y="0"/>
                            <a:ext cx="1274445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6D322F" w:rsidRPr="00732891" w:rsidRDefault="006D322F" w:rsidP="006D322F">
            <w:pPr>
              <w:pStyle w:val="SingleTxtG"/>
              <w:spacing w:before="120"/>
              <w:ind w:left="113" w:right="113"/>
            </w:pPr>
            <w:r w:rsidRPr="00732891">
              <w:t>Modèle C</w:t>
            </w:r>
            <w:r>
              <w:t> </w:t>
            </w:r>
            <w:r w:rsidRPr="00732891">
              <w:t>:</w:t>
            </w:r>
          </w:p>
          <w:p w:rsidR="00C72D72" w:rsidRPr="00732891" w:rsidRDefault="006D322F" w:rsidP="006D322F">
            <w:pPr>
              <w:pStyle w:val="SingleTxtG"/>
              <w:spacing w:before="120"/>
              <w:ind w:left="113" w:right="113"/>
            </w:pPr>
            <w:r w:rsidRPr="00732891">
              <w:t>Le dispositif est le même que celui du modèle A, mais les marques sont disposées différemment.</w:t>
            </w:r>
          </w:p>
        </w:tc>
      </w:tr>
    </w:tbl>
    <w:p w:rsidR="006D322F" w:rsidRPr="00732891" w:rsidRDefault="006D322F" w:rsidP="006D322F"/>
    <w:p w:rsidR="006D322F" w:rsidRPr="006D322F" w:rsidRDefault="006D322F" w:rsidP="006D322F">
      <w:pPr>
        <w:pStyle w:val="Titre1"/>
        <w:spacing w:after="120"/>
      </w:pPr>
      <w:r>
        <w:br w:type="page"/>
      </w:r>
      <w:bookmarkStart w:id="4" w:name="_Toc369177373"/>
      <w:r w:rsidRPr="00732891">
        <w:lastRenderedPageBreak/>
        <w:t>Figure A24-II</w:t>
      </w:r>
      <w:bookmarkEnd w:id="4"/>
      <w:r>
        <w:br/>
      </w:r>
      <w:r w:rsidRPr="00732891">
        <w:rPr>
          <w:b/>
          <w:bCs/>
        </w:rPr>
        <w:t>Exemples de m</w:t>
      </w:r>
      <w:r w:rsidRPr="00732891">
        <w:rPr>
          <w:b/>
        </w:rPr>
        <w:t xml:space="preserve">arquage simplifié pour les dispositifs groupés, combinés </w:t>
      </w:r>
      <w:r>
        <w:rPr>
          <w:b/>
        </w:rPr>
        <w:br/>
      </w:r>
      <w:r w:rsidRPr="00732891">
        <w:rPr>
          <w:b/>
        </w:rPr>
        <w:t>ou mutuellement incorporés</w:t>
      </w:r>
    </w:p>
    <w:tbl>
      <w:tblPr>
        <w:tblStyle w:val="Grilledutableau"/>
        <w:tblW w:w="7938" w:type="dxa"/>
        <w:tblInd w:w="1134" w:type="dxa"/>
        <w:tblLook w:val="04A0" w:firstRow="1" w:lastRow="0" w:firstColumn="1" w:lastColumn="0" w:noHBand="0" w:noVBand="1"/>
      </w:tblPr>
      <w:tblGrid>
        <w:gridCol w:w="5957"/>
        <w:gridCol w:w="1981"/>
      </w:tblGrid>
      <w:tr w:rsidR="006D322F" w:rsidRPr="00732891" w:rsidTr="00772C78">
        <w:tc>
          <w:tcPr>
            <w:tcW w:w="7928" w:type="dxa"/>
            <w:gridSpan w:val="2"/>
          </w:tcPr>
          <w:p w:rsidR="006D322F" w:rsidRPr="00732891" w:rsidRDefault="006D322F" w:rsidP="006D322F">
            <w:pPr>
              <w:pStyle w:val="SingleTxtG"/>
              <w:spacing w:before="120"/>
              <w:ind w:left="113" w:right="113"/>
              <w:rPr>
                <w:b/>
                <w:sz w:val="28"/>
              </w:rPr>
            </w:pPr>
            <w:r w:rsidRPr="00732891">
              <w:rPr>
                <w:i/>
              </w:rPr>
              <w:t>Note</w:t>
            </w:r>
            <w:r>
              <w:rPr>
                <w:i/>
              </w:rPr>
              <w:t> </w:t>
            </w:r>
            <w:r w:rsidRPr="00732891">
              <w:t>:</w:t>
            </w:r>
            <w:r w:rsidRPr="00732891">
              <w:tab/>
              <w:t>Les deux exemples de marques d</w:t>
            </w:r>
            <w:r>
              <w:t>’</w:t>
            </w:r>
            <w:r w:rsidRPr="00732891">
              <w:t>homologation</w:t>
            </w:r>
            <w:r>
              <w:t>,</w:t>
            </w:r>
            <w:r w:rsidRPr="00732891">
              <w:t xml:space="preserve"> modèles D et E</w:t>
            </w:r>
            <w:r>
              <w:t>,</w:t>
            </w:r>
            <w:r w:rsidRPr="00732891">
              <w:t xml:space="preserve"> représentent trois variantes possibles du marquage d</w:t>
            </w:r>
            <w:r>
              <w:t>’</w:t>
            </w:r>
            <w:r w:rsidRPr="00732891">
              <w:t>un dispositif d</w:t>
            </w:r>
            <w:r>
              <w:t>’</w:t>
            </w:r>
            <w:r w:rsidRPr="00732891">
              <w:t>éclairage lorsque deux ou plusieurs feux font partie du même ensemble de feux groupés, combinés ou mutuellement incorporés.</w:t>
            </w:r>
          </w:p>
        </w:tc>
      </w:tr>
      <w:tr w:rsidR="006D322F" w:rsidRPr="00732891" w:rsidTr="00772C78">
        <w:tc>
          <w:tcPr>
            <w:tcW w:w="5949" w:type="dxa"/>
          </w:tcPr>
          <w:p w:rsidR="006D322F" w:rsidRPr="00732891" w:rsidRDefault="006D322F" w:rsidP="009D2860">
            <w:r w:rsidRPr="00732891">
              <w:rPr>
                <w:noProof/>
              </w:rPr>
              <w:drawing>
                <wp:inline distT="0" distB="0" distL="0" distR="0" wp14:anchorId="739E6137" wp14:editId="1E047497">
                  <wp:extent cx="3674745" cy="1574733"/>
                  <wp:effectExtent l="0" t="0" r="1905" b="6985"/>
                  <wp:docPr id="6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4"/>
                          <a:stretch/>
                        </pic:blipFill>
                        <pic:spPr bwMode="auto">
                          <a:xfrm>
                            <a:off x="0" y="0"/>
                            <a:ext cx="3698773" cy="1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6D322F" w:rsidRPr="00732891" w:rsidRDefault="006D322F" w:rsidP="009D2860">
            <w:r w:rsidRPr="00732891">
              <w:t>Modèle D</w:t>
            </w:r>
            <w:r w:rsidR="001D3BFC">
              <w:t> </w:t>
            </w:r>
            <w:r w:rsidRPr="00732891">
              <w:t>:</w:t>
            </w:r>
          </w:p>
        </w:tc>
      </w:tr>
      <w:tr w:rsidR="006D322F" w:rsidRPr="00732891" w:rsidTr="00772C78">
        <w:tc>
          <w:tcPr>
            <w:tcW w:w="5949" w:type="dxa"/>
          </w:tcPr>
          <w:p w:rsidR="006D322F" w:rsidRPr="00732891" w:rsidRDefault="006D322F" w:rsidP="009D2860">
            <w:r w:rsidRPr="00732891">
              <w:rPr>
                <w:noProof/>
              </w:rPr>
              <w:drawing>
                <wp:inline distT="0" distB="0" distL="0" distR="0" wp14:anchorId="2BF99734" wp14:editId="212A7145">
                  <wp:extent cx="3631142" cy="1606550"/>
                  <wp:effectExtent l="0" t="0" r="7620" b="0"/>
                  <wp:docPr id="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941" cy="1612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6D322F" w:rsidRPr="00732891" w:rsidRDefault="006D322F" w:rsidP="009D2860">
            <w:r w:rsidRPr="00732891">
              <w:t>Modèle E</w:t>
            </w:r>
            <w:r w:rsidR="001D3BFC">
              <w:t> </w:t>
            </w:r>
            <w:r w:rsidRPr="00732891">
              <w:t>:</w:t>
            </w:r>
          </w:p>
        </w:tc>
      </w:tr>
    </w:tbl>
    <w:p w:rsidR="006D322F" w:rsidRPr="001D3BFC" w:rsidRDefault="006D322F" w:rsidP="001D3BFC">
      <w:pPr>
        <w:pStyle w:val="Titre1"/>
        <w:spacing w:before="240" w:after="120"/>
      </w:pPr>
      <w:r w:rsidRPr="00732891">
        <w:t>Figure A24-III</w:t>
      </w:r>
      <w:r w:rsidR="001D3BFC">
        <w:br/>
      </w:r>
      <w:r w:rsidRPr="00732891">
        <w:rPr>
          <w:b/>
          <w:bCs/>
        </w:rPr>
        <w:t>Exemple de marque d</w:t>
      </w:r>
      <w:r>
        <w:rPr>
          <w:b/>
          <w:bCs/>
        </w:rPr>
        <w:t>’</w:t>
      </w:r>
      <w:r w:rsidRPr="00732891">
        <w:rPr>
          <w:b/>
          <w:bCs/>
        </w:rPr>
        <w:t>homologation pour les matériaux de marquage rétroréfléchissants</w:t>
      </w:r>
    </w:p>
    <w:tbl>
      <w:tblPr>
        <w:tblStyle w:val="Grilledutableau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6D322F" w:rsidRPr="00732891" w:rsidTr="009D2860">
        <w:tc>
          <w:tcPr>
            <w:tcW w:w="7933" w:type="dxa"/>
          </w:tcPr>
          <w:p w:rsidR="006D322F" w:rsidRPr="00732891" w:rsidRDefault="006D322F" w:rsidP="001D3BFC">
            <w:pPr>
              <w:jc w:val="center"/>
            </w:pPr>
            <w:r w:rsidRPr="00732891">
              <w:rPr>
                <w:noProof/>
              </w:rPr>
              <w:drawing>
                <wp:inline distT="0" distB="0" distL="0" distR="0" wp14:anchorId="74483390" wp14:editId="10EF10CE">
                  <wp:extent cx="2974975" cy="247523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322F" w:rsidRPr="00732891" w:rsidRDefault="006D322F" w:rsidP="001D3BFC">
            <w:pPr>
              <w:jc w:val="center"/>
            </w:pPr>
            <w:r w:rsidRPr="00732891">
              <w:rPr>
                <w:sz w:val="22"/>
                <w:szCs w:val="22"/>
              </w:rPr>
              <w:t>Pour a = voir le tableau 1</w:t>
            </w:r>
          </w:p>
        </w:tc>
      </w:tr>
    </w:tbl>
    <w:p w:rsidR="006D322F" w:rsidRDefault="006D322F" w:rsidP="006D322F"/>
    <w:p w:rsidR="006D322F" w:rsidRPr="001D3BFC" w:rsidRDefault="006D322F" w:rsidP="001D3BFC">
      <w:pPr>
        <w:pStyle w:val="Titre1"/>
      </w:pPr>
      <w:r w:rsidRPr="00732891">
        <w:lastRenderedPageBreak/>
        <w:t>Figure A24-IV</w:t>
      </w:r>
      <w:r w:rsidR="001D3BFC">
        <w:br/>
      </w:r>
      <w:r w:rsidRPr="00732891">
        <w:rPr>
          <w:b/>
          <w:bCs/>
        </w:rPr>
        <w:t>Exemple de marque d</w:t>
      </w:r>
      <w:r>
        <w:rPr>
          <w:b/>
          <w:bCs/>
        </w:rPr>
        <w:t>’</w:t>
      </w:r>
      <w:r w:rsidRPr="00732891">
        <w:rPr>
          <w:b/>
          <w:bCs/>
        </w:rPr>
        <w:t xml:space="preserve">homologation pour les plaques de signalisation arrière, y compris </w:t>
      </w:r>
      <w:r w:rsidR="00C72D72">
        <w:rPr>
          <w:b/>
          <w:bCs/>
        </w:rPr>
        <w:br/>
      </w:r>
      <w:r w:rsidRPr="00732891">
        <w:rPr>
          <w:b/>
          <w:bCs/>
        </w:rPr>
        <w:t xml:space="preserve">pour véhicules lents </w:t>
      </w:r>
    </w:p>
    <w:tbl>
      <w:tblPr>
        <w:tblStyle w:val="Grilledutableau"/>
        <w:tblW w:w="7933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6D322F" w:rsidRPr="00732891" w:rsidTr="009D2860">
        <w:tc>
          <w:tcPr>
            <w:tcW w:w="7933" w:type="dxa"/>
          </w:tcPr>
          <w:p w:rsidR="006D322F" w:rsidRPr="00732891" w:rsidRDefault="006D322F" w:rsidP="00C72D72">
            <w:pPr>
              <w:spacing w:after="120"/>
              <w:jc w:val="center"/>
            </w:pPr>
            <w:r w:rsidRPr="00732891">
              <w:rPr>
                <w:noProof/>
              </w:rPr>
              <w:drawing>
                <wp:inline distT="0" distB="0" distL="0" distR="0" wp14:anchorId="3E645B1E" wp14:editId="2B087527">
                  <wp:extent cx="3133725" cy="21463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51"/>
                          <a:stretch/>
                        </pic:blipFill>
                        <pic:spPr bwMode="auto">
                          <a:xfrm>
                            <a:off x="0" y="0"/>
                            <a:ext cx="313372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322F" w:rsidRPr="00732891" w:rsidRDefault="006D322F" w:rsidP="00C72D72">
            <w:pPr>
              <w:spacing w:after="120"/>
              <w:jc w:val="center"/>
            </w:pPr>
            <w:r w:rsidRPr="00732891">
              <w:t>Pour a = voir le tableau 1</w:t>
            </w:r>
          </w:p>
        </w:tc>
      </w:tr>
    </w:tbl>
    <w:p w:rsidR="006D322F" w:rsidRPr="001D3BFC" w:rsidRDefault="006D322F" w:rsidP="001D3BFC">
      <w:pPr>
        <w:pStyle w:val="Titre1"/>
        <w:spacing w:before="240" w:after="120"/>
      </w:pPr>
      <w:r w:rsidRPr="00732891">
        <w:t>Figure A24-V</w:t>
      </w:r>
      <w:r w:rsidR="001D3BFC">
        <w:br/>
      </w:r>
      <w:r w:rsidRPr="00732891">
        <w:rPr>
          <w:b/>
        </w:rPr>
        <w:t>Exemple de marque d</w:t>
      </w:r>
      <w:r>
        <w:rPr>
          <w:b/>
        </w:rPr>
        <w:t>’</w:t>
      </w:r>
      <w:r w:rsidRPr="00732891">
        <w:rPr>
          <w:b/>
        </w:rPr>
        <w:t>homologation pour les triangles de présignalisation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6D322F" w:rsidRPr="00732891" w:rsidTr="009D2860">
        <w:tc>
          <w:tcPr>
            <w:tcW w:w="7938" w:type="dxa"/>
          </w:tcPr>
          <w:p w:rsidR="006D322F" w:rsidRPr="00732891" w:rsidRDefault="006D322F" w:rsidP="00C72D72">
            <w:pPr>
              <w:spacing w:after="120"/>
              <w:jc w:val="center"/>
              <w:rPr>
                <w:noProof/>
              </w:rPr>
            </w:pPr>
            <w:r w:rsidRPr="00732891">
              <w:rPr>
                <w:noProof/>
              </w:rPr>
              <w:drawing>
                <wp:inline distT="0" distB="0" distL="0" distR="0" wp14:anchorId="7E83182E" wp14:editId="064393B3">
                  <wp:extent cx="2974975" cy="21463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46"/>
                          <a:stretch/>
                        </pic:blipFill>
                        <pic:spPr bwMode="auto">
                          <a:xfrm>
                            <a:off x="0" y="0"/>
                            <a:ext cx="297497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322F" w:rsidRPr="00732891" w:rsidRDefault="006D322F" w:rsidP="00C72D72">
            <w:pPr>
              <w:spacing w:after="120"/>
              <w:jc w:val="center"/>
            </w:pPr>
            <w:r w:rsidRPr="00732891">
              <w:rPr>
                <w:noProof/>
                <w:lang w:eastAsia="de-DE"/>
              </w:rPr>
              <w:t>Pour a = voir le tableau 1</w:t>
            </w:r>
          </w:p>
        </w:tc>
      </w:tr>
    </w:tbl>
    <w:p w:rsidR="006D322F" w:rsidRPr="00B80777" w:rsidRDefault="006D322F" w:rsidP="001D3BFC">
      <w:pPr>
        <w:ind w:right="1134"/>
        <w:jc w:val="right"/>
      </w:pPr>
      <w:r w:rsidRPr="00732891">
        <w:rPr>
          <w:i/>
        </w:rPr>
        <w:t>…</w:t>
      </w:r>
      <w:r w:rsidR="001D3BFC">
        <w:rPr>
          <w:i/>
        </w:rPr>
        <w:t> </w:t>
      </w:r>
      <w:r w:rsidR="001D3BFC" w:rsidRPr="001D3BFC">
        <w:t>»</w:t>
      </w:r>
      <w:r>
        <w:t>.</w:t>
      </w:r>
    </w:p>
    <w:p w:rsidR="006D322F" w:rsidRPr="00732891" w:rsidRDefault="006D322F" w:rsidP="001D3BFC">
      <w:pPr>
        <w:pStyle w:val="HChG"/>
      </w:pPr>
      <w:r w:rsidRPr="00732891">
        <w:tab/>
        <w:t>II.</w:t>
      </w:r>
      <w:r w:rsidRPr="00732891">
        <w:tab/>
        <w:t>Justification</w:t>
      </w:r>
    </w:p>
    <w:p w:rsidR="006D322F" w:rsidRPr="00732891" w:rsidRDefault="006D322F" w:rsidP="001D3BFC">
      <w:pPr>
        <w:pStyle w:val="SingleTxtG"/>
      </w:pPr>
      <w:r w:rsidRPr="00732891">
        <w:rPr>
          <w:bCs/>
        </w:rPr>
        <w:t>1.</w:t>
      </w:r>
      <w:r w:rsidRPr="00732891">
        <w:rPr>
          <w:bCs/>
        </w:rPr>
        <w:tab/>
      </w:r>
      <w:r w:rsidR="00C418FE">
        <w:t>L’</w:t>
      </w:r>
      <w:r w:rsidR="00C418FE" w:rsidRPr="00732891">
        <w:t>annexe dont</w:t>
      </w:r>
      <w:r>
        <w:t xml:space="preserve"> il est question ci-dessus </w:t>
      </w:r>
      <w:r w:rsidRPr="00732891">
        <w:t>a été réorganisé</w:t>
      </w:r>
      <w:r>
        <w:t>e</w:t>
      </w:r>
      <w:r w:rsidRPr="00732891">
        <w:t xml:space="preserve"> et simplifié</w:t>
      </w:r>
      <w:r>
        <w:t>e</w:t>
      </w:r>
      <w:r w:rsidRPr="00732891">
        <w:t>, mais son contenu n</w:t>
      </w:r>
      <w:r>
        <w:t>’</w:t>
      </w:r>
      <w:r w:rsidRPr="00732891">
        <w:t>a pas été modifié.</w:t>
      </w:r>
    </w:p>
    <w:p w:rsidR="00F9573C" w:rsidRDefault="006D322F" w:rsidP="001D3BFC">
      <w:pPr>
        <w:pStyle w:val="SingleTxtG"/>
      </w:pPr>
      <w:r w:rsidRPr="00732891">
        <w:t>2.</w:t>
      </w:r>
      <w:r w:rsidRPr="00732891">
        <w:tab/>
        <w:t xml:space="preserve">Les figures ont été corrigées pour </w:t>
      </w:r>
      <w:r w:rsidR="0086575C" w:rsidRPr="00732891">
        <w:t>y présenter</w:t>
      </w:r>
      <w:r>
        <w:t xml:space="preserve"> </w:t>
      </w:r>
      <w:r w:rsidRPr="00732891">
        <w:t>des exemples des marques d</w:t>
      </w:r>
      <w:r>
        <w:t>’</w:t>
      </w:r>
      <w:r w:rsidRPr="00732891">
        <w:t>homologation qui peuvent être apposées conformément aux nouveaux Règlements de l</w:t>
      </w:r>
      <w:r>
        <w:t>’</w:t>
      </w:r>
      <w:r w:rsidRPr="00732891">
        <w:t>ONU. La référence à la valeur de « a </w:t>
      </w:r>
      <w:r w:rsidR="0086575C" w:rsidRPr="00732891">
        <w:t>» a</w:t>
      </w:r>
      <w:r w:rsidRPr="00732891">
        <w:t xml:space="preserve"> été corrigée afin de renvoyer au tableau</w:t>
      </w:r>
      <w:r w:rsidR="001D3BFC">
        <w:t> </w:t>
      </w:r>
      <w:r w:rsidRPr="00732891">
        <w:t>1</w:t>
      </w:r>
      <w:r>
        <w:t>,</w:t>
      </w:r>
      <w:r w:rsidRPr="00732891">
        <w:t xml:space="preserve"> plutôt qu</w:t>
      </w:r>
      <w:r>
        <w:t>’</w:t>
      </w:r>
      <w:r w:rsidRPr="00732891">
        <w:t>au tableau</w:t>
      </w:r>
      <w:r w:rsidR="001D3BFC">
        <w:t> </w:t>
      </w:r>
      <w:r w:rsidRPr="00732891">
        <w:t>2.</w:t>
      </w:r>
    </w:p>
    <w:p w:rsidR="006D322F" w:rsidRPr="006D322F" w:rsidRDefault="006D322F" w:rsidP="006D32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322F" w:rsidRPr="006D322F" w:rsidSect="00DA0C1E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14" w:rsidRDefault="00723714" w:rsidP="00F95C08">
      <w:pPr>
        <w:spacing w:line="240" w:lineRule="auto"/>
      </w:pPr>
    </w:p>
  </w:endnote>
  <w:endnote w:type="continuationSeparator" w:id="0">
    <w:p w:rsidR="00723714" w:rsidRPr="00AC3823" w:rsidRDefault="00723714" w:rsidP="00AC3823">
      <w:pPr>
        <w:pStyle w:val="Pieddepage"/>
      </w:pPr>
    </w:p>
  </w:endnote>
  <w:endnote w:type="continuationNotice" w:id="1">
    <w:p w:rsidR="00723714" w:rsidRDefault="007237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1E" w:rsidRPr="00DA0C1E" w:rsidRDefault="00DA0C1E" w:rsidP="00DA0C1E">
    <w:pPr>
      <w:pStyle w:val="Pieddepage"/>
      <w:tabs>
        <w:tab w:val="right" w:pos="9638"/>
      </w:tabs>
    </w:pPr>
    <w:r w:rsidRPr="00DA0C1E">
      <w:rPr>
        <w:b/>
        <w:sz w:val="18"/>
      </w:rPr>
      <w:fldChar w:fldCharType="begin"/>
    </w:r>
    <w:r w:rsidRPr="00DA0C1E">
      <w:rPr>
        <w:b/>
        <w:sz w:val="18"/>
      </w:rPr>
      <w:instrText xml:space="preserve"> PAGE  \* MERGEFORMAT </w:instrText>
    </w:r>
    <w:r w:rsidRPr="00DA0C1E">
      <w:rPr>
        <w:b/>
        <w:sz w:val="18"/>
      </w:rPr>
      <w:fldChar w:fldCharType="separate"/>
    </w:r>
    <w:r w:rsidRPr="00DA0C1E">
      <w:rPr>
        <w:b/>
        <w:noProof/>
        <w:sz w:val="18"/>
      </w:rPr>
      <w:t>2</w:t>
    </w:r>
    <w:r w:rsidRPr="00DA0C1E">
      <w:rPr>
        <w:b/>
        <w:sz w:val="18"/>
      </w:rPr>
      <w:fldChar w:fldCharType="end"/>
    </w:r>
    <w:r>
      <w:rPr>
        <w:b/>
        <w:sz w:val="18"/>
      </w:rPr>
      <w:tab/>
    </w:r>
    <w:r>
      <w:t>GE.20-01828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1E" w:rsidRPr="00DA0C1E" w:rsidRDefault="00DA0C1E" w:rsidP="00DA0C1E">
    <w:pPr>
      <w:pStyle w:val="Pieddepage"/>
      <w:tabs>
        <w:tab w:val="right" w:pos="9638"/>
      </w:tabs>
      <w:rPr>
        <w:b/>
        <w:sz w:val="18"/>
      </w:rPr>
    </w:pPr>
    <w:r>
      <w:t>GE.20-01828</w:t>
    </w:r>
    <w:r>
      <w:tab/>
    </w:r>
    <w:r w:rsidRPr="00DA0C1E">
      <w:rPr>
        <w:b/>
        <w:sz w:val="18"/>
      </w:rPr>
      <w:fldChar w:fldCharType="begin"/>
    </w:r>
    <w:r w:rsidRPr="00DA0C1E">
      <w:rPr>
        <w:b/>
        <w:sz w:val="18"/>
      </w:rPr>
      <w:instrText xml:space="preserve"> PAGE  \* MERGEFORMAT </w:instrText>
    </w:r>
    <w:r w:rsidRPr="00DA0C1E">
      <w:rPr>
        <w:b/>
        <w:sz w:val="18"/>
      </w:rPr>
      <w:fldChar w:fldCharType="separate"/>
    </w:r>
    <w:r w:rsidRPr="00DA0C1E">
      <w:rPr>
        <w:b/>
        <w:noProof/>
        <w:sz w:val="18"/>
      </w:rPr>
      <w:t>3</w:t>
    </w:r>
    <w:r w:rsidRPr="00DA0C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A0C1E" w:rsidRDefault="00DA0C1E" w:rsidP="00DA0C1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20-01828  (F)</w:t>
    </w:r>
    <w:r w:rsidR="006D322F">
      <w:rPr>
        <w:sz w:val="20"/>
      </w:rPr>
      <w:t xml:space="preserve">    030320    030320</w:t>
    </w:r>
    <w:r>
      <w:rPr>
        <w:sz w:val="20"/>
      </w:rPr>
      <w:br/>
    </w:r>
    <w:r w:rsidRPr="00DA0C1E">
      <w:rPr>
        <w:rFonts w:ascii="C39T30Lfz" w:hAnsi="C39T30Lfz"/>
        <w:sz w:val="56"/>
      </w:rPr>
      <w:t></w:t>
    </w:r>
    <w:r w:rsidRPr="00DA0C1E">
      <w:rPr>
        <w:rFonts w:ascii="C39T30Lfz" w:hAnsi="C39T30Lfz"/>
        <w:sz w:val="56"/>
      </w:rPr>
      <w:t></w:t>
    </w:r>
    <w:r w:rsidRPr="00DA0C1E">
      <w:rPr>
        <w:rFonts w:ascii="C39T30Lfz" w:hAnsi="C39T30Lfz"/>
        <w:sz w:val="56"/>
      </w:rPr>
      <w:t></w:t>
    </w:r>
    <w:r w:rsidRPr="00DA0C1E">
      <w:rPr>
        <w:rFonts w:ascii="C39T30Lfz" w:hAnsi="C39T30Lfz"/>
        <w:sz w:val="56"/>
      </w:rPr>
      <w:t></w:t>
    </w:r>
    <w:r w:rsidRPr="00DA0C1E">
      <w:rPr>
        <w:rFonts w:ascii="C39T30Lfz" w:hAnsi="C39T30Lfz"/>
        <w:sz w:val="56"/>
      </w:rPr>
      <w:t></w:t>
    </w:r>
    <w:r w:rsidRPr="00DA0C1E">
      <w:rPr>
        <w:rFonts w:ascii="C39T30Lfz" w:hAnsi="C39T30Lfz"/>
        <w:sz w:val="56"/>
      </w:rPr>
      <w:t></w:t>
    </w:r>
    <w:r w:rsidRPr="00DA0C1E">
      <w:rPr>
        <w:rFonts w:ascii="C39T30Lfz" w:hAnsi="C39T30Lfz"/>
        <w:sz w:val="56"/>
      </w:rPr>
      <w:t></w:t>
    </w:r>
    <w:r w:rsidRPr="00DA0C1E">
      <w:rPr>
        <w:rFonts w:ascii="C39T30Lfz" w:hAnsi="C39T30Lfz"/>
        <w:sz w:val="56"/>
      </w:rPr>
      <w:t></w:t>
    </w:r>
    <w:r w:rsidRPr="00DA0C1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20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14" w:rsidRPr="00AC3823" w:rsidRDefault="007237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3714" w:rsidRPr="00AC3823" w:rsidRDefault="0072371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3714" w:rsidRPr="00AC3823" w:rsidRDefault="00723714">
      <w:pPr>
        <w:spacing w:line="240" w:lineRule="auto"/>
        <w:rPr>
          <w:sz w:val="2"/>
          <w:szCs w:val="2"/>
        </w:rPr>
      </w:pPr>
    </w:p>
  </w:footnote>
  <w:footnote w:id="2">
    <w:p w:rsidR="006D322F" w:rsidRPr="006D322F" w:rsidRDefault="006D322F">
      <w:pPr>
        <w:pStyle w:val="Notedebasdepage"/>
      </w:pPr>
      <w:r>
        <w:rPr>
          <w:rStyle w:val="Appelnotedebasdep"/>
        </w:rPr>
        <w:tab/>
      </w:r>
      <w:r w:rsidRPr="006D322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637D30">
        <w:t>Conformément au programme de travail du Comité des transports intérieurs pour 2020 tel qu’il figure dans le projet de budget-programme pour 2020 (A/74/6 (titre V, chap.</w:t>
      </w:r>
      <w:r>
        <w:t> </w:t>
      </w:r>
      <w:r w:rsidRPr="00637D30">
        <w:t>20), par.</w:t>
      </w:r>
      <w:r>
        <w:t> </w:t>
      </w:r>
      <w:r w:rsidRPr="00637D30">
        <w:t>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1E" w:rsidRPr="00DA0C1E" w:rsidRDefault="00DA0C1E">
    <w:pPr>
      <w:pStyle w:val="En-tte"/>
    </w:pPr>
    <w:fldSimple w:instr=" TITLE  \* MERGEFORMAT ">
      <w:r w:rsidR="00E208C6">
        <w:t>ECE/TRANS/WP.29/GRE/2020/12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1E" w:rsidRPr="00DA0C1E" w:rsidRDefault="00DA0C1E" w:rsidP="00DA0C1E">
    <w:pPr>
      <w:pStyle w:val="En-tte"/>
      <w:jc w:val="right"/>
    </w:pPr>
    <w:fldSimple w:instr=" TITLE  \* MERGEFORMAT ">
      <w:r w:rsidR="00E208C6">
        <w:t>ECE/TRANS/WP.29/GRE/2020/12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714"/>
    <w:rsid w:val="00017F94"/>
    <w:rsid w:val="00023842"/>
    <w:rsid w:val="00030827"/>
    <w:rsid w:val="000334F9"/>
    <w:rsid w:val="00045FEB"/>
    <w:rsid w:val="0007796D"/>
    <w:rsid w:val="000B7790"/>
    <w:rsid w:val="00111F2F"/>
    <w:rsid w:val="0014365E"/>
    <w:rsid w:val="00143C66"/>
    <w:rsid w:val="00176178"/>
    <w:rsid w:val="001D3BF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53A4A"/>
    <w:rsid w:val="00573BE5"/>
    <w:rsid w:val="00586ED3"/>
    <w:rsid w:val="00596AA9"/>
    <w:rsid w:val="006D322F"/>
    <w:rsid w:val="0071601D"/>
    <w:rsid w:val="00723714"/>
    <w:rsid w:val="00772C78"/>
    <w:rsid w:val="007A62E6"/>
    <w:rsid w:val="007F20FA"/>
    <w:rsid w:val="0080684C"/>
    <w:rsid w:val="0086575C"/>
    <w:rsid w:val="00871C75"/>
    <w:rsid w:val="008776DC"/>
    <w:rsid w:val="009446C0"/>
    <w:rsid w:val="009705C8"/>
    <w:rsid w:val="009C1CF4"/>
    <w:rsid w:val="009F6B74"/>
    <w:rsid w:val="00A3029F"/>
    <w:rsid w:val="00A30353"/>
    <w:rsid w:val="00A60377"/>
    <w:rsid w:val="00AC3823"/>
    <w:rsid w:val="00AE323C"/>
    <w:rsid w:val="00AF0CB5"/>
    <w:rsid w:val="00AF7261"/>
    <w:rsid w:val="00B00181"/>
    <w:rsid w:val="00B00B0D"/>
    <w:rsid w:val="00B45F2E"/>
    <w:rsid w:val="00B765F7"/>
    <w:rsid w:val="00BA0CA9"/>
    <w:rsid w:val="00C02897"/>
    <w:rsid w:val="00C418FE"/>
    <w:rsid w:val="00C51487"/>
    <w:rsid w:val="00C72D72"/>
    <w:rsid w:val="00C97039"/>
    <w:rsid w:val="00D3439C"/>
    <w:rsid w:val="00DA0C1E"/>
    <w:rsid w:val="00DB1831"/>
    <w:rsid w:val="00DD3BFD"/>
    <w:rsid w:val="00DF6678"/>
    <w:rsid w:val="00E0299A"/>
    <w:rsid w:val="00E208C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DDED49"/>
  <w15:docId w15:val="{7272348D-3F13-46CC-8AFE-DE99600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456</Words>
  <Characters>3198</Characters>
  <Application>Microsoft Office Word</Application>
  <DocSecurity>0</DocSecurity>
  <Lines>266</Lines>
  <Paragraphs>146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ECE/TRANS/WP.29/GRE/2020/12</vt:lpstr>
    </vt:vector>
  </TitlesOfParts>
  <Company>DCM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ECE/TRANS/WP.29/GRE/2020/12</dc:title>
  <dc:subject/>
  <dc:creator>Valerie BERTIN</dc:creator>
  <cp:keywords/>
  <cp:lastModifiedBy>Valerie Bertin</cp:lastModifiedBy>
  <cp:revision>2</cp:revision>
  <cp:lastPrinted>2020-03-03T10:00:00Z</cp:lastPrinted>
  <dcterms:created xsi:type="dcterms:W3CDTF">2020-03-03T10:29:00Z</dcterms:created>
  <dcterms:modified xsi:type="dcterms:W3CDTF">2020-03-03T10:29:00Z</dcterms:modified>
</cp:coreProperties>
</file>