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5F33E4" w14:paraId="7DD30DAB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CB016D5" w14:textId="77777777" w:rsidR="002D5AAC" w:rsidRDefault="002D5AAC" w:rsidP="000032CE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A68A94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C3379C4" w14:textId="77777777" w:rsidR="002D5AAC" w:rsidRPr="005E3C80" w:rsidRDefault="000032CE" w:rsidP="005E3C80">
            <w:pPr>
              <w:jc w:val="right"/>
              <w:rPr>
                <w:lang w:val="en-US"/>
              </w:rPr>
            </w:pPr>
            <w:r w:rsidRPr="005E3C80">
              <w:rPr>
                <w:sz w:val="40"/>
                <w:lang w:val="en-US"/>
              </w:rPr>
              <w:t>ECE</w:t>
            </w:r>
            <w:r w:rsidRPr="005E3C80">
              <w:rPr>
                <w:lang w:val="en-US"/>
              </w:rPr>
              <w:t>/TRANS/WP.29/GRE/20</w:t>
            </w:r>
            <w:r w:rsidR="009A4692" w:rsidRPr="009A4692">
              <w:rPr>
                <w:lang w:val="en-US"/>
              </w:rPr>
              <w:t>20</w:t>
            </w:r>
            <w:r w:rsidRPr="005E3C80">
              <w:rPr>
                <w:lang w:val="en-US"/>
              </w:rPr>
              <w:t>/</w:t>
            </w:r>
            <w:r w:rsidR="001C5058">
              <w:rPr>
                <w:lang w:val="en-US"/>
              </w:rPr>
              <w:t>3</w:t>
            </w:r>
          </w:p>
        </w:tc>
      </w:tr>
      <w:tr w:rsidR="002D5AAC" w:rsidRPr="00CE777E" w14:paraId="06511058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4C0658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741BFA9" wp14:editId="3062BC4B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40421E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D9521F6" w14:textId="77777777" w:rsidR="002D5AAC" w:rsidRDefault="000032CE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D44B70E" w14:textId="77777777" w:rsidR="000032CE" w:rsidRDefault="006332FB" w:rsidP="00003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0032CE">
              <w:rPr>
                <w:lang w:val="en-US"/>
              </w:rPr>
              <w:t xml:space="preserve"> </w:t>
            </w:r>
            <w:r w:rsidR="001C5058">
              <w:rPr>
                <w:lang w:val="en-US"/>
              </w:rPr>
              <w:t xml:space="preserve">February </w:t>
            </w:r>
            <w:r w:rsidR="000032CE">
              <w:rPr>
                <w:lang w:val="en-US"/>
              </w:rPr>
              <w:t>20</w:t>
            </w:r>
            <w:r w:rsidR="006A6632">
              <w:rPr>
                <w:lang w:val="en-US"/>
              </w:rPr>
              <w:t>20</w:t>
            </w:r>
          </w:p>
          <w:p w14:paraId="602F6202" w14:textId="77777777" w:rsidR="000032CE" w:rsidRDefault="000032CE" w:rsidP="00003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4CFE356" w14:textId="77777777" w:rsidR="000032CE" w:rsidRPr="008D53B6" w:rsidRDefault="000032CE" w:rsidP="000032CE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9759D6">
              <w:rPr>
                <w:lang w:val="en-US"/>
              </w:rPr>
              <w:t xml:space="preserve"> </w:t>
            </w:r>
            <w:r w:rsidR="001C5058">
              <w:rPr>
                <w:lang w:val="en-US"/>
              </w:rPr>
              <w:t xml:space="preserve">English and </w:t>
            </w:r>
            <w:r w:rsidR="009759D6">
              <w:rPr>
                <w:lang w:val="en-US"/>
              </w:rPr>
              <w:t>Russian</w:t>
            </w:r>
          </w:p>
        </w:tc>
      </w:tr>
    </w:tbl>
    <w:p w14:paraId="6EECB8FD" w14:textId="77777777" w:rsidR="000032CE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A81A485" w14:textId="77777777" w:rsidR="000032CE" w:rsidRPr="000032CE" w:rsidRDefault="000032CE" w:rsidP="000032CE">
      <w:pPr>
        <w:pStyle w:val="SingleTxtG"/>
        <w:spacing w:before="120"/>
        <w:ind w:left="0"/>
        <w:jc w:val="left"/>
        <w:rPr>
          <w:sz w:val="28"/>
          <w:szCs w:val="28"/>
        </w:rPr>
      </w:pPr>
      <w:r w:rsidRPr="000032CE">
        <w:rPr>
          <w:sz w:val="28"/>
          <w:szCs w:val="28"/>
        </w:rPr>
        <w:t>Комитет по внутреннему транспорту</w:t>
      </w:r>
    </w:p>
    <w:p w14:paraId="2A91374B" w14:textId="77777777" w:rsidR="000032CE" w:rsidRPr="000032CE" w:rsidRDefault="000032CE" w:rsidP="000032CE">
      <w:pPr>
        <w:pStyle w:val="SingleTxtG"/>
        <w:ind w:left="0"/>
        <w:jc w:val="left"/>
        <w:rPr>
          <w:b/>
          <w:sz w:val="24"/>
          <w:szCs w:val="24"/>
        </w:rPr>
      </w:pPr>
      <w:r w:rsidRPr="000032CE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0032CE">
        <w:rPr>
          <w:b/>
          <w:bCs/>
          <w:sz w:val="24"/>
          <w:szCs w:val="24"/>
        </w:rPr>
        <w:t>в области транспортных средств</w:t>
      </w:r>
    </w:p>
    <w:p w14:paraId="2002FBD5" w14:textId="77777777" w:rsidR="000032CE" w:rsidRPr="000032CE" w:rsidRDefault="000032CE" w:rsidP="000032CE">
      <w:pPr>
        <w:pStyle w:val="SingleTxtG"/>
        <w:ind w:left="0"/>
        <w:jc w:val="left"/>
        <w:rPr>
          <w:b/>
          <w:bCs/>
        </w:rPr>
      </w:pPr>
      <w:r w:rsidRPr="000032CE">
        <w:rPr>
          <w:b/>
          <w:bCs/>
        </w:rPr>
        <w:t xml:space="preserve">Рабочая группа по вопросам освещения </w:t>
      </w:r>
      <w:r>
        <w:rPr>
          <w:b/>
          <w:bCs/>
        </w:rPr>
        <w:br/>
      </w:r>
      <w:r w:rsidRPr="000032CE">
        <w:rPr>
          <w:b/>
          <w:bCs/>
        </w:rPr>
        <w:t>и световой сигнализации</w:t>
      </w:r>
      <w:bookmarkStart w:id="0" w:name="_GoBack"/>
      <w:bookmarkEnd w:id="0"/>
    </w:p>
    <w:p w14:paraId="2D83EE13" w14:textId="77777777" w:rsidR="000032CE" w:rsidRPr="000032CE" w:rsidRDefault="000032CE" w:rsidP="000032CE">
      <w:pPr>
        <w:pStyle w:val="SingleTxtG"/>
        <w:spacing w:after="0"/>
        <w:ind w:left="0"/>
        <w:jc w:val="left"/>
        <w:rPr>
          <w:b/>
        </w:rPr>
      </w:pPr>
      <w:r w:rsidRPr="000032CE">
        <w:rPr>
          <w:b/>
          <w:bCs/>
        </w:rPr>
        <w:t xml:space="preserve">Восемьдесят </w:t>
      </w:r>
      <w:r w:rsidR="0043328F">
        <w:rPr>
          <w:b/>
          <w:bCs/>
        </w:rPr>
        <w:t>третья</w:t>
      </w:r>
      <w:r w:rsidRPr="000032CE">
        <w:rPr>
          <w:b/>
          <w:bCs/>
        </w:rPr>
        <w:t xml:space="preserve"> сессия</w:t>
      </w:r>
    </w:p>
    <w:p w14:paraId="3951249F" w14:textId="77777777" w:rsidR="000032CE" w:rsidRPr="000032CE" w:rsidRDefault="009759D6" w:rsidP="000032CE">
      <w:pPr>
        <w:pStyle w:val="SingleTxtG"/>
        <w:spacing w:after="0"/>
        <w:ind w:left="0"/>
        <w:jc w:val="left"/>
      </w:pPr>
      <w:r>
        <w:t xml:space="preserve">Женева, </w:t>
      </w:r>
      <w:r w:rsidR="00E564B4">
        <w:t>21</w:t>
      </w:r>
      <w:r>
        <w:t>–</w:t>
      </w:r>
      <w:r w:rsidR="00E564B4">
        <w:t>24</w:t>
      </w:r>
      <w:r>
        <w:t xml:space="preserve"> </w:t>
      </w:r>
      <w:r w:rsidR="00E564B4">
        <w:t>апреля</w:t>
      </w:r>
      <w:r w:rsidR="000032CE" w:rsidRPr="000032CE">
        <w:t xml:space="preserve"> 20</w:t>
      </w:r>
      <w:r w:rsidR="00E564B4">
        <w:t>20</w:t>
      </w:r>
      <w:r w:rsidR="000032CE" w:rsidRPr="000032CE">
        <w:t xml:space="preserve"> года</w:t>
      </w:r>
    </w:p>
    <w:p w14:paraId="78F6B9CE" w14:textId="77777777" w:rsidR="000032CE" w:rsidRPr="000032CE" w:rsidRDefault="000032CE" w:rsidP="000032CE">
      <w:pPr>
        <w:pStyle w:val="SingleTxtG"/>
        <w:spacing w:after="0"/>
        <w:ind w:left="0"/>
        <w:jc w:val="left"/>
        <w:rPr>
          <w:bCs/>
        </w:rPr>
      </w:pPr>
      <w:r w:rsidRPr="0097295F">
        <w:t xml:space="preserve">Пункт 6 </w:t>
      </w:r>
      <w:r w:rsidR="001C5058">
        <w:t xml:space="preserve">а) </w:t>
      </w:r>
      <w:r w:rsidRPr="0097295F">
        <w:t>предварительной повестки дня</w:t>
      </w:r>
    </w:p>
    <w:p w14:paraId="2C431012" w14:textId="77777777" w:rsidR="000032CE" w:rsidRPr="000032CE" w:rsidRDefault="000032CE" w:rsidP="000032CE">
      <w:pPr>
        <w:pStyle w:val="SingleTxtG"/>
        <w:spacing w:after="0"/>
        <w:ind w:left="0"/>
        <w:jc w:val="left"/>
        <w:rPr>
          <w:b/>
          <w:bCs/>
        </w:rPr>
      </w:pPr>
      <w:r w:rsidRPr="000032CE">
        <w:rPr>
          <w:b/>
          <w:bCs/>
        </w:rPr>
        <w:t>Правила № 48 ООН (установка устройств освещения и световой сигнализации):</w:t>
      </w:r>
    </w:p>
    <w:p w14:paraId="23CC3C50" w14:textId="77777777" w:rsidR="000032CE" w:rsidRPr="000032CE" w:rsidRDefault="001C5058" w:rsidP="001C5058">
      <w:pPr>
        <w:pStyle w:val="SingleTxtG"/>
        <w:spacing w:after="0"/>
        <w:ind w:left="0"/>
        <w:jc w:val="left"/>
        <w:rPr>
          <w:b/>
          <w:bCs/>
        </w:rPr>
      </w:pPr>
      <w:r>
        <w:rPr>
          <w:b/>
          <w:bCs/>
        </w:rPr>
        <w:t>П</w:t>
      </w:r>
      <w:r w:rsidR="000032CE" w:rsidRPr="000032CE">
        <w:rPr>
          <w:b/>
          <w:bCs/>
        </w:rPr>
        <w:t>редложения по поправкам</w:t>
      </w:r>
      <w:r>
        <w:rPr>
          <w:b/>
          <w:bCs/>
        </w:rPr>
        <w:t xml:space="preserve"> к поправкам серий 05 и 06</w:t>
      </w:r>
      <w:r w:rsidR="000032CE" w:rsidRPr="000032CE">
        <w:rPr>
          <w:b/>
          <w:bCs/>
        </w:rPr>
        <w:t xml:space="preserve"> </w:t>
      </w:r>
    </w:p>
    <w:p w14:paraId="6D327E42" w14:textId="77777777" w:rsidR="000032CE" w:rsidRPr="000032CE" w:rsidRDefault="000032CE" w:rsidP="000032CE">
      <w:pPr>
        <w:pStyle w:val="HChG"/>
      </w:pPr>
      <w:r w:rsidRPr="000032CE">
        <w:tab/>
      </w:r>
      <w:r w:rsidRPr="000032CE">
        <w:tab/>
        <w:t>Предложение</w:t>
      </w:r>
      <w:r w:rsidR="0097295F">
        <w:t xml:space="preserve"> по </w:t>
      </w:r>
      <w:r w:rsidR="001C5058">
        <w:t xml:space="preserve">поправке </w:t>
      </w:r>
      <w:r w:rsidR="0097295F">
        <w:t>к поправкам серий</w:t>
      </w:r>
      <w:r w:rsidRPr="000032CE">
        <w:t xml:space="preserve"> 0</w:t>
      </w:r>
      <w:r w:rsidR="009759D6">
        <w:t>4, 05 и 06</w:t>
      </w:r>
      <w:r w:rsidRPr="000032CE">
        <w:t xml:space="preserve"> к</w:t>
      </w:r>
      <w:r>
        <w:rPr>
          <w:lang w:val="en-US"/>
        </w:rPr>
        <w:t> </w:t>
      </w:r>
      <w:r w:rsidRPr="000032CE">
        <w:t xml:space="preserve">Правилам № 48 ООН (установка устройств освещения и световой сигнализации) </w:t>
      </w:r>
    </w:p>
    <w:p w14:paraId="4522A8D5" w14:textId="77777777" w:rsidR="000032CE" w:rsidRPr="000032CE" w:rsidRDefault="000032CE" w:rsidP="000032CE">
      <w:pPr>
        <w:pStyle w:val="H1G"/>
      </w:pPr>
      <w:r>
        <w:tab/>
      </w:r>
      <w:r>
        <w:tab/>
      </w:r>
      <w:r w:rsidRPr="000032CE">
        <w:t xml:space="preserve">Представлено экспертом от </w:t>
      </w:r>
      <w:r w:rsidR="00AD78DD">
        <w:t>Российской Федерации</w:t>
      </w:r>
      <w:r w:rsidRPr="000032CE">
        <w:rPr>
          <w:b w:val="0"/>
          <w:sz w:val="20"/>
        </w:rPr>
        <w:footnoteReference w:customMarkFollows="1" w:id="1"/>
        <w:t>*</w:t>
      </w:r>
      <w:r w:rsidRPr="000032CE">
        <w:t xml:space="preserve"> </w:t>
      </w:r>
    </w:p>
    <w:p w14:paraId="5DB3BAC9" w14:textId="77777777" w:rsidR="000032CE" w:rsidRDefault="00C11CD3" w:rsidP="000032CE">
      <w:pPr>
        <w:pStyle w:val="SingleTxtG"/>
      </w:pPr>
      <w:r>
        <w:tab/>
      </w:r>
      <w:r>
        <w:tab/>
      </w:r>
      <w:r w:rsidR="000032CE" w:rsidRPr="000032CE">
        <w:t xml:space="preserve">Воспроизведенный ниже текст был подготовлен экспертом от </w:t>
      </w:r>
      <w:r w:rsidR="009759D6">
        <w:t>Росс</w:t>
      </w:r>
      <w:r w:rsidR="00AD78DD">
        <w:t>ийской Федерации</w:t>
      </w:r>
      <w:r w:rsidR="000032CE" w:rsidRPr="000032CE">
        <w:t xml:space="preserve"> с целью уточнить требования </w:t>
      </w:r>
      <w:r w:rsidR="00AD78DD">
        <w:t xml:space="preserve">по </w:t>
      </w:r>
      <w:r w:rsidR="009759D6">
        <w:t>высоте установки</w:t>
      </w:r>
      <w:r w:rsidR="000032CE" w:rsidRPr="000032CE">
        <w:t xml:space="preserve"> </w:t>
      </w:r>
      <w:r w:rsidR="00527696">
        <w:rPr>
          <w:color w:val="000000"/>
        </w:rPr>
        <w:t>фар</w:t>
      </w:r>
      <w:r w:rsidR="009E1D7C">
        <w:rPr>
          <w:color w:val="000000"/>
        </w:rPr>
        <w:t>ы</w:t>
      </w:r>
      <w:r w:rsidR="00527696">
        <w:rPr>
          <w:color w:val="000000"/>
        </w:rPr>
        <w:t xml:space="preserve"> ближнего света, задней фары и заднего противотуманного огня</w:t>
      </w:r>
      <w:r w:rsidR="00AD78DD">
        <w:t xml:space="preserve"> для транспортных средств категорий </w:t>
      </w:r>
      <w:r w:rsidR="00AD78DD">
        <w:rPr>
          <w:lang w:val="en-US"/>
        </w:rPr>
        <w:t>G</w:t>
      </w:r>
      <w:r w:rsidR="00527696">
        <w:t xml:space="preserve"> (повышенной проходимости)</w:t>
      </w:r>
      <w:r w:rsidR="000032CE" w:rsidRPr="000032CE">
        <w:t xml:space="preserve">. </w:t>
      </w:r>
      <w:r w:rsidR="00CE4FA3" w:rsidRPr="00735077">
        <w:t xml:space="preserve">Изменения к действующему тексту </w:t>
      </w:r>
      <w:r w:rsidR="005F33E4">
        <w:t>П</w:t>
      </w:r>
      <w:r w:rsidR="00CE4FA3" w:rsidRPr="00735077">
        <w:t>равил ООН выделены жирным шрифтом в случае новых положений или зачеркиванием в случае исключенных элементов.</w:t>
      </w:r>
    </w:p>
    <w:p w14:paraId="53118ED4" w14:textId="77777777" w:rsidR="00C11CD3" w:rsidRDefault="00C11CD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63A144BD" w14:textId="77777777" w:rsidR="000032CE" w:rsidRPr="000032CE" w:rsidRDefault="000032CE" w:rsidP="000032CE">
      <w:pPr>
        <w:pStyle w:val="HChG"/>
      </w:pPr>
      <w:r>
        <w:lastRenderedPageBreak/>
        <w:tab/>
      </w:r>
      <w:r w:rsidRPr="000032CE">
        <w:t>I.</w:t>
      </w:r>
      <w:r w:rsidRPr="000032CE">
        <w:tab/>
        <w:t>Предложение</w:t>
      </w:r>
    </w:p>
    <w:p w14:paraId="3CD6EBD0" w14:textId="77777777" w:rsidR="000032CE" w:rsidRPr="00655F1B" w:rsidRDefault="00655F1B" w:rsidP="000032CE">
      <w:pPr>
        <w:pStyle w:val="SingleTxtG"/>
        <w:rPr>
          <w:i/>
        </w:rPr>
      </w:pPr>
      <w:r w:rsidRPr="00655F1B">
        <w:rPr>
          <w:i/>
        </w:rPr>
        <w:t>Пункт 6.2.4.2</w:t>
      </w:r>
      <w:r w:rsidRPr="00655F1B">
        <w:t xml:space="preserve"> изменить следующим образом:</w:t>
      </w:r>
    </w:p>
    <w:p w14:paraId="1C216CA5" w14:textId="77777777" w:rsidR="00655F1B" w:rsidRDefault="000032CE" w:rsidP="00655F1B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t>«</w:t>
      </w:r>
      <w:r w:rsidR="00655F1B" w:rsidRPr="00A408EE">
        <w:t>6.2.4.2</w:t>
      </w:r>
      <w:r w:rsidRPr="000032CE">
        <w:tab/>
      </w:r>
      <w:r w:rsidR="00655F1B" w:rsidRPr="00A408EE">
        <w:rPr>
          <w:color w:val="000000"/>
        </w:rPr>
        <w:t xml:space="preserve">По высоте: не менее 500 мм и не более 1 200 мм над уровнем грунта. Для транспортных средств категории </w:t>
      </w:r>
      <w:r w:rsidR="00655F1B" w:rsidRPr="00DD5CFA">
        <w:rPr>
          <w:b/>
          <w:color w:val="000000"/>
          <w:lang w:val="en-US"/>
        </w:rPr>
        <w:t>N</w:t>
      </w:r>
      <w:r w:rsidR="00655F1B" w:rsidRPr="007A55CE">
        <w:rPr>
          <w:b/>
          <w:color w:val="000000"/>
          <w:vertAlign w:val="subscript"/>
        </w:rPr>
        <w:t>2</w:t>
      </w:r>
      <w:r w:rsidR="00655F1B" w:rsidRPr="00A408EE">
        <w:rPr>
          <w:b/>
          <w:color w:val="000000"/>
          <w:lang w:val="en-US"/>
        </w:rPr>
        <w:t>G</w:t>
      </w:r>
      <w:r w:rsidR="00655F1B" w:rsidRPr="00DD5CFA">
        <w:rPr>
          <w:b/>
          <w:color w:val="000000"/>
        </w:rPr>
        <w:t xml:space="preserve">, </w:t>
      </w:r>
      <w:r w:rsidR="00655F1B" w:rsidRPr="00CE4FA3">
        <w:rPr>
          <w:color w:val="000000"/>
          <w:lang w:val="en-US"/>
        </w:rPr>
        <w:t>N</w:t>
      </w:r>
      <w:r w:rsidR="00655F1B" w:rsidRPr="007A55CE">
        <w:rPr>
          <w:color w:val="000000"/>
          <w:vertAlign w:val="subscript"/>
        </w:rPr>
        <w:t>3</w:t>
      </w:r>
      <w:r w:rsidR="00655F1B" w:rsidRPr="00CE4FA3">
        <w:rPr>
          <w:color w:val="000000"/>
          <w:lang w:val="en-US"/>
        </w:rPr>
        <w:t>G</w:t>
      </w:r>
      <w:r w:rsidR="00655F1B" w:rsidRPr="00DD5CFA">
        <w:rPr>
          <w:b/>
          <w:color w:val="000000"/>
        </w:rPr>
        <w:t xml:space="preserve">, </w:t>
      </w:r>
      <w:r w:rsidR="00655F1B">
        <w:rPr>
          <w:b/>
          <w:color w:val="000000"/>
          <w:lang w:val="en-US"/>
        </w:rPr>
        <w:t>M</w:t>
      </w:r>
      <w:r w:rsidR="00655F1B" w:rsidRPr="007A55CE">
        <w:rPr>
          <w:b/>
          <w:color w:val="000000"/>
          <w:vertAlign w:val="subscript"/>
        </w:rPr>
        <w:t>2</w:t>
      </w:r>
      <w:r w:rsidR="00655F1B" w:rsidRPr="00A408EE">
        <w:rPr>
          <w:b/>
          <w:color w:val="000000"/>
          <w:lang w:val="en-US"/>
        </w:rPr>
        <w:t>G</w:t>
      </w:r>
      <w:r w:rsidR="00655F1B" w:rsidRPr="00DD5CFA">
        <w:rPr>
          <w:b/>
          <w:color w:val="000000"/>
        </w:rPr>
        <w:t xml:space="preserve">, </w:t>
      </w:r>
      <w:r w:rsidR="00655F1B">
        <w:rPr>
          <w:b/>
          <w:color w:val="000000"/>
          <w:lang w:val="en-US"/>
        </w:rPr>
        <w:t>M</w:t>
      </w:r>
      <w:r w:rsidR="00655F1B" w:rsidRPr="007A55CE">
        <w:rPr>
          <w:b/>
          <w:color w:val="000000"/>
          <w:vertAlign w:val="subscript"/>
        </w:rPr>
        <w:t>3</w:t>
      </w:r>
      <w:r w:rsidR="00655F1B" w:rsidRPr="00A408EE">
        <w:rPr>
          <w:b/>
          <w:color w:val="000000"/>
          <w:lang w:val="en-US"/>
        </w:rPr>
        <w:t>G</w:t>
      </w:r>
      <w:r w:rsidR="00655F1B" w:rsidRPr="00A408EE">
        <w:rPr>
          <w:color w:val="000000"/>
        </w:rPr>
        <w:t xml:space="preserve"> (повышенной проходимости) максимальная высота может быть увеличена до 1500 мм.»</w:t>
      </w:r>
    </w:p>
    <w:p w14:paraId="4951C6DD" w14:textId="77777777" w:rsidR="00655F1B" w:rsidRPr="00655F1B" w:rsidRDefault="00655F1B" w:rsidP="00655F1B">
      <w:pPr>
        <w:pStyle w:val="SingleTxtG"/>
        <w:tabs>
          <w:tab w:val="left" w:pos="2268"/>
        </w:tabs>
        <w:ind w:left="2268" w:hanging="1134"/>
        <w:rPr>
          <w:color w:val="000000"/>
        </w:rPr>
      </w:pPr>
      <w:r w:rsidRPr="00655F1B">
        <w:rPr>
          <w:i/>
        </w:rPr>
        <w:t>Пункт 6.4.4.2</w:t>
      </w:r>
      <w:r w:rsidRPr="00655F1B">
        <w:t xml:space="preserve"> изменить следующим образом:</w:t>
      </w:r>
    </w:p>
    <w:p w14:paraId="6146ECB7" w14:textId="77777777" w:rsidR="000032CE" w:rsidRDefault="00655F1B" w:rsidP="00655F1B">
      <w:pPr>
        <w:pStyle w:val="SingleTxtG"/>
        <w:tabs>
          <w:tab w:val="left" w:pos="2268"/>
        </w:tabs>
        <w:ind w:left="2268" w:hanging="1134"/>
        <w:rPr>
          <w:color w:val="000000"/>
        </w:rPr>
      </w:pPr>
      <w:r>
        <w:rPr>
          <w:color w:val="000000"/>
        </w:rPr>
        <w:t>«</w:t>
      </w:r>
      <w:r w:rsidRPr="00A408EE">
        <w:rPr>
          <w:color w:val="000000"/>
        </w:rPr>
        <w:t>6.4.4.2</w:t>
      </w:r>
      <w:r w:rsidR="000032CE" w:rsidRPr="000032CE">
        <w:tab/>
      </w:r>
      <w:r w:rsidRPr="00A408EE">
        <w:rPr>
          <w:color w:val="000000"/>
        </w:rPr>
        <w:t xml:space="preserve">По высоте: не менее 250 мм и не более 1 200 мм над уровнем грунта. </w:t>
      </w:r>
      <w:r w:rsidRPr="00A408EE">
        <w:rPr>
          <w:b/>
          <w:color w:val="000000"/>
        </w:rPr>
        <w:t xml:space="preserve">Для </w:t>
      </w:r>
      <w:r w:rsidR="00CE4FA3">
        <w:rPr>
          <w:b/>
          <w:color w:val="000000"/>
        </w:rPr>
        <w:t xml:space="preserve">транспортных средств категории </w:t>
      </w:r>
      <w:r w:rsidRPr="00DD5CFA">
        <w:rPr>
          <w:b/>
          <w:color w:val="000000"/>
          <w:lang w:val="en-US"/>
        </w:rPr>
        <w:t>N</w:t>
      </w:r>
      <w:r w:rsidRPr="007A55CE">
        <w:rPr>
          <w:b/>
          <w:color w:val="000000"/>
          <w:vertAlign w:val="subscript"/>
        </w:rPr>
        <w:t>2</w:t>
      </w:r>
      <w:r w:rsidRPr="00A408EE">
        <w:rPr>
          <w:b/>
          <w:color w:val="000000"/>
          <w:lang w:val="en-US"/>
        </w:rPr>
        <w:t>G</w:t>
      </w:r>
      <w:r w:rsidRPr="00DD5CFA">
        <w:rPr>
          <w:b/>
          <w:color w:val="000000"/>
        </w:rPr>
        <w:t xml:space="preserve">, </w:t>
      </w:r>
      <w:r w:rsidRPr="00DD5CFA">
        <w:rPr>
          <w:b/>
          <w:color w:val="000000"/>
          <w:lang w:val="en-US"/>
        </w:rPr>
        <w:t>N</w:t>
      </w:r>
      <w:r w:rsidRPr="007A55CE">
        <w:rPr>
          <w:b/>
          <w:color w:val="000000"/>
          <w:vertAlign w:val="subscript"/>
        </w:rPr>
        <w:t>3</w:t>
      </w:r>
      <w:r w:rsidRPr="00A408EE">
        <w:rPr>
          <w:b/>
          <w:color w:val="000000"/>
          <w:lang w:val="en-US"/>
        </w:rPr>
        <w:t>G</w:t>
      </w:r>
      <w:r w:rsidRPr="00DD5CFA"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M</w:t>
      </w:r>
      <w:r w:rsidRPr="007A55CE">
        <w:rPr>
          <w:b/>
          <w:color w:val="000000"/>
          <w:vertAlign w:val="subscript"/>
        </w:rPr>
        <w:t>2</w:t>
      </w:r>
      <w:r w:rsidRPr="00A408EE">
        <w:rPr>
          <w:b/>
          <w:color w:val="000000"/>
          <w:lang w:val="en-US"/>
        </w:rPr>
        <w:t>G</w:t>
      </w:r>
      <w:r w:rsidRPr="00DD5CFA">
        <w:rPr>
          <w:b/>
          <w:color w:val="000000"/>
        </w:rPr>
        <w:t xml:space="preserve">, </w:t>
      </w:r>
      <w:r>
        <w:rPr>
          <w:b/>
          <w:color w:val="000000"/>
          <w:lang w:val="en-US"/>
        </w:rPr>
        <w:t>M</w:t>
      </w:r>
      <w:r w:rsidRPr="007A55CE">
        <w:rPr>
          <w:b/>
          <w:color w:val="000000"/>
          <w:vertAlign w:val="subscript"/>
        </w:rPr>
        <w:t>3</w:t>
      </w:r>
      <w:r w:rsidRPr="00A408EE">
        <w:rPr>
          <w:b/>
          <w:color w:val="000000"/>
          <w:lang w:val="en-US"/>
        </w:rPr>
        <w:t>G</w:t>
      </w:r>
      <w:r w:rsidRPr="00A408EE">
        <w:rPr>
          <w:b/>
          <w:color w:val="000000"/>
        </w:rPr>
        <w:t xml:space="preserve"> (повышенной проходимости) максимальная высота может быть увеличена до 1 400 мм.</w:t>
      </w:r>
      <w:r w:rsidRPr="00A408EE">
        <w:rPr>
          <w:color w:val="000000"/>
        </w:rPr>
        <w:t>»</w:t>
      </w:r>
    </w:p>
    <w:p w14:paraId="78F41FEA" w14:textId="77777777" w:rsidR="00655F1B" w:rsidRPr="003E2F98" w:rsidRDefault="003E2F98" w:rsidP="00655F1B">
      <w:pPr>
        <w:pStyle w:val="SingleTxtG"/>
        <w:tabs>
          <w:tab w:val="left" w:pos="2268"/>
        </w:tabs>
        <w:ind w:left="2268" w:hanging="1134"/>
        <w:rPr>
          <w:i/>
        </w:rPr>
      </w:pPr>
      <w:r w:rsidRPr="003E2F98">
        <w:rPr>
          <w:i/>
        </w:rPr>
        <w:t>Пункт 6.11.4.2</w:t>
      </w:r>
      <w:r w:rsidRPr="003E2F98">
        <w:t xml:space="preserve"> изменить следующим образом</w:t>
      </w:r>
      <w:r>
        <w:t>:</w:t>
      </w:r>
    </w:p>
    <w:p w14:paraId="48794261" w14:textId="77777777" w:rsidR="000032CE" w:rsidRPr="000032CE" w:rsidRDefault="007A55CE" w:rsidP="007A55CE">
      <w:pPr>
        <w:pStyle w:val="SingleTxtG"/>
        <w:ind w:left="2268" w:hanging="1134"/>
      </w:pPr>
      <w:r>
        <w:rPr>
          <w:color w:val="000000"/>
        </w:rPr>
        <w:t xml:space="preserve">«6.11.4.2        </w:t>
      </w:r>
      <w:r w:rsidR="003E2F98" w:rsidRPr="00A408EE">
        <w:rPr>
          <w:color w:val="000000"/>
        </w:rPr>
        <w:t xml:space="preserve">По высоте: не менее 250 мм и не более 1 000 мм над уровнем грунта. Для задних противотуманных огней, сгруппированных с любым задним огнем, или для транспортных средств категории </w:t>
      </w:r>
      <w:r w:rsidR="003E2F98" w:rsidRPr="00DD5CFA">
        <w:rPr>
          <w:b/>
          <w:color w:val="000000"/>
          <w:lang w:val="en-US"/>
        </w:rPr>
        <w:t>N</w:t>
      </w:r>
      <w:r w:rsidR="003E2F98" w:rsidRPr="007A55CE">
        <w:rPr>
          <w:b/>
          <w:color w:val="000000"/>
          <w:vertAlign w:val="subscript"/>
        </w:rPr>
        <w:t>2</w:t>
      </w:r>
      <w:r w:rsidR="003E2F98" w:rsidRPr="00A408EE">
        <w:rPr>
          <w:b/>
          <w:color w:val="000000"/>
          <w:lang w:val="en-US"/>
        </w:rPr>
        <w:t>G</w:t>
      </w:r>
      <w:r w:rsidR="003E2F98" w:rsidRPr="00DD5CFA">
        <w:rPr>
          <w:b/>
          <w:color w:val="000000"/>
        </w:rPr>
        <w:t xml:space="preserve">, </w:t>
      </w:r>
      <w:r w:rsidR="003E2F98" w:rsidRPr="00CE4FA3">
        <w:rPr>
          <w:color w:val="000000"/>
          <w:lang w:val="en-US"/>
        </w:rPr>
        <w:t>N</w:t>
      </w:r>
      <w:r w:rsidR="003E2F98" w:rsidRPr="007A55CE">
        <w:rPr>
          <w:color w:val="000000"/>
          <w:vertAlign w:val="subscript"/>
        </w:rPr>
        <w:t>3</w:t>
      </w:r>
      <w:r w:rsidR="003E2F98" w:rsidRPr="00CE4FA3">
        <w:rPr>
          <w:color w:val="000000"/>
          <w:lang w:val="en-US"/>
        </w:rPr>
        <w:t>G</w:t>
      </w:r>
      <w:r w:rsidR="003E2F98" w:rsidRPr="00DD5CFA">
        <w:rPr>
          <w:b/>
          <w:color w:val="000000"/>
        </w:rPr>
        <w:t xml:space="preserve">, </w:t>
      </w:r>
      <w:r w:rsidR="003E2F98">
        <w:rPr>
          <w:b/>
          <w:color w:val="000000"/>
          <w:lang w:val="en-US"/>
        </w:rPr>
        <w:t>M</w:t>
      </w:r>
      <w:r w:rsidR="003E2F98" w:rsidRPr="007A55CE">
        <w:rPr>
          <w:b/>
          <w:color w:val="000000"/>
          <w:vertAlign w:val="subscript"/>
        </w:rPr>
        <w:t>2</w:t>
      </w:r>
      <w:r w:rsidR="003E2F98" w:rsidRPr="00A408EE">
        <w:rPr>
          <w:b/>
          <w:color w:val="000000"/>
          <w:lang w:val="en-US"/>
        </w:rPr>
        <w:t>G</w:t>
      </w:r>
      <w:r w:rsidR="003E2F98" w:rsidRPr="00DD5CFA">
        <w:rPr>
          <w:b/>
          <w:color w:val="000000"/>
        </w:rPr>
        <w:t xml:space="preserve">, </w:t>
      </w:r>
      <w:r w:rsidR="003E2F98">
        <w:rPr>
          <w:b/>
          <w:color w:val="000000"/>
          <w:lang w:val="en-US"/>
        </w:rPr>
        <w:t>M</w:t>
      </w:r>
      <w:r w:rsidR="003E2F98" w:rsidRPr="007A55CE">
        <w:rPr>
          <w:b/>
          <w:color w:val="000000"/>
          <w:vertAlign w:val="subscript"/>
        </w:rPr>
        <w:t>3</w:t>
      </w:r>
      <w:r w:rsidR="003E2F98" w:rsidRPr="00A408EE">
        <w:rPr>
          <w:b/>
          <w:color w:val="000000"/>
          <w:lang w:val="en-US"/>
        </w:rPr>
        <w:t>G</w:t>
      </w:r>
      <w:r w:rsidR="003E2F98" w:rsidRPr="00A408EE">
        <w:rPr>
          <w:color w:val="000000"/>
        </w:rPr>
        <w:t xml:space="preserve"> (повышенной проходимости) максимальная высота может быть увеличена до</w:t>
      </w:r>
      <w:r w:rsidR="00235FD9">
        <w:rPr>
          <w:color w:val="000000"/>
        </w:rPr>
        <w:t xml:space="preserve"> </w:t>
      </w:r>
      <w:r w:rsidR="00235FD9" w:rsidRPr="00235FD9">
        <w:rPr>
          <w:strike/>
          <w:color w:val="000000"/>
        </w:rPr>
        <w:t>1200</w:t>
      </w:r>
      <w:r w:rsidR="003E2F98" w:rsidRPr="00A408EE">
        <w:rPr>
          <w:color w:val="000000"/>
        </w:rPr>
        <w:t xml:space="preserve"> </w:t>
      </w:r>
      <w:r w:rsidR="003E2F98" w:rsidRPr="00A408EE">
        <w:rPr>
          <w:b/>
          <w:color w:val="000000"/>
        </w:rPr>
        <w:t>1 400 мм</w:t>
      </w:r>
      <w:r w:rsidR="003E2F98" w:rsidRPr="00A408EE">
        <w:rPr>
          <w:color w:val="000000"/>
        </w:rPr>
        <w:t>.</w:t>
      </w:r>
      <w:r>
        <w:rPr>
          <w:color w:val="000000"/>
        </w:rPr>
        <w:t>»</w:t>
      </w:r>
    </w:p>
    <w:p w14:paraId="6EF44C24" w14:textId="77777777" w:rsidR="000032CE" w:rsidRPr="000032CE" w:rsidRDefault="000032CE" w:rsidP="000032CE">
      <w:pPr>
        <w:pStyle w:val="HChG"/>
      </w:pPr>
      <w:r>
        <w:tab/>
      </w:r>
      <w:r w:rsidRPr="000032CE">
        <w:t>II.</w:t>
      </w:r>
      <w:r w:rsidRPr="000032CE">
        <w:tab/>
        <w:t>Обоснование</w:t>
      </w:r>
    </w:p>
    <w:p w14:paraId="2D19F72B" w14:textId="77777777" w:rsidR="000032CE" w:rsidRPr="000032CE" w:rsidRDefault="000032CE" w:rsidP="001C5058">
      <w:pPr>
        <w:pStyle w:val="SingleTxtG"/>
      </w:pPr>
      <w:r w:rsidRPr="000032CE">
        <w:t>1.</w:t>
      </w:r>
      <w:r w:rsidRPr="000032CE">
        <w:tab/>
      </w:r>
      <w:r w:rsidR="003E2F98" w:rsidRPr="006A4BE6">
        <w:t xml:space="preserve">Целью настоящих предложений является обеспечение надежной и безопасной эксплуатации </w:t>
      </w:r>
      <w:r w:rsidR="00EE2119">
        <w:t xml:space="preserve">транспортных средств повышенной проходимости (категории </w:t>
      </w:r>
      <w:r w:rsidR="00EE2119">
        <w:rPr>
          <w:lang w:val="en-US"/>
        </w:rPr>
        <w:t>G</w:t>
      </w:r>
      <w:r w:rsidR="00EE2119" w:rsidRPr="00EE2119">
        <w:t>)</w:t>
      </w:r>
      <w:r w:rsidR="003E2F98" w:rsidRPr="006A4BE6">
        <w:t xml:space="preserve"> на маршрутах, включающих в себя, в том числе, участки с труднопроходимыми местами. Транспортные средства, предназначенные, в том числе, для эксплуатации в </w:t>
      </w:r>
      <w:r w:rsidR="00EE2119">
        <w:t>условиях бездорожья</w:t>
      </w:r>
      <w:r w:rsidR="003E2F98" w:rsidRPr="006A4BE6">
        <w:t>, должны иметь увеличенные продольные углы проходимости, дорожные просветы над передней и задней осью, углы съезда и въезда, межосев</w:t>
      </w:r>
      <w:r w:rsidR="00235FD9">
        <w:t>ые</w:t>
      </w:r>
      <w:r w:rsidR="003E2F98" w:rsidRPr="006A4BE6">
        <w:t xml:space="preserve"> дорожны</w:t>
      </w:r>
      <w:r w:rsidR="00235FD9">
        <w:t>е</w:t>
      </w:r>
      <w:r w:rsidR="003E2F98" w:rsidRPr="006A4BE6">
        <w:t xml:space="preserve"> просвет</w:t>
      </w:r>
      <w:r w:rsidR="00235FD9">
        <w:t>ы</w:t>
      </w:r>
      <w:r w:rsidR="003E2F98" w:rsidRPr="006A4BE6">
        <w:t>.</w:t>
      </w:r>
      <w:r w:rsidR="00EE2119">
        <w:t xml:space="preserve"> </w:t>
      </w:r>
    </w:p>
    <w:p w14:paraId="582BEA49" w14:textId="77777777" w:rsidR="000032CE" w:rsidRDefault="000032CE" w:rsidP="001C5058">
      <w:pPr>
        <w:pStyle w:val="SingleTxtG"/>
        <w:rPr>
          <w:color w:val="000000"/>
        </w:rPr>
      </w:pPr>
      <w:r w:rsidRPr="000032CE">
        <w:t>2.</w:t>
      </w:r>
      <w:r w:rsidRPr="000032CE">
        <w:tab/>
      </w:r>
      <w:r w:rsidR="003E2F98" w:rsidRPr="006A4BE6">
        <w:t>Отступления, обусловленные данными конструктивными особенностями транспортных сре</w:t>
      </w:r>
      <w:r w:rsidR="003E2F98">
        <w:t>дств</w:t>
      </w:r>
      <w:r w:rsidR="00EE2119">
        <w:t>,</w:t>
      </w:r>
      <w:r w:rsidR="003E2F98">
        <w:t xml:space="preserve"> в действующих редакциях</w:t>
      </w:r>
      <w:r w:rsidR="003E2F98" w:rsidRPr="006A4BE6">
        <w:t xml:space="preserve"> </w:t>
      </w:r>
      <w:r w:rsidR="00EE2119">
        <w:t>Правил</w:t>
      </w:r>
      <w:r w:rsidR="003E2F98" w:rsidRPr="006A4BE6">
        <w:t xml:space="preserve"> были предусмотрены только для категори</w:t>
      </w:r>
      <w:r w:rsidR="00EE2119">
        <w:t>и</w:t>
      </w:r>
      <w:r w:rsidR="003E2F98" w:rsidRPr="006A4BE6">
        <w:t xml:space="preserve"> </w:t>
      </w:r>
      <w:r w:rsidR="003E2F98" w:rsidRPr="006A4BE6">
        <w:rPr>
          <w:color w:val="000000"/>
        </w:rPr>
        <w:t>N</w:t>
      </w:r>
      <w:r w:rsidR="003E2F98" w:rsidRPr="007A55CE">
        <w:rPr>
          <w:color w:val="000000"/>
          <w:vertAlign w:val="subscript"/>
        </w:rPr>
        <w:t>3</w:t>
      </w:r>
      <w:r w:rsidR="003E2F98" w:rsidRPr="006A4BE6">
        <w:rPr>
          <w:color w:val="000000"/>
        </w:rPr>
        <w:t>G</w:t>
      </w:r>
      <w:r w:rsidR="003E2F98">
        <w:rPr>
          <w:color w:val="000000"/>
        </w:rPr>
        <w:t xml:space="preserve">. Настоящим предлагается распространить </w:t>
      </w:r>
      <w:r w:rsidR="00EE2119">
        <w:rPr>
          <w:color w:val="000000"/>
        </w:rPr>
        <w:t>отступления</w:t>
      </w:r>
      <w:r w:rsidR="003E2F98">
        <w:rPr>
          <w:color w:val="000000"/>
        </w:rPr>
        <w:t xml:space="preserve"> и на категории </w:t>
      </w:r>
      <w:r w:rsidR="003E2F98" w:rsidRPr="00DD5CFA">
        <w:rPr>
          <w:color w:val="000000"/>
          <w:lang w:val="en-US"/>
        </w:rPr>
        <w:t>N</w:t>
      </w:r>
      <w:r w:rsidR="003E2F98" w:rsidRPr="007A55CE">
        <w:rPr>
          <w:color w:val="000000"/>
          <w:vertAlign w:val="subscript"/>
        </w:rPr>
        <w:t>2</w:t>
      </w:r>
      <w:r w:rsidR="003E2F98" w:rsidRPr="00DD5CFA">
        <w:rPr>
          <w:color w:val="000000"/>
          <w:lang w:val="en-US"/>
        </w:rPr>
        <w:t>G</w:t>
      </w:r>
      <w:r w:rsidR="003E2F98" w:rsidRPr="00DD5CFA">
        <w:rPr>
          <w:color w:val="000000"/>
        </w:rPr>
        <w:t xml:space="preserve">, </w:t>
      </w:r>
      <w:r w:rsidR="003E2F98" w:rsidRPr="00DD5CFA">
        <w:rPr>
          <w:color w:val="000000"/>
          <w:lang w:val="en-US"/>
        </w:rPr>
        <w:t>M</w:t>
      </w:r>
      <w:r w:rsidR="003E2F98" w:rsidRPr="007A55CE">
        <w:rPr>
          <w:color w:val="000000"/>
          <w:vertAlign w:val="subscript"/>
        </w:rPr>
        <w:t>2</w:t>
      </w:r>
      <w:r w:rsidR="003E2F98" w:rsidRPr="00DD5CFA">
        <w:rPr>
          <w:color w:val="000000"/>
          <w:lang w:val="en-US"/>
        </w:rPr>
        <w:t>G</w:t>
      </w:r>
      <w:r w:rsidR="003E2F98" w:rsidRPr="00DD5CFA">
        <w:rPr>
          <w:color w:val="000000"/>
        </w:rPr>
        <w:t xml:space="preserve">, </w:t>
      </w:r>
      <w:r w:rsidR="003E2F98" w:rsidRPr="00DD5CFA">
        <w:rPr>
          <w:color w:val="000000"/>
          <w:lang w:val="en-US"/>
        </w:rPr>
        <w:t>M</w:t>
      </w:r>
      <w:r w:rsidR="003E2F98" w:rsidRPr="007A55CE">
        <w:rPr>
          <w:color w:val="000000"/>
          <w:vertAlign w:val="subscript"/>
        </w:rPr>
        <w:t>3</w:t>
      </w:r>
      <w:r w:rsidR="003E2F98" w:rsidRPr="00DD5CFA">
        <w:rPr>
          <w:color w:val="000000"/>
          <w:lang w:val="en-US"/>
        </w:rPr>
        <w:t>G</w:t>
      </w:r>
      <w:r w:rsidR="003E2F98">
        <w:rPr>
          <w:color w:val="000000"/>
        </w:rPr>
        <w:t xml:space="preserve"> </w:t>
      </w:r>
      <w:r w:rsidR="007A55CE">
        <w:rPr>
          <w:color w:val="000000"/>
        </w:rPr>
        <w:t>транспортных средств</w:t>
      </w:r>
      <w:r w:rsidR="003E2F98">
        <w:rPr>
          <w:color w:val="000000"/>
        </w:rPr>
        <w:t>.</w:t>
      </w:r>
    </w:p>
    <w:p w14:paraId="27C7DF2B" w14:textId="77777777" w:rsidR="001C5058" w:rsidRPr="006332FB" w:rsidRDefault="006332FB" w:rsidP="006332F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C936A2" w14:textId="77777777" w:rsidR="000032CE" w:rsidRPr="000032CE" w:rsidRDefault="000032CE" w:rsidP="000032CE">
      <w:pPr>
        <w:pStyle w:val="SingleTxtG"/>
        <w:spacing w:before="240" w:after="0"/>
        <w:jc w:val="center"/>
        <w:rPr>
          <w:u w:val="single"/>
        </w:rPr>
      </w:pPr>
    </w:p>
    <w:sectPr w:rsidR="000032CE" w:rsidRPr="000032CE" w:rsidSect="000032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0FA0A" w14:textId="77777777" w:rsidR="00B13397" w:rsidRPr="00A312BC" w:rsidRDefault="00B13397" w:rsidP="00A312BC"/>
  </w:endnote>
  <w:endnote w:type="continuationSeparator" w:id="0">
    <w:p w14:paraId="3E1777CE" w14:textId="77777777" w:rsidR="00B13397" w:rsidRPr="00A312BC" w:rsidRDefault="00B1339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557D" w14:textId="77777777" w:rsidR="000032CE" w:rsidRPr="000032CE" w:rsidRDefault="000032CE">
    <w:pPr>
      <w:pStyle w:val="a8"/>
    </w:pPr>
    <w:r w:rsidRPr="000032CE">
      <w:rPr>
        <w:b/>
        <w:sz w:val="18"/>
      </w:rPr>
      <w:fldChar w:fldCharType="begin"/>
    </w:r>
    <w:r w:rsidRPr="000032CE">
      <w:rPr>
        <w:b/>
        <w:sz w:val="18"/>
      </w:rPr>
      <w:instrText xml:space="preserve"> PAGE  \* MERGEFORMAT </w:instrText>
    </w:r>
    <w:r w:rsidRPr="000032CE">
      <w:rPr>
        <w:b/>
        <w:sz w:val="18"/>
      </w:rPr>
      <w:fldChar w:fldCharType="separate"/>
    </w:r>
    <w:r w:rsidR="00527696">
      <w:rPr>
        <w:b/>
        <w:noProof/>
        <w:sz w:val="18"/>
      </w:rPr>
      <w:t>2</w:t>
    </w:r>
    <w:r w:rsidRPr="000032CE">
      <w:rPr>
        <w:b/>
        <w:sz w:val="18"/>
      </w:rPr>
      <w:fldChar w:fldCharType="end"/>
    </w:r>
    <w:r w:rsidR="00CE4FA3"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A6F71" w14:textId="77777777" w:rsidR="00A90252" w:rsidRDefault="000032CE" w:rsidP="004C1B50">
    <w:pPr>
      <w:pStyle w:val="a8"/>
    </w:pPr>
    <w:r>
      <w:t>GE.19-01427</w:t>
    </w:r>
    <w:r>
      <w:tab/>
    </w:r>
    <w:r w:rsidRPr="000032CE">
      <w:rPr>
        <w:b/>
        <w:sz w:val="18"/>
      </w:rPr>
      <w:fldChar w:fldCharType="begin"/>
    </w:r>
    <w:r w:rsidRPr="000032CE">
      <w:rPr>
        <w:b/>
        <w:sz w:val="18"/>
      </w:rPr>
      <w:instrText xml:space="preserve"> PAGE  \* MERGEFORMAT </w:instrText>
    </w:r>
    <w:r w:rsidRPr="000032CE">
      <w:rPr>
        <w:b/>
        <w:sz w:val="18"/>
      </w:rPr>
      <w:fldChar w:fldCharType="separate"/>
    </w:r>
    <w:r w:rsidR="003E2F98">
      <w:rPr>
        <w:b/>
        <w:noProof/>
        <w:sz w:val="18"/>
      </w:rPr>
      <w:t>3</w:t>
    </w:r>
    <w:r w:rsidRPr="000032C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28D1F" w14:textId="571B9A35" w:rsidR="00042B72" w:rsidRPr="000032CE" w:rsidRDefault="00CE777E" w:rsidP="000032CE">
    <w:pPr>
      <w:spacing w:before="120" w:line="240" w:lineRule="aut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19B89C7" wp14:editId="5FD5BAF4">
          <wp:simplePos x="0" y="0"/>
          <wp:positionH relativeFrom="margin">
            <wp:align>right</wp:align>
          </wp:positionH>
          <wp:positionV relativeFrom="paragraph">
            <wp:posOffset>-17255</wp:posOffset>
          </wp:positionV>
          <wp:extent cx="628650" cy="628650"/>
          <wp:effectExtent l="0" t="0" r="0" b="0"/>
          <wp:wrapNone/>
          <wp:docPr id="1" name="Рисунок 1" descr="https://api.qrserver.com/v1/create-qr-code/?size=66x66&amp;data=https://undocs.org/ru/ECE/TRANS/WP.29/GRE/2020/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CE/TRANS/WP.29/GRE/2020/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GE.</w:t>
    </w:r>
    <w:r>
      <w:rPr>
        <w:b/>
        <w:noProof/>
        <w:lang w:eastAsia="ru-RU"/>
      </w:rPr>
      <w:drawing>
        <wp:anchor distT="0" distB="0" distL="114300" distR="114300" simplePos="0" relativeHeight="251659264" behindDoc="0" locked="0" layoutInCell="1" allowOverlap="1" wp14:anchorId="20A82372" wp14:editId="6D6492D8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11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20</w:t>
    </w:r>
    <w:r>
      <w:t>-</w:t>
    </w:r>
    <w:r>
      <w:rPr>
        <w:lang w:val="en-US"/>
      </w:rPr>
      <w:t>01629</w:t>
    </w:r>
    <w:r>
      <w:t xml:space="preserve">  (R)</w:t>
    </w:r>
    <w:r>
      <w:rPr>
        <w:lang w:val="en-US"/>
      </w:rPr>
      <w:t xml:space="preserve">  </w:t>
    </w:r>
    <w:r>
      <w:br/>
    </w:r>
    <w:r w:rsidRPr="00CE777E">
      <w:rPr>
        <w:rFonts w:ascii="C39T30Lfz" w:hAnsi="C39T30Lfz"/>
        <w:kern w:val="14"/>
        <w:sz w:val="56"/>
        <w:lang w:val="en-US"/>
      </w:rPr>
      <w:t></w:t>
    </w:r>
    <w:r w:rsidRPr="00CE777E">
      <w:rPr>
        <w:rFonts w:ascii="C39T30Lfz" w:hAnsi="C39T30Lfz"/>
        <w:kern w:val="14"/>
        <w:sz w:val="56"/>
        <w:lang w:val="en-US"/>
      </w:rPr>
      <w:t></w:t>
    </w:r>
    <w:r w:rsidRPr="00CE777E">
      <w:rPr>
        <w:rFonts w:ascii="C39T30Lfz" w:hAnsi="C39T30Lfz"/>
        <w:kern w:val="14"/>
        <w:sz w:val="56"/>
        <w:lang w:val="en-US"/>
      </w:rPr>
      <w:t></w:t>
    </w:r>
    <w:r w:rsidRPr="00CE777E">
      <w:rPr>
        <w:rFonts w:ascii="C39T30Lfz" w:hAnsi="C39T30Lfz"/>
        <w:kern w:val="14"/>
        <w:sz w:val="56"/>
        <w:lang w:val="en-US"/>
      </w:rPr>
      <w:t></w:t>
    </w:r>
    <w:r w:rsidRPr="00CE777E">
      <w:rPr>
        <w:rFonts w:ascii="C39T30Lfz" w:hAnsi="C39T30Lfz"/>
        <w:kern w:val="14"/>
        <w:sz w:val="56"/>
        <w:lang w:val="en-US"/>
      </w:rPr>
      <w:t></w:t>
    </w:r>
    <w:r w:rsidRPr="00CE777E">
      <w:rPr>
        <w:rFonts w:ascii="C39T30Lfz" w:hAnsi="C39T30Lfz"/>
        <w:kern w:val="14"/>
        <w:sz w:val="56"/>
        <w:lang w:val="en-US"/>
      </w:rPr>
      <w:t></w:t>
    </w:r>
    <w:r w:rsidRPr="00CE777E">
      <w:rPr>
        <w:rFonts w:ascii="C39T30Lfz" w:hAnsi="C39T30Lfz"/>
        <w:kern w:val="14"/>
        <w:sz w:val="56"/>
        <w:lang w:val="en-US"/>
      </w:rPr>
      <w:t></w:t>
    </w:r>
    <w:r w:rsidRPr="00CE777E">
      <w:rPr>
        <w:rFonts w:ascii="C39T30Lfz" w:hAnsi="C39T30Lfz"/>
        <w:kern w:val="14"/>
        <w:sz w:val="56"/>
        <w:lang w:val="en-US"/>
      </w:rPr>
      <w:t></w:t>
    </w:r>
    <w:r w:rsidRPr="00CE777E">
      <w:rPr>
        <w:rFonts w:ascii="C39T30Lfz" w:hAnsi="C39T30Lfz"/>
        <w:kern w:val="14"/>
        <w:sz w:val="56"/>
        <w:lang w:val="en-US"/>
      </w:rPr>
      <w:t>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EDCD1" w14:textId="77777777" w:rsidR="00B13397" w:rsidRPr="001075E9" w:rsidRDefault="00B1339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28C5A0C" w14:textId="77777777" w:rsidR="00B13397" w:rsidRDefault="00B1339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FC39F2" w14:textId="77777777" w:rsidR="000032CE" w:rsidRPr="00706101" w:rsidRDefault="000032CE" w:rsidP="00EE2119">
      <w:pPr>
        <w:pStyle w:val="ad"/>
        <w:jc w:val="both"/>
      </w:pPr>
      <w:r>
        <w:tab/>
      </w:r>
      <w:r w:rsidRPr="000032CE">
        <w:rPr>
          <w:sz w:val="20"/>
        </w:rPr>
        <w:t>*</w:t>
      </w:r>
      <w:r>
        <w:tab/>
      </w:r>
      <w:r w:rsidR="009E1D7C" w:rsidRPr="009E1D7C"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</w:t>
      </w:r>
      <w:proofErr w:type="spellStart"/>
      <w:r w:rsidR="009E1D7C" w:rsidRPr="009E1D7C">
        <w:t>part</w:t>
      </w:r>
      <w:proofErr w:type="spellEnd"/>
      <w:r w:rsidR="009E1D7C" w:rsidRPr="009E1D7C">
        <w:t xml:space="preserve"> V </w:t>
      </w:r>
      <w:proofErr w:type="spellStart"/>
      <w:r w:rsidR="009E1D7C" w:rsidRPr="009E1D7C">
        <w:t>sect</w:t>
      </w:r>
      <w:proofErr w:type="spellEnd"/>
      <w:r w:rsidR="009E1D7C" w:rsidRPr="009E1D7C">
        <w:t>. 20) пункт 20.37),</w:t>
      </w:r>
      <w:r w:rsidR="009E1D7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t>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3107" w14:textId="77777777" w:rsidR="000032CE" w:rsidRPr="00AD78DD" w:rsidRDefault="00AD78DD" w:rsidP="00AD78DD">
    <w:pPr>
      <w:pStyle w:val="a5"/>
    </w:pPr>
    <w:r w:rsidRPr="00AD78DD">
      <w:rPr>
        <w:szCs w:val="18"/>
        <w:lang w:val="en-US"/>
      </w:rPr>
      <w:t>ЕСЕ/</w:t>
    </w:r>
    <w:r w:rsidRPr="005E3C80">
      <w:rPr>
        <w:lang w:val="en-US"/>
      </w:rPr>
      <w:t>TRANS/WP.29/GRE/20</w:t>
    </w:r>
    <w:r w:rsidR="009A4692">
      <w:rPr>
        <w:lang w:val="en-US"/>
      </w:rPr>
      <w:t>20</w:t>
    </w:r>
    <w:r w:rsidRPr="005E3C80">
      <w:rPr>
        <w:lang w:val="en-US"/>
      </w:rPr>
      <w:t>/</w:t>
    </w:r>
    <w:r w:rsidR="001C5058">
      <w:rPr>
        <w:lang w:val="en-US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743EF" w14:textId="43D2517D" w:rsidR="000032CE" w:rsidRPr="000032CE" w:rsidRDefault="00804331" w:rsidP="000032CE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ECE/TRANS/WP.29/GRE/2020/3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7F1D6" w14:textId="77777777" w:rsidR="000032CE" w:rsidRDefault="000032CE" w:rsidP="000032CE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F477A2B"/>
    <w:multiLevelType w:val="hybridMultilevel"/>
    <w:tmpl w:val="4816CA16"/>
    <w:lvl w:ilvl="0" w:tplc="435E019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EAC0CA2"/>
    <w:multiLevelType w:val="hybridMultilevel"/>
    <w:tmpl w:val="CA6638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574" w:hanging="360"/>
      </w:pPr>
    </w:lvl>
    <w:lvl w:ilvl="2" w:tplc="040C001B" w:tentative="1">
      <w:start w:val="1"/>
      <w:numFmt w:val="lowerRoman"/>
      <w:lvlText w:val="%3."/>
      <w:lvlJc w:val="right"/>
      <w:pPr>
        <w:ind w:left="3294" w:hanging="180"/>
      </w:pPr>
    </w:lvl>
    <w:lvl w:ilvl="3" w:tplc="040C000F" w:tentative="1">
      <w:start w:val="1"/>
      <w:numFmt w:val="decimal"/>
      <w:lvlText w:val="%4."/>
      <w:lvlJc w:val="left"/>
      <w:pPr>
        <w:ind w:left="4014" w:hanging="360"/>
      </w:pPr>
    </w:lvl>
    <w:lvl w:ilvl="4" w:tplc="040C0019" w:tentative="1">
      <w:start w:val="1"/>
      <w:numFmt w:val="lowerLetter"/>
      <w:lvlText w:val="%5."/>
      <w:lvlJc w:val="left"/>
      <w:pPr>
        <w:ind w:left="4734" w:hanging="360"/>
      </w:pPr>
    </w:lvl>
    <w:lvl w:ilvl="5" w:tplc="040C001B" w:tentative="1">
      <w:start w:val="1"/>
      <w:numFmt w:val="lowerRoman"/>
      <w:lvlText w:val="%6."/>
      <w:lvlJc w:val="right"/>
      <w:pPr>
        <w:ind w:left="5454" w:hanging="180"/>
      </w:pPr>
    </w:lvl>
    <w:lvl w:ilvl="6" w:tplc="040C000F" w:tentative="1">
      <w:start w:val="1"/>
      <w:numFmt w:val="decimal"/>
      <w:lvlText w:val="%7."/>
      <w:lvlJc w:val="left"/>
      <w:pPr>
        <w:ind w:left="6174" w:hanging="360"/>
      </w:pPr>
    </w:lvl>
    <w:lvl w:ilvl="7" w:tplc="040C0019" w:tentative="1">
      <w:start w:val="1"/>
      <w:numFmt w:val="lowerLetter"/>
      <w:lvlText w:val="%8."/>
      <w:lvlJc w:val="left"/>
      <w:pPr>
        <w:ind w:left="6894" w:hanging="360"/>
      </w:pPr>
    </w:lvl>
    <w:lvl w:ilvl="8" w:tplc="040C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  <w:lvlOverride w:ilvl="0">
      <w:lvl w:ilvl="0" w:tplc="435E0196">
        <w:start w:val="1"/>
        <w:numFmt w:val="lowerLetter"/>
        <w:lvlText w:val="%1)"/>
        <w:lvlJc w:val="left"/>
        <w:pPr>
          <w:ind w:left="1854" w:hanging="360"/>
        </w:pPr>
        <w:rPr>
          <w:rFonts w:hint="default"/>
        </w:rPr>
      </w:lvl>
    </w:lvlOverride>
  </w:num>
  <w:num w:numId="23">
    <w:abstractNumId w:val="19"/>
    <w:lvlOverride w:ilvl="0">
      <w:lvl w:ilvl="0" w:tplc="04090001">
        <w:start w:val="1"/>
        <w:numFmt w:val="bullet"/>
        <w:lvlText w:val=""/>
        <w:lvlJc w:val="left"/>
        <w:pPr>
          <w:ind w:left="1854" w:hanging="360"/>
        </w:pPr>
        <w:rPr>
          <w:rFonts w:ascii="Symbol" w:hAnsi="Symbol"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6C"/>
    <w:rsid w:val="000032CE"/>
    <w:rsid w:val="00033EE1"/>
    <w:rsid w:val="00042B72"/>
    <w:rsid w:val="000558BD"/>
    <w:rsid w:val="000A48CF"/>
    <w:rsid w:val="000A586C"/>
    <w:rsid w:val="000B57E7"/>
    <w:rsid w:val="000B6373"/>
    <w:rsid w:val="000E4E5B"/>
    <w:rsid w:val="000F09DF"/>
    <w:rsid w:val="000F61B2"/>
    <w:rsid w:val="000F62A1"/>
    <w:rsid w:val="001075E9"/>
    <w:rsid w:val="0014152F"/>
    <w:rsid w:val="00180183"/>
    <w:rsid w:val="0018024D"/>
    <w:rsid w:val="0018649F"/>
    <w:rsid w:val="00196389"/>
    <w:rsid w:val="001B1F0F"/>
    <w:rsid w:val="001B3EF6"/>
    <w:rsid w:val="001C5058"/>
    <w:rsid w:val="001C7A89"/>
    <w:rsid w:val="001D2DAF"/>
    <w:rsid w:val="00235FD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133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3E2F98"/>
    <w:rsid w:val="00407B78"/>
    <w:rsid w:val="004129A1"/>
    <w:rsid w:val="00424203"/>
    <w:rsid w:val="0043328F"/>
    <w:rsid w:val="00452493"/>
    <w:rsid w:val="00453318"/>
    <w:rsid w:val="00454AF2"/>
    <w:rsid w:val="00454E07"/>
    <w:rsid w:val="00472C5C"/>
    <w:rsid w:val="004A604B"/>
    <w:rsid w:val="004C1B50"/>
    <w:rsid w:val="004E05B7"/>
    <w:rsid w:val="0050108D"/>
    <w:rsid w:val="00513081"/>
    <w:rsid w:val="00517901"/>
    <w:rsid w:val="00526683"/>
    <w:rsid w:val="00527696"/>
    <w:rsid w:val="00557BCA"/>
    <w:rsid w:val="005639C1"/>
    <w:rsid w:val="005709E0"/>
    <w:rsid w:val="00572E19"/>
    <w:rsid w:val="005961C8"/>
    <w:rsid w:val="005966F1"/>
    <w:rsid w:val="005B69DE"/>
    <w:rsid w:val="005D7914"/>
    <w:rsid w:val="005E2B41"/>
    <w:rsid w:val="005E3C80"/>
    <w:rsid w:val="005F0B42"/>
    <w:rsid w:val="005F33E4"/>
    <w:rsid w:val="00617A43"/>
    <w:rsid w:val="006332FB"/>
    <w:rsid w:val="006345DB"/>
    <w:rsid w:val="00640F49"/>
    <w:rsid w:val="00655F1B"/>
    <w:rsid w:val="00680D03"/>
    <w:rsid w:val="00681A10"/>
    <w:rsid w:val="00695AED"/>
    <w:rsid w:val="006A1ED8"/>
    <w:rsid w:val="006A6632"/>
    <w:rsid w:val="006C2031"/>
    <w:rsid w:val="006D461A"/>
    <w:rsid w:val="006D53AF"/>
    <w:rsid w:val="006F2BD5"/>
    <w:rsid w:val="006F35EE"/>
    <w:rsid w:val="007021FF"/>
    <w:rsid w:val="00712895"/>
    <w:rsid w:val="00716F94"/>
    <w:rsid w:val="00734ACB"/>
    <w:rsid w:val="00757357"/>
    <w:rsid w:val="00761DE2"/>
    <w:rsid w:val="00767D00"/>
    <w:rsid w:val="00792497"/>
    <w:rsid w:val="007A55CE"/>
    <w:rsid w:val="008018C1"/>
    <w:rsid w:val="00804331"/>
    <w:rsid w:val="00806737"/>
    <w:rsid w:val="00825F8D"/>
    <w:rsid w:val="00834B71"/>
    <w:rsid w:val="00851CE7"/>
    <w:rsid w:val="0086445C"/>
    <w:rsid w:val="00885BE4"/>
    <w:rsid w:val="00894693"/>
    <w:rsid w:val="008A08D7"/>
    <w:rsid w:val="008A37C8"/>
    <w:rsid w:val="008B6909"/>
    <w:rsid w:val="008C3BA5"/>
    <w:rsid w:val="008D53B6"/>
    <w:rsid w:val="008F7609"/>
    <w:rsid w:val="00906890"/>
    <w:rsid w:val="00911BE4"/>
    <w:rsid w:val="00951972"/>
    <w:rsid w:val="009608F3"/>
    <w:rsid w:val="0097295F"/>
    <w:rsid w:val="009759D6"/>
    <w:rsid w:val="009A24AC"/>
    <w:rsid w:val="009A4692"/>
    <w:rsid w:val="009C58E6"/>
    <w:rsid w:val="009C59D7"/>
    <w:rsid w:val="009C6FE6"/>
    <w:rsid w:val="009D7E7D"/>
    <w:rsid w:val="009E1D7C"/>
    <w:rsid w:val="00A14DA8"/>
    <w:rsid w:val="00A312BC"/>
    <w:rsid w:val="00A53562"/>
    <w:rsid w:val="00A669CF"/>
    <w:rsid w:val="00A84021"/>
    <w:rsid w:val="00A84D35"/>
    <w:rsid w:val="00A90252"/>
    <w:rsid w:val="00A917B3"/>
    <w:rsid w:val="00AB4B51"/>
    <w:rsid w:val="00AD78DD"/>
    <w:rsid w:val="00B10CC7"/>
    <w:rsid w:val="00B13397"/>
    <w:rsid w:val="00B34FAA"/>
    <w:rsid w:val="00B36DF7"/>
    <w:rsid w:val="00B539E7"/>
    <w:rsid w:val="00B62458"/>
    <w:rsid w:val="00BC18B2"/>
    <w:rsid w:val="00BD33EE"/>
    <w:rsid w:val="00BE1CC7"/>
    <w:rsid w:val="00C0546E"/>
    <w:rsid w:val="00C106D6"/>
    <w:rsid w:val="00C119AE"/>
    <w:rsid w:val="00C11CD3"/>
    <w:rsid w:val="00C60F0C"/>
    <w:rsid w:val="00C71E84"/>
    <w:rsid w:val="00C805C9"/>
    <w:rsid w:val="00C92939"/>
    <w:rsid w:val="00CA1679"/>
    <w:rsid w:val="00CB151C"/>
    <w:rsid w:val="00CE4FA3"/>
    <w:rsid w:val="00CE5A1A"/>
    <w:rsid w:val="00CE777E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64B4"/>
    <w:rsid w:val="00E62A26"/>
    <w:rsid w:val="00E73F76"/>
    <w:rsid w:val="00EA2C9F"/>
    <w:rsid w:val="00EA420E"/>
    <w:rsid w:val="00EC3BCA"/>
    <w:rsid w:val="00ED0BDA"/>
    <w:rsid w:val="00EE142A"/>
    <w:rsid w:val="00EE2119"/>
    <w:rsid w:val="00EF1360"/>
    <w:rsid w:val="00EF3220"/>
    <w:rsid w:val="00F2523A"/>
    <w:rsid w:val="00F371BD"/>
    <w:rsid w:val="00F37B1A"/>
    <w:rsid w:val="00F43903"/>
    <w:rsid w:val="00F94155"/>
    <w:rsid w:val="00F9783F"/>
    <w:rsid w:val="00FC5FE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7F7F2FB5"/>
  <w15:docId w15:val="{0FA61F65-336E-4B46-8DE3-B3AE9FFC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Footnote Text Char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Footnote Text Char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2397</Characters>
  <Application>Microsoft Office Word</Application>
  <DocSecurity>0</DocSecurity>
  <Lines>61</Lines>
  <Paragraphs>29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ECE/TRANS/WP.29/GRE/2020/3</vt:lpstr>
      <vt:lpstr>ECE/TRANS/WP.29/GRE/2019/4</vt:lpstr>
      <vt:lpstr>A/</vt:lpstr>
    </vt:vector>
  </TitlesOfParts>
  <Company>DCM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ECE/TRANS/WP.29/GRE/2020/3</dc:title>
  <dc:subject/>
  <dc:creator>Olga OVTCHINNIKOVA</dc:creator>
  <cp:keywords/>
  <dc:description/>
  <cp:lastModifiedBy>Uliana ANTIPOVA</cp:lastModifiedBy>
  <cp:revision>3</cp:revision>
  <cp:lastPrinted>2020-02-05T09:40:00Z</cp:lastPrinted>
  <dcterms:created xsi:type="dcterms:W3CDTF">2020-02-05T09:40:00Z</dcterms:created>
  <dcterms:modified xsi:type="dcterms:W3CDTF">2020-02-05T09:41:00Z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