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830"/>
        <w:gridCol w:w="3809"/>
      </w:tblGrid>
      <w:tr w:rsidR="00E62A93" w:rsidRPr="003C2FD9" w14:paraId="3A38A286" w14:textId="77777777" w:rsidTr="00F074A4">
        <w:tc>
          <w:tcPr>
            <w:tcW w:w="5830" w:type="dxa"/>
            <w:vAlign w:val="center"/>
            <w:hideMark/>
          </w:tcPr>
          <w:p w14:paraId="51D05234" w14:textId="2CBD08DE" w:rsidR="00E62A93" w:rsidRPr="003C2FD9" w:rsidRDefault="00E62A93" w:rsidP="00F074A4">
            <w:pPr>
              <w:rPr>
                <w:lang w:val="en-US"/>
              </w:rPr>
            </w:pPr>
            <w:r w:rsidRPr="00F63B12">
              <w:rPr>
                <w:lang w:val="en-US"/>
              </w:rPr>
              <w:t xml:space="preserve">Submitted by the experts </w:t>
            </w:r>
            <w:r>
              <w:rPr>
                <w:lang w:val="en-US"/>
              </w:rPr>
              <w:t xml:space="preserve">from the European </w:t>
            </w:r>
            <w:proofErr w:type="spellStart"/>
            <w:r>
              <w:rPr>
                <w:lang w:val="en-US"/>
              </w:rPr>
              <w:t>Tyre</w:t>
            </w:r>
            <w:proofErr w:type="spellEnd"/>
            <w:r>
              <w:rPr>
                <w:lang w:val="en-US"/>
              </w:rPr>
              <w:t xml:space="preserve"> and Rim Technical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(ETRTO)</w:t>
            </w:r>
          </w:p>
        </w:tc>
        <w:tc>
          <w:tcPr>
            <w:tcW w:w="3809" w:type="dxa"/>
            <w:hideMark/>
          </w:tcPr>
          <w:p w14:paraId="3FEE70AE" w14:textId="53683C63" w:rsidR="00E62A93" w:rsidRPr="00DD3348" w:rsidRDefault="00E62A93" w:rsidP="00F074A4">
            <w:pPr>
              <w:rPr>
                <w:lang w:val="en-US"/>
              </w:rPr>
            </w:pPr>
            <w:r w:rsidRPr="00DD3348">
              <w:rPr>
                <w:u w:val="single"/>
                <w:lang w:val="en-US"/>
              </w:rPr>
              <w:t>Informal document</w:t>
            </w:r>
            <w:r w:rsidRPr="00DD3348">
              <w:rPr>
                <w:lang w:val="en-US"/>
              </w:rPr>
              <w:t xml:space="preserve"> </w:t>
            </w:r>
            <w:r w:rsidRPr="00DD3348">
              <w:rPr>
                <w:b/>
                <w:lang w:val="en-US"/>
              </w:rPr>
              <w:t>GRBP-7</w:t>
            </w:r>
            <w:r w:rsidR="00C631D1">
              <w:rPr>
                <w:b/>
                <w:lang w:val="en-US"/>
              </w:rPr>
              <w:t>2</w:t>
            </w:r>
            <w:r w:rsidRPr="00DD3348">
              <w:rPr>
                <w:rFonts w:hint="eastAsia"/>
                <w:b/>
                <w:lang w:val="en-US"/>
              </w:rPr>
              <w:t>-</w:t>
            </w:r>
            <w:r w:rsidR="00BE6143">
              <w:rPr>
                <w:b/>
                <w:lang w:val="en-US"/>
              </w:rPr>
              <w:t>08</w:t>
            </w:r>
            <w:bookmarkStart w:id="0" w:name="_GoBack"/>
            <w:bookmarkEnd w:id="0"/>
          </w:p>
          <w:p w14:paraId="39658A3E" w14:textId="46C334A0" w:rsidR="00E62A93" w:rsidRPr="003C2FD9" w:rsidRDefault="00E62A93" w:rsidP="00F074A4">
            <w:pPr>
              <w:rPr>
                <w:lang w:val="en-US"/>
              </w:rPr>
            </w:pPr>
            <w:r w:rsidRPr="003C2FD9">
              <w:rPr>
                <w:lang w:val="en-US"/>
              </w:rPr>
              <w:t>(</w:t>
            </w:r>
            <w:r>
              <w:rPr>
                <w:lang w:val="en-US"/>
              </w:rPr>
              <w:t>7</w:t>
            </w:r>
            <w:r w:rsidR="00A42D0B">
              <w:rPr>
                <w:lang w:val="en-US"/>
              </w:rPr>
              <w:t>2</w:t>
            </w:r>
            <w:r w:rsidR="00A42D0B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</w:t>
            </w:r>
            <w:r w:rsidRPr="003C2FD9">
              <w:rPr>
                <w:lang w:val="en-US"/>
              </w:rPr>
              <w:t>GRB</w:t>
            </w:r>
            <w:r>
              <w:rPr>
                <w:lang w:val="en-US"/>
              </w:rPr>
              <w:t>P</w:t>
            </w:r>
            <w:r w:rsidRPr="003C2FD9">
              <w:rPr>
                <w:lang w:val="en-US"/>
              </w:rPr>
              <w:t xml:space="preserve">, </w:t>
            </w:r>
            <w:r w:rsidR="00A42D0B" w:rsidRPr="00A42D0B">
              <w:rPr>
                <w:lang w:val="en-US"/>
              </w:rPr>
              <w:t>7-9 September 2020</w:t>
            </w:r>
            <w:r w:rsidRPr="003C2FD9">
              <w:rPr>
                <w:lang w:val="en-US"/>
              </w:rPr>
              <w:t>,</w:t>
            </w:r>
          </w:p>
          <w:p w14:paraId="07754DDC" w14:textId="3059FEB6" w:rsidR="00E62A93" w:rsidRPr="003C2FD9" w:rsidRDefault="00E62A93" w:rsidP="00F074A4">
            <w:pPr>
              <w:rPr>
                <w:lang w:val="en-US"/>
              </w:rPr>
            </w:pPr>
            <w:r w:rsidRPr="003C2FD9">
              <w:rPr>
                <w:lang w:val="en-US"/>
              </w:rPr>
              <w:t xml:space="preserve">agenda item </w:t>
            </w:r>
            <w:r>
              <w:rPr>
                <w:lang w:val="en-US"/>
              </w:rPr>
              <w:t>5 (d</w:t>
            </w:r>
            <w:r w:rsidRPr="003C2FD9">
              <w:rPr>
                <w:lang w:val="en-US"/>
              </w:rPr>
              <w:t>)</w:t>
            </w:r>
            <w:r>
              <w:rPr>
                <w:lang w:val="en-US"/>
              </w:rPr>
              <w:t>)</w:t>
            </w:r>
          </w:p>
        </w:tc>
      </w:tr>
    </w:tbl>
    <w:p w14:paraId="29BFD1F6" w14:textId="77777777" w:rsidR="00E62A93" w:rsidRDefault="00E62A93" w:rsidP="00E62A93">
      <w:pPr>
        <w:tabs>
          <w:tab w:val="left" w:pos="851"/>
        </w:tabs>
        <w:rPr>
          <w:b/>
          <w:sz w:val="22"/>
          <w:szCs w:val="22"/>
          <w:lang w:val="en-US"/>
        </w:rPr>
      </w:pPr>
    </w:p>
    <w:p w14:paraId="3EE697B2" w14:textId="77777777" w:rsidR="00E62A93" w:rsidRDefault="00E62A93" w:rsidP="00E62A93">
      <w:pPr>
        <w:pStyle w:val="Default"/>
      </w:pPr>
    </w:p>
    <w:p w14:paraId="2F564C86" w14:textId="77777777" w:rsidR="00E62A93" w:rsidRDefault="00E62A93" w:rsidP="00E62A93">
      <w:pPr>
        <w:pStyle w:val="Default"/>
        <w:jc w:val="center"/>
        <w:rPr>
          <w:b/>
          <w:bCs/>
          <w:sz w:val="28"/>
          <w:szCs w:val="28"/>
          <w:lang w:val="en-GB"/>
        </w:rPr>
      </w:pPr>
    </w:p>
    <w:p w14:paraId="463CF52D" w14:textId="77777777" w:rsidR="00E62A93" w:rsidRDefault="00E62A93" w:rsidP="00AC73F9">
      <w:pPr>
        <w:pStyle w:val="HChG"/>
        <w:tabs>
          <w:tab w:val="clear" w:pos="851"/>
        </w:tabs>
        <w:spacing w:line="240" w:lineRule="auto"/>
        <w:ind w:hanging="567"/>
      </w:pPr>
    </w:p>
    <w:p w14:paraId="4DAE4CDF" w14:textId="49C6B950" w:rsidR="00E62A93" w:rsidRPr="003C2FD9" w:rsidRDefault="00E62A93" w:rsidP="00E62A93">
      <w:pPr>
        <w:pStyle w:val="Default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41A95">
        <w:rPr>
          <w:b/>
          <w:bCs/>
          <w:sz w:val="28"/>
          <w:szCs w:val="28"/>
          <w:lang w:val="en-GB"/>
        </w:rPr>
        <w:t xml:space="preserve">Proposal for </w:t>
      </w:r>
      <w:r w:rsidRPr="00542CC2">
        <w:rPr>
          <w:b/>
          <w:bCs/>
          <w:sz w:val="28"/>
          <w:szCs w:val="28"/>
        </w:rPr>
        <w:t>amendments</w:t>
      </w:r>
      <w:r>
        <w:rPr>
          <w:b/>
          <w:bCs/>
          <w:sz w:val="28"/>
          <w:szCs w:val="28"/>
        </w:rPr>
        <w:t xml:space="preserve"> </w:t>
      </w:r>
      <w:r w:rsidRPr="00542CC2">
        <w:rPr>
          <w:b/>
          <w:bCs/>
          <w:sz w:val="28"/>
          <w:szCs w:val="28"/>
        </w:rPr>
        <w:t>to</w:t>
      </w:r>
      <w:r>
        <w:rPr>
          <w:b/>
          <w:bCs/>
          <w:sz w:val="28"/>
          <w:szCs w:val="28"/>
        </w:rPr>
        <w:t xml:space="preserve"> </w:t>
      </w:r>
      <w:r w:rsidRPr="00DE1722">
        <w:rPr>
          <w:b/>
          <w:bCs/>
          <w:sz w:val="28"/>
          <w:szCs w:val="28"/>
        </w:rPr>
        <w:t>ECE/TRANS/WP.29/GRBP/20</w:t>
      </w:r>
      <w:r>
        <w:rPr>
          <w:b/>
          <w:bCs/>
          <w:sz w:val="28"/>
          <w:szCs w:val="28"/>
        </w:rPr>
        <w:t>20</w:t>
      </w:r>
      <w:r w:rsidRPr="00DE1722">
        <w:rPr>
          <w:b/>
          <w:bCs/>
          <w:sz w:val="28"/>
          <w:szCs w:val="28"/>
        </w:rPr>
        <w:t>/</w:t>
      </w:r>
      <w:r w:rsidR="00A42D0B">
        <w:rPr>
          <w:b/>
          <w:bCs/>
          <w:sz w:val="28"/>
          <w:szCs w:val="28"/>
        </w:rPr>
        <w:t>15</w:t>
      </w:r>
    </w:p>
    <w:p w14:paraId="32C7F71B" w14:textId="77777777" w:rsidR="00E62A93" w:rsidRPr="003C2FD9" w:rsidRDefault="00E62A93" w:rsidP="00E62A93">
      <w:pPr>
        <w:ind w:right="283"/>
        <w:rPr>
          <w:lang w:val="en-US"/>
        </w:rPr>
      </w:pPr>
    </w:p>
    <w:p w14:paraId="4B5D19A9" w14:textId="67C00E13" w:rsidR="00E62A93" w:rsidRPr="00E62A93" w:rsidRDefault="00E56E9F" w:rsidP="00E56E9F">
      <w:pPr>
        <w:pStyle w:val="SingleTxtG"/>
        <w:rPr>
          <w:lang w:val="en-US"/>
        </w:rPr>
      </w:pPr>
      <w:r>
        <w:rPr>
          <w:lang w:val="en-US"/>
        </w:rPr>
        <w:t>The changes compared to document ECE/TRANS/WP.29/GRBP/2020/</w:t>
      </w:r>
      <w:r w:rsidR="00A42D0B">
        <w:rPr>
          <w:lang w:val="en-US"/>
        </w:rPr>
        <w:t>15</w:t>
      </w:r>
      <w:r>
        <w:rPr>
          <w:lang w:val="en-US"/>
        </w:rPr>
        <w:t xml:space="preserve"> are marked in red.</w:t>
      </w:r>
    </w:p>
    <w:p w14:paraId="5A35070A" w14:textId="77777777" w:rsidR="00C631D1" w:rsidRPr="00AD4644" w:rsidRDefault="00C631D1" w:rsidP="00C631D1">
      <w:pPr>
        <w:keepNext/>
        <w:keepLines/>
        <w:tabs>
          <w:tab w:val="right" w:pos="851"/>
        </w:tabs>
        <w:spacing w:before="360" w:after="240" w:line="300" w:lineRule="exact"/>
        <w:ind w:left="360" w:right="1134"/>
        <w:rPr>
          <w:b/>
          <w:bCs/>
          <w:sz w:val="40"/>
          <w:szCs w:val="28"/>
          <w:lang w:val="en-US"/>
        </w:rPr>
      </w:pPr>
      <w:r w:rsidRPr="00716F84">
        <w:rPr>
          <w:b/>
          <w:bCs/>
          <w:sz w:val="28"/>
          <w:szCs w:val="28"/>
          <w:lang w:val="en-US"/>
        </w:rPr>
        <w:t>I.</w:t>
      </w:r>
      <w:r w:rsidRPr="00716F84">
        <w:rPr>
          <w:b/>
          <w:bCs/>
          <w:sz w:val="28"/>
          <w:szCs w:val="28"/>
          <w:lang w:val="en-US"/>
        </w:rPr>
        <w:tab/>
        <w:t>Proposal</w:t>
      </w:r>
    </w:p>
    <w:p w14:paraId="567780B2" w14:textId="092B650C" w:rsidR="00C631D1" w:rsidRPr="00C631D1" w:rsidRDefault="00C631D1" w:rsidP="00C631D1">
      <w:pPr>
        <w:spacing w:after="120"/>
        <w:ind w:left="1134" w:right="992"/>
        <w:jc w:val="both"/>
        <w:rPr>
          <w:i/>
          <w:color w:val="FF0000"/>
          <w:lang w:val="en-US"/>
        </w:rPr>
      </w:pPr>
      <w:r w:rsidRPr="00C631D1">
        <w:rPr>
          <w:i/>
          <w:color w:val="FF0000"/>
          <w:lang w:val="en-US"/>
        </w:rPr>
        <w:t>Paragraph 2.18.13.</w:t>
      </w:r>
      <w:r w:rsidRPr="00660192">
        <w:rPr>
          <w:i/>
          <w:color w:val="FF0000"/>
          <w:lang w:val="en-US"/>
        </w:rPr>
        <w:t>,</w:t>
      </w:r>
      <w:r w:rsidR="00660192" w:rsidRPr="00660192">
        <w:rPr>
          <w:i/>
          <w:color w:val="FF0000"/>
          <w:lang w:val="en-US"/>
        </w:rPr>
        <w:t xml:space="preserve"> </w:t>
      </w:r>
      <w:r w:rsidRPr="0084009D">
        <w:rPr>
          <w:iCs/>
          <w:color w:val="FF0000"/>
          <w:lang w:val="en-US"/>
        </w:rPr>
        <w:t>amend to read:</w:t>
      </w:r>
    </w:p>
    <w:p w14:paraId="4CD6C2F6" w14:textId="1A1FA731" w:rsidR="00D95B2D" w:rsidRPr="00D95B2D" w:rsidRDefault="00D95B2D" w:rsidP="00D95B2D">
      <w:pPr>
        <w:pStyle w:val="ListParagraph"/>
        <w:spacing w:after="120"/>
        <w:ind w:left="2268" w:right="545" w:hanging="1134"/>
        <w:contextualSpacing w:val="0"/>
        <w:jc w:val="both"/>
        <w:rPr>
          <w:b/>
          <w:color w:val="FF0000"/>
        </w:rPr>
      </w:pPr>
      <w:r w:rsidRPr="00D95B2D">
        <w:rPr>
          <w:rFonts w:eastAsia="Times New Roman"/>
          <w:color w:val="FF0000"/>
        </w:rPr>
        <w:t>“2.18.13.</w:t>
      </w:r>
      <w:r w:rsidRPr="00D95B2D">
        <w:rPr>
          <w:rFonts w:eastAsia="Times New Roman"/>
          <w:color w:val="FF0000"/>
        </w:rPr>
        <w:tab/>
        <w:t xml:space="preserve">The letters ‘LS’ after the nominal rim diameter marking in case of </w:t>
      </w:r>
      <w:r w:rsidRPr="00D95B2D">
        <w:rPr>
          <w:rFonts w:hint="eastAsia"/>
          <w:b/>
          <w:bCs/>
          <w:iCs/>
          <w:color w:val="FF0000"/>
          <w:lang w:val="en-US"/>
        </w:rPr>
        <w:t>log</w:t>
      </w:r>
      <w:r w:rsidRPr="00D95B2D">
        <w:rPr>
          <w:b/>
          <w:bCs/>
          <w:iCs/>
          <w:color w:val="FF0000"/>
          <w:lang w:val="en-US"/>
        </w:rPr>
        <w:t>-</w:t>
      </w:r>
      <w:r w:rsidRPr="00D95B2D">
        <w:rPr>
          <w:rFonts w:hint="eastAsia"/>
          <w:b/>
          <w:bCs/>
          <w:iCs/>
          <w:color w:val="FF0000"/>
          <w:lang w:val="en-US"/>
        </w:rPr>
        <w:t>skidder</w:t>
      </w:r>
      <w:r w:rsidRPr="00D95B2D">
        <w:rPr>
          <w:rFonts w:hint="eastAsia"/>
          <w:iCs/>
          <w:color w:val="FF0000"/>
          <w:lang w:val="en-US"/>
        </w:rPr>
        <w:t xml:space="preserve"> </w:t>
      </w:r>
      <w:r w:rsidRPr="00D95B2D">
        <w:rPr>
          <w:rFonts w:eastAsia="Times New Roman"/>
          <w:color w:val="FF0000"/>
        </w:rPr>
        <w:t>tyres for forestry machines</w:t>
      </w:r>
      <w:r w:rsidRPr="00D95B2D">
        <w:rPr>
          <w:rFonts w:eastAsia="Times New Roman"/>
          <w:color w:val="FF0000"/>
          <w:vertAlign w:val="superscript"/>
        </w:rPr>
        <w:t>2</w:t>
      </w:r>
    </w:p>
    <w:p w14:paraId="66023F4A" w14:textId="77777777" w:rsidR="00D95B2D" w:rsidRPr="00D95B2D" w:rsidRDefault="00D95B2D" w:rsidP="00D95B2D">
      <w:pPr>
        <w:pStyle w:val="Default"/>
        <w:spacing w:after="120"/>
        <w:ind w:left="2268" w:right="545" w:hanging="1134"/>
        <w:rPr>
          <w:b/>
          <w:color w:val="FF0000"/>
          <w:sz w:val="20"/>
          <w:szCs w:val="20"/>
          <w:lang w:val="en-GB"/>
        </w:rPr>
      </w:pPr>
      <w:r w:rsidRPr="00D95B2D">
        <w:rPr>
          <w:color w:val="FF0000"/>
          <w:sz w:val="20"/>
          <w:szCs w:val="20"/>
          <w:lang w:val="en-GB"/>
        </w:rPr>
        <w:tab/>
        <w:t>…</w:t>
      </w:r>
    </w:p>
    <w:p w14:paraId="7F42F79C" w14:textId="4D5D1F89" w:rsidR="00D95B2D" w:rsidRDefault="00D95B2D" w:rsidP="00D95B2D">
      <w:pPr>
        <w:pStyle w:val="Default"/>
        <w:tabs>
          <w:tab w:val="left" w:pos="1418"/>
        </w:tabs>
        <w:spacing w:after="120"/>
        <w:ind w:left="1276" w:right="544" w:hanging="142"/>
        <w:rPr>
          <w:color w:val="FF0000"/>
          <w:sz w:val="18"/>
          <w:szCs w:val="18"/>
          <w:lang w:val="en-GB"/>
        </w:rPr>
      </w:pPr>
      <w:r w:rsidRPr="00D95B2D">
        <w:rPr>
          <w:color w:val="FF0000"/>
          <w:sz w:val="18"/>
          <w:szCs w:val="18"/>
          <w:vertAlign w:val="superscript"/>
          <w:lang w:val="en-GB"/>
        </w:rPr>
        <w:t>2</w:t>
      </w:r>
      <w:r w:rsidRPr="00D95B2D">
        <w:rPr>
          <w:color w:val="FF0000"/>
          <w:sz w:val="18"/>
          <w:szCs w:val="18"/>
          <w:vertAlign w:val="superscript"/>
          <w:lang w:val="en-GB"/>
        </w:rPr>
        <w:tab/>
      </w:r>
      <w:r w:rsidRPr="00D95B2D">
        <w:rPr>
          <w:color w:val="FF0000"/>
          <w:sz w:val="18"/>
          <w:szCs w:val="18"/>
          <w:lang w:val="en-GB"/>
        </w:rPr>
        <w:t>This marking shall only be mandatory for tyre types approved to this Regulation after the entry into force of Supplement 18 to the Regulation.”</w:t>
      </w:r>
    </w:p>
    <w:p w14:paraId="088FBBFD" w14:textId="77777777" w:rsidR="00297813" w:rsidRPr="00D95B2D" w:rsidRDefault="00297813" w:rsidP="00D95B2D">
      <w:pPr>
        <w:pStyle w:val="Default"/>
        <w:tabs>
          <w:tab w:val="left" w:pos="1418"/>
        </w:tabs>
        <w:spacing w:after="120"/>
        <w:ind w:left="1276" w:right="544" w:hanging="142"/>
        <w:rPr>
          <w:b/>
          <w:color w:val="FF0000"/>
          <w:sz w:val="18"/>
          <w:szCs w:val="18"/>
          <w:lang w:val="en-GB"/>
        </w:rPr>
      </w:pPr>
    </w:p>
    <w:p w14:paraId="3F5BEDC3" w14:textId="57656080" w:rsidR="00C631D1" w:rsidRPr="00127A28" w:rsidRDefault="00C631D1" w:rsidP="00C631D1">
      <w:pPr>
        <w:spacing w:after="120"/>
        <w:ind w:left="1134" w:right="992"/>
        <w:jc w:val="both"/>
        <w:rPr>
          <w:iCs/>
          <w:lang w:val="en-US"/>
        </w:rPr>
      </w:pPr>
      <w:r w:rsidRPr="00127A28">
        <w:rPr>
          <w:i/>
          <w:lang w:val="en-US"/>
        </w:rPr>
        <w:t xml:space="preserve">Paragraph 3.3., </w:t>
      </w:r>
      <w:r w:rsidRPr="00127A28">
        <w:rPr>
          <w:iCs/>
          <w:lang w:val="en-US"/>
        </w:rPr>
        <w:t>amend to read:</w:t>
      </w:r>
    </w:p>
    <w:p w14:paraId="44BD3798" w14:textId="77777777" w:rsidR="00C631D1" w:rsidRPr="00127A28" w:rsidRDefault="00C631D1" w:rsidP="00C631D1">
      <w:pPr>
        <w:spacing w:after="120"/>
        <w:ind w:left="2268" w:right="992" w:hanging="1134"/>
        <w:jc w:val="both"/>
        <w:rPr>
          <w:lang w:val="en-US"/>
        </w:rPr>
      </w:pPr>
      <w:r w:rsidRPr="00127A28">
        <w:rPr>
          <w:lang w:val="en-US"/>
        </w:rPr>
        <w:t xml:space="preserve">“3.3. </w:t>
      </w:r>
      <w:r>
        <w:rPr>
          <w:lang w:val="en-US"/>
        </w:rPr>
        <w:tab/>
      </w:r>
      <w:r w:rsidRPr="00127A28">
        <w:rPr>
          <w:strike/>
          <w:lang w:val="en-US"/>
        </w:rPr>
        <w:t>All</w:t>
      </w:r>
      <w:r w:rsidRPr="00127A28">
        <w:rPr>
          <w:lang w:val="en-US"/>
        </w:rPr>
        <w:t xml:space="preserve"> </w:t>
      </w:r>
      <w:r w:rsidRPr="00127A28">
        <w:rPr>
          <w:b/>
          <w:lang w:val="en-US"/>
        </w:rPr>
        <w:t>The</w:t>
      </w:r>
      <w:r w:rsidRPr="00127A28">
        <w:rPr>
          <w:lang w:val="en-US"/>
        </w:rPr>
        <w:t xml:space="preserve"> markings </w:t>
      </w:r>
      <w:r w:rsidRPr="00127A28">
        <w:rPr>
          <w:b/>
          <w:lang w:val="en-US"/>
        </w:rPr>
        <w:t>referred to in paragraph 3.1</w:t>
      </w:r>
      <w:r>
        <w:rPr>
          <w:b/>
          <w:lang w:val="en-US"/>
        </w:rPr>
        <w:t>.</w:t>
      </w:r>
      <w:r w:rsidRPr="00127A28">
        <w:rPr>
          <w:b/>
          <w:lang w:val="en-US"/>
        </w:rPr>
        <w:t xml:space="preserve"> and the approval mark prescribed in paragraph 5.4</w:t>
      </w:r>
      <w:r>
        <w:rPr>
          <w:b/>
          <w:lang w:val="en-US"/>
        </w:rPr>
        <w:t>.</w:t>
      </w:r>
      <w:r w:rsidRPr="00127A28">
        <w:rPr>
          <w:b/>
          <w:lang w:val="en-US"/>
        </w:rPr>
        <w:t xml:space="preserve"> of this Regulation</w:t>
      </w:r>
      <w:r w:rsidRPr="00127A28">
        <w:rPr>
          <w:lang w:val="en-US"/>
        </w:rPr>
        <w:t xml:space="preserve"> shall be clearly </w:t>
      </w:r>
      <w:r w:rsidRPr="00127A28">
        <w:rPr>
          <w:b/>
          <w:lang w:val="en-US"/>
        </w:rPr>
        <w:t xml:space="preserve">legible, indelible and raised above or sunk below the </w:t>
      </w:r>
      <w:proofErr w:type="spellStart"/>
      <w:r w:rsidRPr="00127A28">
        <w:rPr>
          <w:b/>
          <w:lang w:val="en-US"/>
        </w:rPr>
        <w:t>tyre</w:t>
      </w:r>
      <w:proofErr w:type="spellEnd"/>
      <w:r w:rsidRPr="00127A28">
        <w:rPr>
          <w:b/>
          <w:lang w:val="en-US"/>
        </w:rPr>
        <w:t xml:space="preserve"> surface.</w:t>
      </w:r>
      <w:r w:rsidRPr="00127A28">
        <w:rPr>
          <w:lang w:val="en-US"/>
        </w:rPr>
        <w:t xml:space="preserve"> </w:t>
      </w:r>
      <w:r w:rsidRPr="00127A28">
        <w:rPr>
          <w:strike/>
          <w:lang w:val="en-US"/>
        </w:rPr>
        <w:t>and legibly</w:t>
      </w:r>
      <w:r w:rsidRPr="00127A28">
        <w:rPr>
          <w:lang w:val="en-US"/>
        </w:rPr>
        <w:t xml:space="preserve"> </w:t>
      </w:r>
      <w:proofErr w:type="spellStart"/>
      <w:r w:rsidRPr="00127A28">
        <w:rPr>
          <w:strike/>
          <w:lang w:val="en-US"/>
        </w:rPr>
        <w:t>moulded</w:t>
      </w:r>
      <w:proofErr w:type="spellEnd"/>
      <w:r w:rsidRPr="00127A28">
        <w:rPr>
          <w:strike/>
          <w:lang w:val="en-US"/>
        </w:rPr>
        <w:t xml:space="preserve"> and produced as part of the process during manufacture. The use of branding or other methods of marking after completion of the original manufacturing process is not permitted.</w:t>
      </w:r>
      <w:r w:rsidRPr="00127A28">
        <w:rPr>
          <w:lang w:val="en-US"/>
        </w:rPr>
        <w:t>”</w:t>
      </w:r>
    </w:p>
    <w:p w14:paraId="2A0A8F52" w14:textId="77777777" w:rsidR="00C631D1" w:rsidRPr="00127A28" w:rsidRDefault="00C631D1" w:rsidP="00C631D1">
      <w:pPr>
        <w:spacing w:after="120"/>
        <w:ind w:left="1134" w:right="992"/>
        <w:jc w:val="both"/>
        <w:rPr>
          <w:iCs/>
          <w:lang w:val="en-US"/>
        </w:rPr>
      </w:pPr>
      <w:r w:rsidRPr="00127A28">
        <w:rPr>
          <w:i/>
          <w:lang w:val="en-US"/>
        </w:rPr>
        <w:t xml:space="preserve">Insert a new paragraph 3.4.1. </w:t>
      </w:r>
      <w:r w:rsidRPr="00127A28">
        <w:rPr>
          <w:iCs/>
          <w:lang w:val="en-US"/>
        </w:rPr>
        <w:t>to read</w:t>
      </w:r>
      <w:r>
        <w:rPr>
          <w:iCs/>
          <w:lang w:val="en-US"/>
        </w:rPr>
        <w:t>:</w:t>
      </w:r>
    </w:p>
    <w:p w14:paraId="7229131B" w14:textId="77777777" w:rsidR="00C631D1" w:rsidRPr="00CC1634" w:rsidRDefault="00C631D1" w:rsidP="00C631D1">
      <w:pPr>
        <w:spacing w:after="120"/>
        <w:ind w:left="2268" w:right="992" w:hanging="1134"/>
        <w:jc w:val="both"/>
        <w:rPr>
          <w:bCs/>
          <w:lang w:val="en-US"/>
        </w:rPr>
      </w:pPr>
      <w:r w:rsidRPr="00127A28">
        <w:rPr>
          <w:lang w:val="en-US"/>
        </w:rPr>
        <w:t>“</w:t>
      </w:r>
      <w:r w:rsidRPr="00127A28">
        <w:rPr>
          <w:b/>
          <w:lang w:val="en-US"/>
        </w:rPr>
        <w:t xml:space="preserve">3.4.1. </w:t>
      </w:r>
      <w:r>
        <w:rPr>
          <w:b/>
          <w:lang w:val="en-US"/>
        </w:rPr>
        <w:tab/>
      </w:r>
      <w:r w:rsidRPr="00127A28">
        <w:rPr>
          <w:b/>
          <w:lang w:val="en-US"/>
        </w:rPr>
        <w:t xml:space="preserve">In the case that the date of manufacture is not </w:t>
      </w:r>
      <w:proofErr w:type="spellStart"/>
      <w:r w:rsidRPr="00127A28">
        <w:rPr>
          <w:b/>
          <w:lang w:val="en-US"/>
        </w:rPr>
        <w:t>moulded</w:t>
      </w:r>
      <w:proofErr w:type="spellEnd"/>
      <w:r w:rsidRPr="00127A28">
        <w:rPr>
          <w:b/>
          <w:lang w:val="en-US"/>
        </w:rPr>
        <w:t xml:space="preserve">, it shall be applied not later than 24 hours after the </w:t>
      </w:r>
      <w:proofErr w:type="spellStart"/>
      <w:r w:rsidRPr="00127A28">
        <w:rPr>
          <w:b/>
          <w:lang w:val="en-US"/>
        </w:rPr>
        <w:t>tyre</w:t>
      </w:r>
      <w:proofErr w:type="spellEnd"/>
      <w:r w:rsidRPr="00127A28">
        <w:rPr>
          <w:b/>
          <w:lang w:val="en-US"/>
        </w:rPr>
        <w:t xml:space="preserve"> is removed from the </w:t>
      </w:r>
      <w:proofErr w:type="spellStart"/>
      <w:r w:rsidRPr="00127A28">
        <w:rPr>
          <w:b/>
          <w:lang w:val="en-US"/>
        </w:rPr>
        <w:t>mould</w:t>
      </w:r>
      <w:proofErr w:type="spellEnd"/>
      <w:r w:rsidRPr="00127A28">
        <w:rPr>
          <w:b/>
          <w:lang w:val="en-US"/>
        </w:rPr>
        <w:t>.</w:t>
      </w:r>
      <w:r w:rsidRPr="00127A28">
        <w:rPr>
          <w:lang w:val="en-US"/>
        </w:rPr>
        <w:t>”</w:t>
      </w:r>
    </w:p>
    <w:p w14:paraId="2CCED63D" w14:textId="77777777" w:rsidR="00C631D1" w:rsidRPr="00E5260A" w:rsidRDefault="00C631D1" w:rsidP="00C631D1">
      <w:pPr>
        <w:keepNext/>
        <w:keepLines/>
        <w:tabs>
          <w:tab w:val="right" w:pos="851"/>
        </w:tabs>
        <w:spacing w:before="360" w:after="240" w:line="300" w:lineRule="exact"/>
        <w:ind w:left="360" w:right="1134"/>
        <w:rPr>
          <w:b/>
          <w:bCs/>
          <w:sz w:val="28"/>
          <w:szCs w:val="28"/>
          <w:lang w:val="en-US"/>
        </w:rPr>
      </w:pPr>
      <w:r w:rsidRPr="00E5260A">
        <w:rPr>
          <w:b/>
          <w:bCs/>
          <w:sz w:val="28"/>
          <w:szCs w:val="28"/>
          <w:lang w:val="en-US"/>
        </w:rPr>
        <w:tab/>
        <w:t>II.</w:t>
      </w:r>
      <w:r w:rsidRPr="00E5260A">
        <w:rPr>
          <w:b/>
          <w:bCs/>
          <w:sz w:val="28"/>
          <w:szCs w:val="28"/>
          <w:lang w:val="en-US"/>
        </w:rPr>
        <w:tab/>
        <w:t>Justification</w:t>
      </w:r>
    </w:p>
    <w:p w14:paraId="15FDBD80" w14:textId="77777777" w:rsidR="00C631D1" w:rsidRDefault="00C631D1" w:rsidP="00C631D1">
      <w:pPr>
        <w:pStyle w:val="ListParagraph"/>
        <w:numPr>
          <w:ilvl w:val="0"/>
          <w:numId w:val="28"/>
        </w:numPr>
        <w:spacing w:after="120"/>
        <w:ind w:left="1134" w:right="1134" w:firstLine="0"/>
        <w:contextualSpacing w:val="0"/>
        <w:jc w:val="both"/>
      </w:pPr>
      <w:r>
        <w:t xml:space="preserve">As presented in Informal document </w:t>
      </w:r>
      <w:r w:rsidRPr="006854CB">
        <w:t>GRBP-71-08</w:t>
      </w:r>
      <w:r>
        <w:t>,</w:t>
      </w:r>
      <w:r w:rsidRPr="006854CB">
        <w:t xml:space="preserve"> </w:t>
      </w:r>
      <w:r>
        <w:t>the use of wording “moulded” is a technical limitation linked to the technology available at the time of the first issue of the Regulations, but now is only one of the various technical solution.</w:t>
      </w:r>
    </w:p>
    <w:p w14:paraId="425B9B16" w14:textId="77777777" w:rsidR="00C631D1" w:rsidRDefault="00C631D1" w:rsidP="00C631D1">
      <w:pPr>
        <w:pStyle w:val="ListParagraph"/>
        <w:numPr>
          <w:ilvl w:val="0"/>
          <w:numId w:val="28"/>
        </w:numPr>
        <w:spacing w:after="120"/>
        <w:ind w:left="1134" w:right="1134" w:firstLine="0"/>
        <w:contextualSpacing w:val="0"/>
        <w:jc w:val="both"/>
      </w:pPr>
      <w:r>
        <w:t xml:space="preserve">The </w:t>
      </w:r>
      <w:bookmarkStart w:id="1" w:name="_Hlk39670090"/>
      <w:r>
        <w:t>removal of this technical limitation would be advisable following the principle of not stopping the technical innovations</w:t>
      </w:r>
      <w:bookmarkEnd w:id="1"/>
      <w:r>
        <w:t>.</w:t>
      </w:r>
    </w:p>
    <w:p w14:paraId="4F596EB0" w14:textId="77777777" w:rsidR="00C631D1" w:rsidRDefault="00C631D1" w:rsidP="00C631D1">
      <w:pPr>
        <w:pStyle w:val="ListParagraph"/>
        <w:numPr>
          <w:ilvl w:val="0"/>
          <w:numId w:val="28"/>
        </w:numPr>
        <w:spacing w:after="120"/>
        <w:ind w:left="1134" w:right="1134" w:firstLine="0"/>
        <w:contextualSpacing w:val="0"/>
        <w:jc w:val="both"/>
      </w:pPr>
      <w:r>
        <w:t>ETRTO proposes to amend the UN Regulations on tyres in order to allow tyre marking methods other than moulding by keeping the following criteria:</w:t>
      </w:r>
    </w:p>
    <w:p w14:paraId="34F82BA8" w14:textId="77777777" w:rsidR="00C631D1" w:rsidRDefault="00C631D1" w:rsidP="00C631D1">
      <w:pPr>
        <w:pStyle w:val="ListParagraph"/>
        <w:numPr>
          <w:ilvl w:val="0"/>
          <w:numId w:val="29"/>
        </w:numPr>
        <w:spacing w:after="120"/>
        <w:ind w:left="1701" w:right="1134" w:hanging="567"/>
        <w:contextualSpacing w:val="0"/>
        <w:jc w:val="both"/>
      </w:pPr>
      <w:r>
        <w:t xml:space="preserve">Any technical solution alternative to the "moulding" shall guarantee that the markings on the tyre sidewall is clearly legible and indelible. </w:t>
      </w:r>
    </w:p>
    <w:p w14:paraId="2FAF9E14" w14:textId="3A53989E" w:rsidR="00C631D1" w:rsidRDefault="00C631D1" w:rsidP="00C631D1">
      <w:pPr>
        <w:pStyle w:val="ListParagraph"/>
        <w:numPr>
          <w:ilvl w:val="0"/>
          <w:numId w:val="29"/>
        </w:numPr>
        <w:spacing w:after="120" w:line="240" w:lineRule="auto"/>
        <w:ind w:left="1701" w:right="1134" w:hanging="567"/>
        <w:contextualSpacing w:val="0"/>
        <w:jc w:val="both"/>
      </w:pPr>
      <w:r>
        <w:t>It shall be made sure that the marking of the manufacturing date will be done within 24 hours after de-moulding of the tyre (like in the United States of America Code of Federal Regulations 49 CFR 574.5).</w:t>
      </w:r>
    </w:p>
    <w:p w14:paraId="3412B56C" w14:textId="739AA9B4" w:rsidR="00C45505" w:rsidRDefault="008010B1" w:rsidP="008010B1">
      <w:pPr>
        <w:pStyle w:val="ListParagraph"/>
        <w:numPr>
          <w:ilvl w:val="0"/>
          <w:numId w:val="28"/>
        </w:numPr>
        <w:spacing w:after="120" w:line="240" w:lineRule="auto"/>
        <w:ind w:left="1701" w:right="1134" w:hanging="567"/>
        <w:jc w:val="both"/>
      </w:pPr>
      <w:r w:rsidRPr="008010B1">
        <w:rPr>
          <w:color w:val="FF0000"/>
        </w:rPr>
        <w:t>The word “log-skidder” is added in the paragraph 2.18.13 i</w:t>
      </w:r>
      <w:r w:rsidR="00C45505" w:rsidRPr="008010B1">
        <w:rPr>
          <w:color w:val="FF0000"/>
        </w:rPr>
        <w:t xml:space="preserve">n order to </w:t>
      </w:r>
      <w:r w:rsidR="00C45505" w:rsidRPr="008010B1">
        <w:rPr>
          <w:rFonts w:hint="eastAsia"/>
          <w:color w:val="FF0000"/>
        </w:rPr>
        <w:t xml:space="preserve">not conflict with </w:t>
      </w:r>
      <w:r w:rsidR="00C45505" w:rsidRPr="008010B1">
        <w:rPr>
          <w:color w:val="FF0000"/>
        </w:rPr>
        <w:t>paragraph</w:t>
      </w:r>
      <w:r w:rsidR="00C45505" w:rsidRPr="008010B1">
        <w:rPr>
          <w:rFonts w:hint="eastAsia"/>
          <w:color w:val="FF0000"/>
        </w:rPr>
        <w:t xml:space="preserve"> 3.1.15. </w:t>
      </w:r>
      <w:r w:rsidR="00C45505" w:rsidRPr="008010B1">
        <w:rPr>
          <w:color w:val="FF0000"/>
        </w:rPr>
        <w:t>in which t</w:t>
      </w:r>
      <w:r w:rsidR="00C45505" w:rsidRPr="008010B1">
        <w:rPr>
          <w:rFonts w:hint="eastAsia"/>
          <w:color w:val="FF0000"/>
        </w:rPr>
        <w:t>he inscriptions "HF</w:t>
      </w:r>
      <w:r w:rsidR="005D721F">
        <w:rPr>
          <w:rFonts w:hint="eastAsia"/>
          <w:color w:val="FF0000"/>
        </w:rPr>
        <w:t> </w:t>
      </w:r>
      <w:r w:rsidR="005D721F">
        <w:rPr>
          <w:color w:val="FF0000"/>
        </w:rPr>
        <w:noBreakHyphen/>
        <w:t> </w:t>
      </w:r>
      <w:r w:rsidR="00C45505" w:rsidRPr="008010B1">
        <w:rPr>
          <w:rFonts w:hint="eastAsia"/>
          <w:color w:val="FF0000"/>
        </w:rPr>
        <w:t>1", "HF</w:t>
      </w:r>
      <w:r w:rsidR="005D721F">
        <w:rPr>
          <w:rFonts w:hint="eastAsia"/>
          <w:color w:val="FF0000"/>
        </w:rPr>
        <w:t> </w:t>
      </w:r>
      <w:r w:rsidR="005D721F">
        <w:rPr>
          <w:color w:val="FF0000"/>
        </w:rPr>
        <w:noBreakHyphen/>
        <w:t> </w:t>
      </w:r>
      <w:r w:rsidR="00C45505" w:rsidRPr="008010B1">
        <w:rPr>
          <w:rFonts w:hint="eastAsia"/>
          <w:color w:val="FF0000"/>
        </w:rPr>
        <w:t>2", "HF</w:t>
      </w:r>
      <w:r w:rsidR="005D721F">
        <w:rPr>
          <w:rFonts w:hint="eastAsia"/>
          <w:color w:val="FF0000"/>
        </w:rPr>
        <w:t> </w:t>
      </w:r>
      <w:r w:rsidR="005D721F">
        <w:rPr>
          <w:color w:val="FF0000"/>
        </w:rPr>
        <w:noBreakHyphen/>
        <w:t> </w:t>
      </w:r>
      <w:r w:rsidR="00C45505" w:rsidRPr="008010B1">
        <w:rPr>
          <w:rFonts w:hint="eastAsia"/>
          <w:color w:val="FF0000"/>
        </w:rPr>
        <w:t>3", or "HF</w:t>
      </w:r>
      <w:r w:rsidR="005D721F">
        <w:rPr>
          <w:rFonts w:hint="eastAsia"/>
          <w:color w:val="FF0000"/>
        </w:rPr>
        <w:t> </w:t>
      </w:r>
      <w:r w:rsidR="005D721F">
        <w:rPr>
          <w:color w:val="FF0000"/>
        </w:rPr>
        <w:noBreakHyphen/>
        <w:t> </w:t>
      </w:r>
      <w:r w:rsidR="00C45505" w:rsidRPr="008010B1">
        <w:rPr>
          <w:rFonts w:hint="eastAsia"/>
          <w:color w:val="FF0000"/>
        </w:rPr>
        <w:t xml:space="preserve">4" </w:t>
      </w:r>
      <w:r w:rsidR="00C45505" w:rsidRPr="008010B1">
        <w:rPr>
          <w:color w:val="FF0000"/>
        </w:rPr>
        <w:lastRenderedPageBreak/>
        <w:t xml:space="preserve">are required </w:t>
      </w:r>
      <w:r w:rsidR="00C45505" w:rsidRPr="008010B1">
        <w:rPr>
          <w:rFonts w:hint="eastAsia"/>
          <w:color w:val="FF0000"/>
        </w:rPr>
        <w:t>in the case of</w:t>
      </w:r>
      <w:r w:rsidR="00C45505" w:rsidRPr="008010B1">
        <w:rPr>
          <w:color w:val="FF0000"/>
        </w:rPr>
        <w:t xml:space="preserve"> high</w:t>
      </w:r>
      <w:r w:rsidRPr="008010B1">
        <w:rPr>
          <w:color w:val="FF0000"/>
        </w:rPr>
        <w:t>-</w:t>
      </w:r>
      <w:r w:rsidR="00C45505" w:rsidRPr="008010B1">
        <w:rPr>
          <w:color w:val="FF0000"/>
        </w:rPr>
        <w:t>flotation tyres for forestry machines listed in Annex</w:t>
      </w:r>
      <w:r w:rsidR="005D721F">
        <w:rPr>
          <w:color w:val="FF0000"/>
        </w:rPr>
        <w:t> </w:t>
      </w:r>
      <w:r w:rsidR="00C45505" w:rsidRPr="008010B1">
        <w:rPr>
          <w:color w:val="FF0000"/>
        </w:rPr>
        <w:t>5 Table</w:t>
      </w:r>
      <w:r w:rsidR="005D721F">
        <w:rPr>
          <w:color w:val="FF0000"/>
        </w:rPr>
        <w:t> </w:t>
      </w:r>
      <w:r w:rsidR="00C45505" w:rsidRPr="008010B1">
        <w:rPr>
          <w:color w:val="FF0000"/>
        </w:rPr>
        <w:t>7.</w:t>
      </w:r>
    </w:p>
    <w:p w14:paraId="40B3C677" w14:textId="7FF3978D" w:rsidR="00171DD0" w:rsidRPr="00C45505" w:rsidRDefault="00C631D1" w:rsidP="00C4550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71DD0" w:rsidRPr="00C45505" w:rsidSect="00E56E9F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701" w:right="1134" w:bottom="1134" w:left="1134" w:header="1134" w:footer="7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77C6D" w14:textId="77777777" w:rsidR="00194A59" w:rsidRDefault="00194A59"/>
  </w:endnote>
  <w:endnote w:type="continuationSeparator" w:id="0">
    <w:p w14:paraId="7790FE08" w14:textId="77777777" w:rsidR="00194A59" w:rsidRDefault="00194A59"/>
  </w:endnote>
  <w:endnote w:type="continuationNotice" w:id="1">
    <w:p w14:paraId="792BD8B6" w14:textId="77777777" w:rsidR="00194A59" w:rsidRDefault="00194A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C4216" w14:textId="794D4FD8" w:rsidR="00AC73F9" w:rsidRPr="00923752" w:rsidRDefault="00EC4734" w:rsidP="00923752">
    <w:pPr>
      <w:pStyle w:val="Footer"/>
      <w:tabs>
        <w:tab w:val="right" w:pos="9638"/>
      </w:tabs>
      <w:rPr>
        <w:sz w:val="18"/>
      </w:rPr>
    </w:pPr>
    <w:r w:rsidRPr="00923752">
      <w:rPr>
        <w:b/>
        <w:sz w:val="18"/>
      </w:rPr>
      <w:fldChar w:fldCharType="begin"/>
    </w:r>
    <w:r w:rsidR="00AC73F9"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765638">
      <w:rPr>
        <w:b/>
        <w:noProof/>
        <w:sz w:val="18"/>
      </w:rPr>
      <w:t>2</w:t>
    </w:r>
    <w:r w:rsidRPr="00923752">
      <w:rPr>
        <w:b/>
        <w:sz w:val="18"/>
      </w:rPr>
      <w:fldChar w:fldCharType="end"/>
    </w:r>
    <w:r w:rsidR="00AC73F9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59236" w14:textId="32AC2E1C" w:rsidR="00AC73F9" w:rsidRPr="00923752" w:rsidRDefault="00AC73F9" w:rsidP="00923752">
    <w:pPr>
      <w:pStyle w:val="Footer"/>
      <w:tabs>
        <w:tab w:val="right" w:pos="9638"/>
      </w:tabs>
      <w:rPr>
        <w:b/>
        <w:sz w:val="18"/>
      </w:rPr>
    </w:pPr>
    <w:r>
      <w:tab/>
    </w:r>
    <w:r w:rsidR="00EC4734"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="00EC4734" w:rsidRPr="00923752">
      <w:rPr>
        <w:b/>
        <w:sz w:val="18"/>
      </w:rPr>
      <w:fldChar w:fldCharType="separate"/>
    </w:r>
    <w:r w:rsidR="002D2B9E">
      <w:rPr>
        <w:b/>
        <w:noProof/>
        <w:sz w:val="18"/>
      </w:rPr>
      <w:t>3</w:t>
    </w:r>
    <w:r w:rsidR="00EC4734" w:rsidRPr="00923752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BAD6C" w14:textId="77777777" w:rsidR="00194A59" w:rsidRPr="000B175B" w:rsidRDefault="00194A5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A3AD82E" w14:textId="77777777" w:rsidR="00194A59" w:rsidRPr="00FC68B7" w:rsidRDefault="00194A5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C4E0905" w14:textId="77777777" w:rsidR="00194A59" w:rsidRDefault="00194A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ADC51" w14:textId="4A8EC328" w:rsidR="00AC73F9" w:rsidRPr="00923752" w:rsidRDefault="00AC73F9">
    <w:pPr>
      <w:pStyle w:val="Header"/>
    </w:pPr>
    <w:r>
      <w:t>ECE/TRANS/WP.29/GR</w:t>
    </w:r>
    <w:r w:rsidR="00842473">
      <w:t>BP</w:t>
    </w:r>
    <w:r>
      <w:t>/20</w:t>
    </w:r>
    <w:r w:rsidR="00842473">
      <w:t>20</w:t>
    </w:r>
    <w:r>
      <w:t>/</w:t>
    </w:r>
    <w:r w:rsidR="00CF4254"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13588" w14:textId="034357A4" w:rsidR="00AC73F9" w:rsidRPr="00923752" w:rsidRDefault="00AC73F9" w:rsidP="00923752">
    <w:pPr>
      <w:pStyle w:val="Header"/>
      <w:jc w:val="right"/>
    </w:pPr>
    <w:r>
      <w:t>ECE/TRANS/WP.29/GR</w:t>
    </w:r>
    <w:r w:rsidR="00725034">
      <w:t>BP</w:t>
    </w:r>
    <w:r>
      <w:t>/20</w:t>
    </w:r>
    <w:r w:rsidR="00725034">
      <w:t>20</w:t>
    </w:r>
    <w:r>
      <w:t>/</w:t>
    </w:r>
    <w:r w:rsidR="00725034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6C4BDA"/>
    <w:multiLevelType w:val="hybridMultilevel"/>
    <w:tmpl w:val="1AD271F4"/>
    <w:lvl w:ilvl="0" w:tplc="46CA14F4">
      <w:start w:val="1"/>
      <w:numFmt w:val="decimal"/>
      <w:lvlText w:val="%1."/>
      <w:lvlJc w:val="left"/>
      <w:pPr>
        <w:ind w:left="1491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211" w:hanging="360"/>
      </w:pPr>
    </w:lvl>
    <w:lvl w:ilvl="2" w:tplc="080C001B" w:tentative="1">
      <w:start w:val="1"/>
      <w:numFmt w:val="lowerRoman"/>
      <w:lvlText w:val="%3."/>
      <w:lvlJc w:val="right"/>
      <w:pPr>
        <w:ind w:left="2931" w:hanging="180"/>
      </w:pPr>
    </w:lvl>
    <w:lvl w:ilvl="3" w:tplc="080C000F" w:tentative="1">
      <w:start w:val="1"/>
      <w:numFmt w:val="decimal"/>
      <w:lvlText w:val="%4."/>
      <w:lvlJc w:val="left"/>
      <w:pPr>
        <w:ind w:left="3651" w:hanging="360"/>
      </w:pPr>
    </w:lvl>
    <w:lvl w:ilvl="4" w:tplc="080C0019" w:tentative="1">
      <w:start w:val="1"/>
      <w:numFmt w:val="lowerLetter"/>
      <w:lvlText w:val="%5."/>
      <w:lvlJc w:val="left"/>
      <w:pPr>
        <w:ind w:left="4371" w:hanging="360"/>
      </w:pPr>
    </w:lvl>
    <w:lvl w:ilvl="5" w:tplc="080C001B" w:tentative="1">
      <w:start w:val="1"/>
      <w:numFmt w:val="lowerRoman"/>
      <w:lvlText w:val="%6."/>
      <w:lvlJc w:val="right"/>
      <w:pPr>
        <w:ind w:left="5091" w:hanging="180"/>
      </w:pPr>
    </w:lvl>
    <w:lvl w:ilvl="6" w:tplc="080C000F" w:tentative="1">
      <w:start w:val="1"/>
      <w:numFmt w:val="decimal"/>
      <w:lvlText w:val="%7."/>
      <w:lvlJc w:val="left"/>
      <w:pPr>
        <w:ind w:left="5811" w:hanging="360"/>
      </w:pPr>
    </w:lvl>
    <w:lvl w:ilvl="7" w:tplc="080C0019" w:tentative="1">
      <w:start w:val="1"/>
      <w:numFmt w:val="lowerLetter"/>
      <w:lvlText w:val="%8."/>
      <w:lvlJc w:val="left"/>
      <w:pPr>
        <w:ind w:left="6531" w:hanging="360"/>
      </w:pPr>
    </w:lvl>
    <w:lvl w:ilvl="8" w:tplc="080C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4" w15:restartNumberingAfterBreak="0">
    <w:nsid w:val="1DCB3EB7"/>
    <w:multiLevelType w:val="hybridMultilevel"/>
    <w:tmpl w:val="FDA2EC52"/>
    <w:lvl w:ilvl="0" w:tplc="D19AB896">
      <w:start w:val="1"/>
      <w:numFmt w:val="lowerLetter"/>
      <w:lvlText w:val="(%1)"/>
      <w:lvlJc w:val="left"/>
      <w:pPr>
        <w:ind w:left="2829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5" w15:restartNumberingAfterBreak="0">
    <w:nsid w:val="1EC23861"/>
    <w:multiLevelType w:val="hybridMultilevel"/>
    <w:tmpl w:val="1F7E7D3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BE11E5"/>
    <w:multiLevelType w:val="hybridMultilevel"/>
    <w:tmpl w:val="CC1AADE2"/>
    <w:lvl w:ilvl="0" w:tplc="6310F9B8">
      <w:start w:val="1"/>
      <w:numFmt w:val="upperRoman"/>
      <w:lvlText w:val="%1."/>
      <w:lvlJc w:val="left"/>
      <w:pPr>
        <w:ind w:left="42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564" w:hanging="360"/>
      </w:pPr>
    </w:lvl>
    <w:lvl w:ilvl="2" w:tplc="0809001B" w:tentative="1">
      <w:start w:val="1"/>
      <w:numFmt w:val="lowerRoman"/>
      <w:lvlText w:val="%3."/>
      <w:lvlJc w:val="right"/>
      <w:pPr>
        <w:ind w:left="5284" w:hanging="180"/>
      </w:pPr>
    </w:lvl>
    <w:lvl w:ilvl="3" w:tplc="0809000F" w:tentative="1">
      <w:start w:val="1"/>
      <w:numFmt w:val="decimal"/>
      <w:lvlText w:val="%4."/>
      <w:lvlJc w:val="left"/>
      <w:pPr>
        <w:ind w:left="6004" w:hanging="360"/>
      </w:pPr>
    </w:lvl>
    <w:lvl w:ilvl="4" w:tplc="08090019" w:tentative="1">
      <w:start w:val="1"/>
      <w:numFmt w:val="lowerLetter"/>
      <w:lvlText w:val="%5."/>
      <w:lvlJc w:val="left"/>
      <w:pPr>
        <w:ind w:left="6724" w:hanging="360"/>
      </w:pPr>
    </w:lvl>
    <w:lvl w:ilvl="5" w:tplc="0809001B" w:tentative="1">
      <w:start w:val="1"/>
      <w:numFmt w:val="lowerRoman"/>
      <w:lvlText w:val="%6."/>
      <w:lvlJc w:val="right"/>
      <w:pPr>
        <w:ind w:left="7444" w:hanging="180"/>
      </w:pPr>
    </w:lvl>
    <w:lvl w:ilvl="6" w:tplc="0809000F" w:tentative="1">
      <w:start w:val="1"/>
      <w:numFmt w:val="decimal"/>
      <w:lvlText w:val="%7."/>
      <w:lvlJc w:val="left"/>
      <w:pPr>
        <w:ind w:left="8164" w:hanging="360"/>
      </w:pPr>
    </w:lvl>
    <w:lvl w:ilvl="7" w:tplc="08090019" w:tentative="1">
      <w:start w:val="1"/>
      <w:numFmt w:val="lowerLetter"/>
      <w:lvlText w:val="%8."/>
      <w:lvlJc w:val="left"/>
      <w:pPr>
        <w:ind w:left="8884" w:hanging="360"/>
      </w:pPr>
    </w:lvl>
    <w:lvl w:ilvl="8" w:tplc="0809001B" w:tentative="1">
      <w:start w:val="1"/>
      <w:numFmt w:val="lowerRoman"/>
      <w:lvlText w:val="%9."/>
      <w:lvlJc w:val="right"/>
      <w:pPr>
        <w:ind w:left="9604" w:hanging="180"/>
      </w:pPr>
    </w:lvl>
  </w:abstractNum>
  <w:abstractNum w:abstractNumId="18" w15:restartNumberingAfterBreak="0">
    <w:nsid w:val="44D1453C"/>
    <w:multiLevelType w:val="hybridMultilevel"/>
    <w:tmpl w:val="C068E08E"/>
    <w:lvl w:ilvl="0" w:tplc="04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9" w15:restartNumberingAfterBreak="0">
    <w:nsid w:val="47F00BBB"/>
    <w:multiLevelType w:val="hybridMultilevel"/>
    <w:tmpl w:val="605ADCAC"/>
    <w:lvl w:ilvl="0" w:tplc="0868C63E">
      <w:start w:val="1"/>
      <w:numFmt w:val="bullet"/>
      <w:lvlText w:val="−"/>
      <w:lvlJc w:val="left"/>
      <w:pPr>
        <w:tabs>
          <w:tab w:val="num" w:pos="3492"/>
        </w:tabs>
        <w:ind w:left="34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12"/>
        </w:tabs>
        <w:ind w:left="7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32"/>
        </w:tabs>
        <w:ind w:left="8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52"/>
        </w:tabs>
        <w:ind w:left="9252" w:hanging="360"/>
      </w:pPr>
      <w:rPr>
        <w:rFonts w:ascii="Wingdings" w:hAnsi="Wingdings" w:hint="default"/>
      </w:rPr>
    </w:lvl>
  </w:abstractNum>
  <w:abstractNum w:abstractNumId="20" w15:restartNumberingAfterBreak="0">
    <w:nsid w:val="4E7349AD"/>
    <w:multiLevelType w:val="hybridMultilevel"/>
    <w:tmpl w:val="22904B36"/>
    <w:lvl w:ilvl="0" w:tplc="033EBD28">
      <w:start w:val="2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1" w15:restartNumberingAfterBreak="0">
    <w:nsid w:val="4FED716A"/>
    <w:multiLevelType w:val="hybridMultilevel"/>
    <w:tmpl w:val="5A8AB79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16145AF"/>
    <w:multiLevelType w:val="hybridMultilevel"/>
    <w:tmpl w:val="5B10ECC6"/>
    <w:lvl w:ilvl="0" w:tplc="69B235B8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5BF17232"/>
    <w:multiLevelType w:val="hybridMultilevel"/>
    <w:tmpl w:val="682826EC"/>
    <w:lvl w:ilvl="0" w:tplc="0410000F">
      <w:start w:val="1"/>
      <w:numFmt w:val="decimal"/>
      <w:lvlText w:val="%1."/>
      <w:lvlJc w:val="left"/>
      <w:pPr>
        <w:ind w:left="5464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6107083B"/>
    <w:multiLevelType w:val="hybridMultilevel"/>
    <w:tmpl w:val="059815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754F9"/>
    <w:multiLevelType w:val="hybridMultilevel"/>
    <w:tmpl w:val="515481F4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6A434DAB"/>
    <w:multiLevelType w:val="hybridMultilevel"/>
    <w:tmpl w:val="A7866236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9" w15:restartNumberingAfterBreak="0">
    <w:nsid w:val="72F97F22"/>
    <w:multiLevelType w:val="hybridMultilevel"/>
    <w:tmpl w:val="8E36302C"/>
    <w:lvl w:ilvl="0" w:tplc="F55EA580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12"/>
  </w:num>
  <w:num w:numId="13">
    <w:abstractNumId w:val="11"/>
  </w:num>
  <w:num w:numId="14">
    <w:abstractNumId w:val="26"/>
  </w:num>
  <w:num w:numId="15">
    <w:abstractNumId w:val="30"/>
  </w:num>
  <w:num w:numId="16">
    <w:abstractNumId w:val="10"/>
  </w:num>
  <w:num w:numId="17">
    <w:abstractNumId w:val="16"/>
  </w:num>
  <w:num w:numId="18">
    <w:abstractNumId w:val="22"/>
  </w:num>
  <w:num w:numId="19">
    <w:abstractNumId w:val="29"/>
  </w:num>
  <w:num w:numId="20">
    <w:abstractNumId w:val="17"/>
  </w:num>
  <w:num w:numId="21">
    <w:abstractNumId w:val="14"/>
  </w:num>
  <w:num w:numId="22">
    <w:abstractNumId w:val="19"/>
  </w:num>
  <w:num w:numId="23">
    <w:abstractNumId w:val="20"/>
  </w:num>
  <w:num w:numId="24">
    <w:abstractNumId w:val="28"/>
  </w:num>
  <w:num w:numId="25">
    <w:abstractNumId w:val="18"/>
  </w:num>
  <w:num w:numId="26">
    <w:abstractNumId w:val="15"/>
  </w:num>
  <w:num w:numId="27">
    <w:abstractNumId w:val="13"/>
  </w:num>
  <w:num w:numId="28">
    <w:abstractNumId w:val="23"/>
  </w:num>
  <w:num w:numId="29">
    <w:abstractNumId w:val="21"/>
  </w:num>
  <w:num w:numId="30">
    <w:abstractNumId w:val="2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ja-JP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752"/>
    <w:rsid w:val="00003819"/>
    <w:rsid w:val="00010F8B"/>
    <w:rsid w:val="00046B1F"/>
    <w:rsid w:val="00050493"/>
    <w:rsid w:val="00050F6B"/>
    <w:rsid w:val="00052635"/>
    <w:rsid w:val="00057E97"/>
    <w:rsid w:val="000646F4"/>
    <w:rsid w:val="00072C8C"/>
    <w:rsid w:val="000733B5"/>
    <w:rsid w:val="00081815"/>
    <w:rsid w:val="000931C0"/>
    <w:rsid w:val="000A30C4"/>
    <w:rsid w:val="000A39E9"/>
    <w:rsid w:val="000B0595"/>
    <w:rsid w:val="000B09FB"/>
    <w:rsid w:val="000B175B"/>
    <w:rsid w:val="000B2F02"/>
    <w:rsid w:val="000B3A0F"/>
    <w:rsid w:val="000B4EF7"/>
    <w:rsid w:val="000B676B"/>
    <w:rsid w:val="000C2C03"/>
    <w:rsid w:val="000C2D2E"/>
    <w:rsid w:val="000C4C94"/>
    <w:rsid w:val="000E0415"/>
    <w:rsid w:val="000F6BE3"/>
    <w:rsid w:val="000F7775"/>
    <w:rsid w:val="00103A07"/>
    <w:rsid w:val="001103AA"/>
    <w:rsid w:val="0011434E"/>
    <w:rsid w:val="0011666B"/>
    <w:rsid w:val="00124A3B"/>
    <w:rsid w:val="00133987"/>
    <w:rsid w:val="00165F3A"/>
    <w:rsid w:val="00171DD0"/>
    <w:rsid w:val="00182290"/>
    <w:rsid w:val="00182CA2"/>
    <w:rsid w:val="001832FB"/>
    <w:rsid w:val="00194A59"/>
    <w:rsid w:val="001A3955"/>
    <w:rsid w:val="001B4B04"/>
    <w:rsid w:val="001C6663"/>
    <w:rsid w:val="001C7895"/>
    <w:rsid w:val="001C78A8"/>
    <w:rsid w:val="001D0C8C"/>
    <w:rsid w:val="001D1419"/>
    <w:rsid w:val="001D26DF"/>
    <w:rsid w:val="001D3A03"/>
    <w:rsid w:val="001D4EDD"/>
    <w:rsid w:val="001E7B67"/>
    <w:rsid w:val="001F4084"/>
    <w:rsid w:val="001F4C8C"/>
    <w:rsid w:val="00202DA8"/>
    <w:rsid w:val="00205E55"/>
    <w:rsid w:val="00210D51"/>
    <w:rsid w:val="00211E0B"/>
    <w:rsid w:val="00216D25"/>
    <w:rsid w:val="0023211D"/>
    <w:rsid w:val="0023295E"/>
    <w:rsid w:val="002410A1"/>
    <w:rsid w:val="0024772E"/>
    <w:rsid w:val="00267F5F"/>
    <w:rsid w:val="00286B4D"/>
    <w:rsid w:val="00294E2C"/>
    <w:rsid w:val="00297813"/>
    <w:rsid w:val="002B2CEE"/>
    <w:rsid w:val="002D102B"/>
    <w:rsid w:val="002D2B9E"/>
    <w:rsid w:val="002D4643"/>
    <w:rsid w:val="002F175C"/>
    <w:rsid w:val="002F2821"/>
    <w:rsid w:val="002F7DE0"/>
    <w:rsid w:val="00302E18"/>
    <w:rsid w:val="00315234"/>
    <w:rsid w:val="003152B0"/>
    <w:rsid w:val="003229D8"/>
    <w:rsid w:val="00330315"/>
    <w:rsid w:val="00332BBA"/>
    <w:rsid w:val="003335AD"/>
    <w:rsid w:val="003339F0"/>
    <w:rsid w:val="00334D86"/>
    <w:rsid w:val="00337273"/>
    <w:rsid w:val="00337CD8"/>
    <w:rsid w:val="0034671F"/>
    <w:rsid w:val="00352709"/>
    <w:rsid w:val="00356BB2"/>
    <w:rsid w:val="003619B5"/>
    <w:rsid w:val="00361AC3"/>
    <w:rsid w:val="00365763"/>
    <w:rsid w:val="003659D8"/>
    <w:rsid w:val="00371178"/>
    <w:rsid w:val="003721E2"/>
    <w:rsid w:val="00385977"/>
    <w:rsid w:val="00390A3C"/>
    <w:rsid w:val="00392E47"/>
    <w:rsid w:val="003A6321"/>
    <w:rsid w:val="003A6810"/>
    <w:rsid w:val="003C0787"/>
    <w:rsid w:val="003C2CC4"/>
    <w:rsid w:val="003C534D"/>
    <w:rsid w:val="003D4B23"/>
    <w:rsid w:val="003D6EB6"/>
    <w:rsid w:val="003E130E"/>
    <w:rsid w:val="003F5CFD"/>
    <w:rsid w:val="00410C89"/>
    <w:rsid w:val="004124D9"/>
    <w:rsid w:val="00413EE4"/>
    <w:rsid w:val="00416580"/>
    <w:rsid w:val="00422E03"/>
    <w:rsid w:val="00426B9B"/>
    <w:rsid w:val="00431C30"/>
    <w:rsid w:val="004325CB"/>
    <w:rsid w:val="00432F0D"/>
    <w:rsid w:val="00434D7E"/>
    <w:rsid w:val="0044130A"/>
    <w:rsid w:val="00442A83"/>
    <w:rsid w:val="004465A8"/>
    <w:rsid w:val="0045495B"/>
    <w:rsid w:val="004561E5"/>
    <w:rsid w:val="0048397A"/>
    <w:rsid w:val="00485CBB"/>
    <w:rsid w:val="004866B7"/>
    <w:rsid w:val="004A5854"/>
    <w:rsid w:val="004C0977"/>
    <w:rsid w:val="004C2461"/>
    <w:rsid w:val="004C3897"/>
    <w:rsid w:val="004C7462"/>
    <w:rsid w:val="004E4782"/>
    <w:rsid w:val="004E6A8B"/>
    <w:rsid w:val="004E77B2"/>
    <w:rsid w:val="00504B2D"/>
    <w:rsid w:val="00515214"/>
    <w:rsid w:val="00515314"/>
    <w:rsid w:val="0052136D"/>
    <w:rsid w:val="0052775E"/>
    <w:rsid w:val="00534145"/>
    <w:rsid w:val="00534591"/>
    <w:rsid w:val="005420F2"/>
    <w:rsid w:val="0056209A"/>
    <w:rsid w:val="005628B6"/>
    <w:rsid w:val="0058660B"/>
    <w:rsid w:val="005941EC"/>
    <w:rsid w:val="0059724D"/>
    <w:rsid w:val="005A7E6C"/>
    <w:rsid w:val="005B320C"/>
    <w:rsid w:val="005B3DB3"/>
    <w:rsid w:val="005B44FE"/>
    <w:rsid w:val="005B4E13"/>
    <w:rsid w:val="005C342F"/>
    <w:rsid w:val="005C7D1E"/>
    <w:rsid w:val="005D721F"/>
    <w:rsid w:val="005F4882"/>
    <w:rsid w:val="005F7B75"/>
    <w:rsid w:val="006001EE"/>
    <w:rsid w:val="00605042"/>
    <w:rsid w:val="00611FC4"/>
    <w:rsid w:val="006176FB"/>
    <w:rsid w:val="00620F30"/>
    <w:rsid w:val="00640B26"/>
    <w:rsid w:val="00641EB1"/>
    <w:rsid w:val="006438A8"/>
    <w:rsid w:val="00652D0A"/>
    <w:rsid w:val="00660192"/>
    <w:rsid w:val="00662BB6"/>
    <w:rsid w:val="006652DB"/>
    <w:rsid w:val="00671B51"/>
    <w:rsid w:val="0067362F"/>
    <w:rsid w:val="00676606"/>
    <w:rsid w:val="00684C21"/>
    <w:rsid w:val="006A2530"/>
    <w:rsid w:val="006A47A2"/>
    <w:rsid w:val="006A5585"/>
    <w:rsid w:val="006B664D"/>
    <w:rsid w:val="006C3589"/>
    <w:rsid w:val="006D010D"/>
    <w:rsid w:val="006D37AF"/>
    <w:rsid w:val="006D51D0"/>
    <w:rsid w:val="006D5C2B"/>
    <w:rsid w:val="006D5FB9"/>
    <w:rsid w:val="006D658E"/>
    <w:rsid w:val="006D73FD"/>
    <w:rsid w:val="006E564B"/>
    <w:rsid w:val="006E7191"/>
    <w:rsid w:val="006F22FE"/>
    <w:rsid w:val="00703577"/>
    <w:rsid w:val="00705894"/>
    <w:rsid w:val="00725034"/>
    <w:rsid w:val="0072632A"/>
    <w:rsid w:val="007324C9"/>
    <w:rsid w:val="007327D5"/>
    <w:rsid w:val="007363F0"/>
    <w:rsid w:val="00750230"/>
    <w:rsid w:val="007629C8"/>
    <w:rsid w:val="00765638"/>
    <w:rsid w:val="0077047D"/>
    <w:rsid w:val="00774D1C"/>
    <w:rsid w:val="007A3393"/>
    <w:rsid w:val="007A4ECC"/>
    <w:rsid w:val="007B67CF"/>
    <w:rsid w:val="007B6BA5"/>
    <w:rsid w:val="007C3390"/>
    <w:rsid w:val="007C4F4B"/>
    <w:rsid w:val="007E01E9"/>
    <w:rsid w:val="007E049A"/>
    <w:rsid w:val="007E63F3"/>
    <w:rsid w:val="007F3B0C"/>
    <w:rsid w:val="007F6611"/>
    <w:rsid w:val="008010B1"/>
    <w:rsid w:val="00811920"/>
    <w:rsid w:val="00815AD0"/>
    <w:rsid w:val="00815EDB"/>
    <w:rsid w:val="008242D7"/>
    <w:rsid w:val="008257B1"/>
    <w:rsid w:val="00832334"/>
    <w:rsid w:val="0084009D"/>
    <w:rsid w:val="00842473"/>
    <w:rsid w:val="00843191"/>
    <w:rsid w:val="00843767"/>
    <w:rsid w:val="008679D9"/>
    <w:rsid w:val="0088637B"/>
    <w:rsid w:val="008878DE"/>
    <w:rsid w:val="008979B1"/>
    <w:rsid w:val="008A1ED5"/>
    <w:rsid w:val="008A462F"/>
    <w:rsid w:val="008A6B25"/>
    <w:rsid w:val="008A6C4F"/>
    <w:rsid w:val="008B04F4"/>
    <w:rsid w:val="008B09A4"/>
    <w:rsid w:val="008B2335"/>
    <w:rsid w:val="008B2E36"/>
    <w:rsid w:val="008B7E66"/>
    <w:rsid w:val="008D0B2B"/>
    <w:rsid w:val="008E0678"/>
    <w:rsid w:val="008E136C"/>
    <w:rsid w:val="008F31D2"/>
    <w:rsid w:val="00913D62"/>
    <w:rsid w:val="00915EF6"/>
    <w:rsid w:val="009223CA"/>
    <w:rsid w:val="00923752"/>
    <w:rsid w:val="00927489"/>
    <w:rsid w:val="00932C6B"/>
    <w:rsid w:val="00940F93"/>
    <w:rsid w:val="009448C3"/>
    <w:rsid w:val="00960B13"/>
    <w:rsid w:val="0096285A"/>
    <w:rsid w:val="009760F3"/>
    <w:rsid w:val="00976CFB"/>
    <w:rsid w:val="00984186"/>
    <w:rsid w:val="009856EA"/>
    <w:rsid w:val="0099366F"/>
    <w:rsid w:val="0099591C"/>
    <w:rsid w:val="009967CD"/>
    <w:rsid w:val="009A0830"/>
    <w:rsid w:val="009A0E8D"/>
    <w:rsid w:val="009B26E7"/>
    <w:rsid w:val="009B5A30"/>
    <w:rsid w:val="009B64BB"/>
    <w:rsid w:val="009E5E02"/>
    <w:rsid w:val="009E6F05"/>
    <w:rsid w:val="00A00697"/>
    <w:rsid w:val="00A00A3F"/>
    <w:rsid w:val="00A01489"/>
    <w:rsid w:val="00A1143E"/>
    <w:rsid w:val="00A27263"/>
    <w:rsid w:val="00A3026E"/>
    <w:rsid w:val="00A338F1"/>
    <w:rsid w:val="00A35BE0"/>
    <w:rsid w:val="00A42D0B"/>
    <w:rsid w:val="00A53E90"/>
    <w:rsid w:val="00A541F4"/>
    <w:rsid w:val="00A6129C"/>
    <w:rsid w:val="00A66A2B"/>
    <w:rsid w:val="00A72F22"/>
    <w:rsid w:val="00A7360F"/>
    <w:rsid w:val="00A748A6"/>
    <w:rsid w:val="00A769F4"/>
    <w:rsid w:val="00A776B4"/>
    <w:rsid w:val="00A810BD"/>
    <w:rsid w:val="00A85E21"/>
    <w:rsid w:val="00A94361"/>
    <w:rsid w:val="00A94E80"/>
    <w:rsid w:val="00AA293C"/>
    <w:rsid w:val="00AB1C8B"/>
    <w:rsid w:val="00AB25DF"/>
    <w:rsid w:val="00AC2BF5"/>
    <w:rsid w:val="00AC73F9"/>
    <w:rsid w:val="00AD0F83"/>
    <w:rsid w:val="00AD5904"/>
    <w:rsid w:val="00AD5AC7"/>
    <w:rsid w:val="00AE2A97"/>
    <w:rsid w:val="00AE6DE2"/>
    <w:rsid w:val="00B03569"/>
    <w:rsid w:val="00B24BAC"/>
    <w:rsid w:val="00B30179"/>
    <w:rsid w:val="00B421C1"/>
    <w:rsid w:val="00B44226"/>
    <w:rsid w:val="00B53C21"/>
    <w:rsid w:val="00B55C71"/>
    <w:rsid w:val="00B56E4A"/>
    <w:rsid w:val="00B56E9C"/>
    <w:rsid w:val="00B60F79"/>
    <w:rsid w:val="00B62D5C"/>
    <w:rsid w:val="00B64B1F"/>
    <w:rsid w:val="00B65299"/>
    <w:rsid w:val="00B6553F"/>
    <w:rsid w:val="00B71619"/>
    <w:rsid w:val="00B75481"/>
    <w:rsid w:val="00B756BE"/>
    <w:rsid w:val="00B77D05"/>
    <w:rsid w:val="00B81206"/>
    <w:rsid w:val="00B813DD"/>
    <w:rsid w:val="00B81E12"/>
    <w:rsid w:val="00BB43E2"/>
    <w:rsid w:val="00BC1EC0"/>
    <w:rsid w:val="00BC3FA0"/>
    <w:rsid w:val="00BC74E9"/>
    <w:rsid w:val="00BD3B3B"/>
    <w:rsid w:val="00BD79DD"/>
    <w:rsid w:val="00BD7F4D"/>
    <w:rsid w:val="00BE6143"/>
    <w:rsid w:val="00BF30B3"/>
    <w:rsid w:val="00BF5B34"/>
    <w:rsid w:val="00BF68A8"/>
    <w:rsid w:val="00C11A03"/>
    <w:rsid w:val="00C22C0C"/>
    <w:rsid w:val="00C26D52"/>
    <w:rsid w:val="00C4035C"/>
    <w:rsid w:val="00C4527F"/>
    <w:rsid w:val="00C45283"/>
    <w:rsid w:val="00C45505"/>
    <w:rsid w:val="00C45C52"/>
    <w:rsid w:val="00C4617E"/>
    <w:rsid w:val="00C463DD"/>
    <w:rsid w:val="00C4724C"/>
    <w:rsid w:val="00C54AC7"/>
    <w:rsid w:val="00C57D37"/>
    <w:rsid w:val="00C629A0"/>
    <w:rsid w:val="00C62A56"/>
    <w:rsid w:val="00C631D1"/>
    <w:rsid w:val="00C64629"/>
    <w:rsid w:val="00C70888"/>
    <w:rsid w:val="00C745C3"/>
    <w:rsid w:val="00C847D9"/>
    <w:rsid w:val="00C86644"/>
    <w:rsid w:val="00C96DF2"/>
    <w:rsid w:val="00C97246"/>
    <w:rsid w:val="00CB3E03"/>
    <w:rsid w:val="00CB5FFB"/>
    <w:rsid w:val="00CD22A1"/>
    <w:rsid w:val="00CD4AA6"/>
    <w:rsid w:val="00CE4A8F"/>
    <w:rsid w:val="00CF20B1"/>
    <w:rsid w:val="00CF4254"/>
    <w:rsid w:val="00D10E2D"/>
    <w:rsid w:val="00D2031B"/>
    <w:rsid w:val="00D248B6"/>
    <w:rsid w:val="00D25C23"/>
    <w:rsid w:val="00D25FE2"/>
    <w:rsid w:val="00D26E07"/>
    <w:rsid w:val="00D43252"/>
    <w:rsid w:val="00D47EEA"/>
    <w:rsid w:val="00D70325"/>
    <w:rsid w:val="00D70B69"/>
    <w:rsid w:val="00D73933"/>
    <w:rsid w:val="00D773DF"/>
    <w:rsid w:val="00D91CE7"/>
    <w:rsid w:val="00D93D58"/>
    <w:rsid w:val="00D95303"/>
    <w:rsid w:val="00D95B2D"/>
    <w:rsid w:val="00D978C6"/>
    <w:rsid w:val="00DA3C1C"/>
    <w:rsid w:val="00DA768F"/>
    <w:rsid w:val="00DA7B18"/>
    <w:rsid w:val="00DB5483"/>
    <w:rsid w:val="00DC6D39"/>
    <w:rsid w:val="00DF6D92"/>
    <w:rsid w:val="00E046DF"/>
    <w:rsid w:val="00E12477"/>
    <w:rsid w:val="00E22B0C"/>
    <w:rsid w:val="00E27346"/>
    <w:rsid w:val="00E40A45"/>
    <w:rsid w:val="00E560CA"/>
    <w:rsid w:val="00E56E9F"/>
    <w:rsid w:val="00E62A93"/>
    <w:rsid w:val="00E64500"/>
    <w:rsid w:val="00E71BC8"/>
    <w:rsid w:val="00E7260F"/>
    <w:rsid w:val="00E73F5D"/>
    <w:rsid w:val="00E756D5"/>
    <w:rsid w:val="00E75E2D"/>
    <w:rsid w:val="00E77E4E"/>
    <w:rsid w:val="00E800F4"/>
    <w:rsid w:val="00E8589C"/>
    <w:rsid w:val="00E86CE1"/>
    <w:rsid w:val="00E96630"/>
    <w:rsid w:val="00EA2A77"/>
    <w:rsid w:val="00EB7920"/>
    <w:rsid w:val="00EC0A5B"/>
    <w:rsid w:val="00EC0C03"/>
    <w:rsid w:val="00EC410F"/>
    <w:rsid w:val="00EC4734"/>
    <w:rsid w:val="00ED0ADE"/>
    <w:rsid w:val="00ED228F"/>
    <w:rsid w:val="00ED4DF6"/>
    <w:rsid w:val="00ED7A2A"/>
    <w:rsid w:val="00EF1D7F"/>
    <w:rsid w:val="00EF22EB"/>
    <w:rsid w:val="00F00A16"/>
    <w:rsid w:val="00F11DF4"/>
    <w:rsid w:val="00F124AF"/>
    <w:rsid w:val="00F243E1"/>
    <w:rsid w:val="00F31E5F"/>
    <w:rsid w:val="00F37A4C"/>
    <w:rsid w:val="00F518BA"/>
    <w:rsid w:val="00F6100A"/>
    <w:rsid w:val="00F634BE"/>
    <w:rsid w:val="00F817A1"/>
    <w:rsid w:val="00F93781"/>
    <w:rsid w:val="00FA2414"/>
    <w:rsid w:val="00FB613B"/>
    <w:rsid w:val="00FC68B7"/>
    <w:rsid w:val="00FD3F98"/>
    <w:rsid w:val="00FE106A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E0ABCE"/>
  <w15:docId w15:val="{227B63A9-5093-4E4E-B680-CCF81499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70B69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,h1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EC4734"/>
    <w:rPr>
      <w:rFonts w:cs="Courier New"/>
    </w:rPr>
  </w:style>
  <w:style w:type="paragraph" w:styleId="BodyText">
    <w:name w:val="Body Text"/>
    <w:basedOn w:val="Normal"/>
    <w:next w:val="Normal"/>
    <w:semiHidden/>
    <w:rsid w:val="00EC4734"/>
  </w:style>
  <w:style w:type="paragraph" w:styleId="BodyTextIndent">
    <w:name w:val="Body Text Indent"/>
    <w:basedOn w:val="Normal"/>
    <w:semiHidden/>
    <w:rsid w:val="00EC4734"/>
    <w:pPr>
      <w:spacing w:after="120"/>
      <w:ind w:left="283"/>
    </w:pPr>
  </w:style>
  <w:style w:type="paragraph" w:styleId="BlockText">
    <w:name w:val="Block Text"/>
    <w:basedOn w:val="Normal"/>
    <w:semiHidden/>
    <w:rsid w:val="00EC4734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sid w:val="00EC4734"/>
    <w:rPr>
      <w:sz w:val="6"/>
    </w:rPr>
  </w:style>
  <w:style w:type="paragraph" w:styleId="CommentText">
    <w:name w:val="annotation text"/>
    <w:basedOn w:val="Normal"/>
    <w:semiHidden/>
    <w:rsid w:val="00EC4734"/>
  </w:style>
  <w:style w:type="character" w:styleId="LineNumber">
    <w:name w:val="line number"/>
    <w:semiHidden/>
    <w:rsid w:val="00EC4734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semiHidden/>
    <w:rsid w:val="00B62D5C"/>
    <w:rPr>
      <w:b/>
      <w:bCs/>
    </w:rPr>
  </w:style>
  <w:style w:type="character" w:customStyle="1" w:styleId="FooterChar">
    <w:name w:val="Footer Char"/>
    <w:aliases w:val="3_G Char"/>
    <w:link w:val="Footer"/>
    <w:rsid w:val="00390A3C"/>
    <w:rPr>
      <w:sz w:val="16"/>
      <w:lang w:val="en-GB" w:eastAsia="en-US"/>
    </w:rPr>
  </w:style>
  <w:style w:type="character" w:customStyle="1" w:styleId="Heading1Char">
    <w:name w:val="Heading 1 Char"/>
    <w:aliases w:val="Table_G Char,h1 Char"/>
    <w:link w:val="Heading1"/>
    <w:rsid w:val="00C26D52"/>
    <w:rPr>
      <w:lang w:val="en-GB" w:eastAsia="en-US"/>
    </w:rPr>
  </w:style>
  <w:style w:type="paragraph" w:styleId="ListParagraph">
    <w:name w:val="List Paragraph"/>
    <w:basedOn w:val="Normal"/>
    <w:uiPriority w:val="34"/>
    <w:qFormat/>
    <w:rsid w:val="00ED0ADE"/>
    <w:pPr>
      <w:ind w:left="720"/>
      <w:contextualSpacing/>
    </w:pPr>
  </w:style>
  <w:style w:type="paragraph" w:customStyle="1" w:styleId="Default">
    <w:name w:val="Default"/>
    <w:rsid w:val="00E12477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405DC9C6676A46936F506762BC3532" ma:contentTypeVersion="12" ma:contentTypeDescription="Create a new document." ma:contentTypeScope="" ma:versionID="e0c65325571ed8ff60520f6e24446f42">
  <xsd:schema xmlns:xsd="http://www.w3.org/2001/XMLSchema" xmlns:xs="http://www.w3.org/2001/XMLSchema" xmlns:p="http://schemas.microsoft.com/office/2006/metadata/properties" xmlns:ns2="0f2a9da8-456f-4f30-baea-924e51a33007" xmlns:ns3="aef952be-564e-4b0d-ace7-0fb13ffbbb58" targetNamespace="http://schemas.microsoft.com/office/2006/metadata/properties" ma:root="true" ma:fieldsID="43b2a093388630c55c74b691231212d6" ns2:_="" ns3:_="">
    <xsd:import namespace="0f2a9da8-456f-4f30-baea-924e51a33007"/>
    <xsd:import namespace="aef952be-564e-4b0d-ace7-0fb13ffbbb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a9da8-456f-4f30-baea-924e51a330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952be-564e-4b0d-ace7-0fb13ffbbb5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6FE63-8CCB-42F7-91E1-C1D49B6C36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89FEE2-8B5D-46BC-9A1C-DDDEF5EBB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a9da8-456f-4f30-baea-924e51a33007"/>
    <ds:schemaRef ds:uri="aef952be-564e-4b0d-ace7-0fb13ffbbb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A0825E-21FC-4BDF-8D17-CC3C8413AD9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ef952be-564e-4b0d-ace7-0fb13ffbbb58"/>
    <ds:schemaRef ds:uri="0f2a9da8-456f-4f30-baea-924e51a3300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B5B2266-3CBF-4EBA-85F8-12E5ACAA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2</Pages>
  <Words>392</Words>
  <Characters>2020</Characters>
  <Application>Microsoft Office Word</Application>
  <DocSecurity>4</DocSecurity>
  <Lines>63</Lines>
  <Paragraphs>38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ECE/TRANS/WP.29/GRBP/2020/6</vt:lpstr>
      <vt:lpstr>United Nations</vt:lpstr>
      <vt:lpstr>United Nations</vt:lpstr>
    </vt:vector>
  </TitlesOfParts>
  <Company>CSD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ECE/TRANS/WP.29/GRBP/2020/6</dc:title>
  <dc:subject>1919441</dc:subject>
  <dc:creator>Generic Pdf eng</dc:creator>
  <cp:keywords/>
  <dc:description/>
  <cp:lastModifiedBy>E/ECE/324/Rev.2/Add.122/Rev.2/Amend.4</cp:lastModifiedBy>
  <cp:revision>2</cp:revision>
  <cp:lastPrinted>2013-07-04T11:56:00Z</cp:lastPrinted>
  <dcterms:created xsi:type="dcterms:W3CDTF">2020-08-31T14:08:00Z</dcterms:created>
  <dcterms:modified xsi:type="dcterms:W3CDTF">2020-08-31T14:08:00Z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0x01010069405DC9C6676A46936F506762BC3532</vt:lpwstr>
  </property>
</Properties>
</file>