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062D8F" w14:textId="77777777" w:rsidTr="00C97039">
        <w:trPr>
          <w:trHeight w:hRule="exact" w:val="851"/>
        </w:trPr>
        <w:tc>
          <w:tcPr>
            <w:tcW w:w="1276" w:type="dxa"/>
            <w:tcBorders>
              <w:bottom w:val="single" w:sz="4" w:space="0" w:color="auto"/>
            </w:tcBorders>
          </w:tcPr>
          <w:p w14:paraId="52ABE8F9" w14:textId="77777777" w:rsidR="00F35BAF" w:rsidRPr="00DB58B5" w:rsidRDefault="00F35BAF" w:rsidP="00EC0E02"/>
        </w:tc>
        <w:tc>
          <w:tcPr>
            <w:tcW w:w="2268" w:type="dxa"/>
            <w:tcBorders>
              <w:bottom w:val="single" w:sz="4" w:space="0" w:color="auto"/>
            </w:tcBorders>
            <w:vAlign w:val="bottom"/>
          </w:tcPr>
          <w:p w14:paraId="2815696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788EAB" w14:textId="77777777" w:rsidR="00F35BAF" w:rsidRPr="00DB58B5" w:rsidRDefault="00EC0E02" w:rsidP="00EC0E02">
            <w:pPr>
              <w:jc w:val="right"/>
            </w:pPr>
            <w:r w:rsidRPr="00EC0E02">
              <w:rPr>
                <w:sz w:val="40"/>
              </w:rPr>
              <w:t>ECE</w:t>
            </w:r>
            <w:r>
              <w:t>/TRANS/WP.29/GRBP/2020/17</w:t>
            </w:r>
          </w:p>
        </w:tc>
      </w:tr>
      <w:tr w:rsidR="00F35BAF" w:rsidRPr="00DB58B5" w14:paraId="62D8876A" w14:textId="77777777" w:rsidTr="00C97039">
        <w:trPr>
          <w:trHeight w:hRule="exact" w:val="2835"/>
        </w:trPr>
        <w:tc>
          <w:tcPr>
            <w:tcW w:w="1276" w:type="dxa"/>
            <w:tcBorders>
              <w:top w:val="single" w:sz="4" w:space="0" w:color="auto"/>
              <w:bottom w:val="single" w:sz="12" w:space="0" w:color="auto"/>
            </w:tcBorders>
          </w:tcPr>
          <w:p w14:paraId="1C0E8EF5" w14:textId="77777777" w:rsidR="00F35BAF" w:rsidRPr="00DB58B5" w:rsidRDefault="00F35BAF" w:rsidP="00C97039">
            <w:pPr>
              <w:spacing w:before="120"/>
              <w:jc w:val="center"/>
            </w:pPr>
            <w:r>
              <w:rPr>
                <w:noProof/>
                <w:lang w:eastAsia="fr-CH"/>
              </w:rPr>
              <w:drawing>
                <wp:inline distT="0" distB="0" distL="0" distR="0" wp14:anchorId="2A6B818B" wp14:editId="79556F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8F15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D457B80" w14:textId="77777777" w:rsidR="00F35BAF" w:rsidRDefault="00EC0E02" w:rsidP="00C97039">
            <w:pPr>
              <w:spacing w:before="240"/>
            </w:pPr>
            <w:proofErr w:type="spellStart"/>
            <w:r>
              <w:t>Distr</w:t>
            </w:r>
            <w:proofErr w:type="spellEnd"/>
            <w:r>
              <w:t>. générale</w:t>
            </w:r>
          </w:p>
          <w:p w14:paraId="3D9F9F5D" w14:textId="77777777" w:rsidR="00EC0E02" w:rsidRDefault="00EC0E02" w:rsidP="00EC0E02">
            <w:pPr>
              <w:spacing w:line="240" w:lineRule="exact"/>
            </w:pPr>
            <w:r>
              <w:t>23 juin 2020</w:t>
            </w:r>
          </w:p>
          <w:p w14:paraId="2FB17FAA" w14:textId="77777777" w:rsidR="00EC0E02" w:rsidRDefault="00EC0E02" w:rsidP="00EC0E02">
            <w:pPr>
              <w:spacing w:line="240" w:lineRule="exact"/>
            </w:pPr>
            <w:r>
              <w:t>Français</w:t>
            </w:r>
          </w:p>
          <w:p w14:paraId="477B5E2C" w14:textId="77777777" w:rsidR="00EC0E02" w:rsidRPr="00DB58B5" w:rsidRDefault="00EC0E02" w:rsidP="00EC0E02">
            <w:pPr>
              <w:spacing w:line="240" w:lineRule="exact"/>
            </w:pPr>
            <w:r>
              <w:t>Original : anglais</w:t>
            </w:r>
          </w:p>
        </w:tc>
      </w:tr>
    </w:tbl>
    <w:p w14:paraId="27CFC7A6" w14:textId="77777777" w:rsidR="007F20FA" w:rsidRPr="000312C0" w:rsidRDefault="007F20FA" w:rsidP="007F20FA">
      <w:pPr>
        <w:spacing w:before="120"/>
        <w:rPr>
          <w:b/>
          <w:sz w:val="28"/>
          <w:szCs w:val="28"/>
        </w:rPr>
      </w:pPr>
      <w:r w:rsidRPr="000312C0">
        <w:rPr>
          <w:b/>
          <w:sz w:val="28"/>
          <w:szCs w:val="28"/>
        </w:rPr>
        <w:t>Commission économique pour l’Europe</w:t>
      </w:r>
    </w:p>
    <w:p w14:paraId="692AF27C" w14:textId="77777777" w:rsidR="007F20FA" w:rsidRDefault="007F20FA" w:rsidP="007F20FA">
      <w:pPr>
        <w:spacing w:before="120"/>
        <w:rPr>
          <w:sz w:val="28"/>
          <w:szCs w:val="28"/>
        </w:rPr>
      </w:pPr>
      <w:r w:rsidRPr="00685843">
        <w:rPr>
          <w:sz w:val="28"/>
          <w:szCs w:val="28"/>
        </w:rPr>
        <w:t>Comité des transports intérieurs</w:t>
      </w:r>
    </w:p>
    <w:p w14:paraId="2FA56E51" w14:textId="77777777" w:rsidR="00EC0E02" w:rsidRDefault="00EC0E0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885E925" w14:textId="77777777" w:rsidR="00EC0E02" w:rsidRDefault="00EC0E02" w:rsidP="00257168">
      <w:pPr>
        <w:spacing w:before="120" w:after="120" w:line="240" w:lineRule="exact"/>
        <w:rPr>
          <w:b/>
        </w:rPr>
      </w:pPr>
      <w:r>
        <w:rPr>
          <w:b/>
        </w:rPr>
        <w:t xml:space="preserve">Groupe de travail </w:t>
      </w:r>
      <w:r w:rsidRPr="00EC0E02">
        <w:rPr>
          <w:b/>
        </w:rPr>
        <w:t>du bruit et des pneumatiques</w:t>
      </w:r>
    </w:p>
    <w:p w14:paraId="444E3AD6" w14:textId="77777777" w:rsidR="00EC0E02" w:rsidRDefault="00EC0E02" w:rsidP="00257168">
      <w:pPr>
        <w:spacing w:before="120" w:line="240" w:lineRule="exact"/>
        <w:rPr>
          <w:b/>
        </w:rPr>
      </w:pPr>
      <w:r w:rsidRPr="00EC0E02">
        <w:rPr>
          <w:b/>
        </w:rPr>
        <w:t>Soixante-douzième</w:t>
      </w:r>
      <w:r>
        <w:rPr>
          <w:b/>
        </w:rPr>
        <w:t xml:space="preserve"> session</w:t>
      </w:r>
    </w:p>
    <w:p w14:paraId="0833EA1B" w14:textId="77777777" w:rsidR="00EC0E02" w:rsidRDefault="00EC0E02" w:rsidP="00257168">
      <w:pPr>
        <w:spacing w:line="240" w:lineRule="exact"/>
      </w:pPr>
      <w:r>
        <w:t xml:space="preserve">Genève, </w:t>
      </w:r>
      <w:r w:rsidRPr="00EE7263">
        <w:t>7-9 septembre 2020</w:t>
      </w:r>
    </w:p>
    <w:p w14:paraId="4AA8B06D" w14:textId="77777777" w:rsidR="00EC0E02" w:rsidRDefault="00EC0E02" w:rsidP="00257168">
      <w:pPr>
        <w:spacing w:line="240" w:lineRule="exact"/>
      </w:pPr>
      <w:r>
        <w:t>Point 5 e) de l’ordre du jour provisoire</w:t>
      </w:r>
    </w:p>
    <w:p w14:paraId="44851C4A" w14:textId="77777777" w:rsidR="00EC0E02" w:rsidRPr="00622B29" w:rsidRDefault="00EC0E02" w:rsidP="00EC0E02">
      <w:pPr>
        <w:rPr>
          <w:b/>
        </w:rPr>
      </w:pPr>
      <w:r w:rsidRPr="00622B29">
        <w:rPr>
          <w:b/>
        </w:rPr>
        <w:t>Pneumatiques : Règlement ONU n</w:t>
      </w:r>
      <w:r w:rsidRPr="00622B29">
        <w:rPr>
          <w:b/>
          <w:vertAlign w:val="superscript"/>
        </w:rPr>
        <w:t>o </w:t>
      </w:r>
      <w:r w:rsidRPr="00622B29">
        <w:rPr>
          <w:b/>
        </w:rPr>
        <w:t xml:space="preserve">117 </w:t>
      </w:r>
      <w:r w:rsidRPr="00622B29">
        <w:rPr>
          <w:b/>
        </w:rPr>
        <w:br/>
        <w:t xml:space="preserve">(Pneumatiques − Résistance au roulement, </w:t>
      </w:r>
      <w:r w:rsidRPr="00622B29">
        <w:rPr>
          <w:b/>
        </w:rPr>
        <w:br/>
        <w:t xml:space="preserve">bruit de roulement et adhérence sur sol mouillé) </w:t>
      </w:r>
      <w:bookmarkStart w:id="0" w:name="_Hlk42250348"/>
    </w:p>
    <w:bookmarkEnd w:id="0"/>
    <w:p w14:paraId="419B22CB" w14:textId="77777777" w:rsidR="00622B29" w:rsidRPr="00622B29" w:rsidRDefault="00622B29" w:rsidP="00622B29">
      <w:pPr>
        <w:pStyle w:val="HChG"/>
      </w:pPr>
      <w:r>
        <w:tab/>
      </w:r>
      <w:r>
        <w:tab/>
      </w:r>
      <w:r w:rsidRPr="00622B29">
        <w:t>Proposition d’amendements au Règlement ONU n</w:t>
      </w:r>
      <w:r w:rsidRPr="00622B29">
        <w:rPr>
          <w:vertAlign w:val="superscript"/>
        </w:rPr>
        <w:t>o</w:t>
      </w:r>
      <w:r w:rsidR="008130E8">
        <w:t> </w:t>
      </w:r>
      <w:r w:rsidRPr="00622B29">
        <w:t>117</w:t>
      </w:r>
    </w:p>
    <w:p w14:paraId="77928C67" w14:textId="77777777" w:rsidR="00622B29" w:rsidRPr="00622B29" w:rsidRDefault="00622B29" w:rsidP="00622B29">
      <w:pPr>
        <w:pStyle w:val="H1G"/>
      </w:pPr>
      <w:r w:rsidRPr="00622B29">
        <w:tab/>
      </w:r>
      <w:r w:rsidRPr="00622B29">
        <w:tab/>
        <w:t>Communication des experts de l’Organisation technique européenne du</w:t>
      </w:r>
      <w:r>
        <w:t> </w:t>
      </w:r>
      <w:r w:rsidRPr="00622B29">
        <w:t>pneumatique et de la jante</w:t>
      </w:r>
      <w:r w:rsidRPr="00622B29">
        <w:rPr>
          <w:rStyle w:val="Appelnotedebasdep"/>
          <w:b w:val="0"/>
          <w:sz w:val="20"/>
          <w:vertAlign w:val="baseline"/>
        </w:rPr>
        <w:footnoteReference w:customMarkFollows="1" w:id="2"/>
        <w:t>*</w:t>
      </w:r>
    </w:p>
    <w:p w14:paraId="4C213045" w14:textId="77777777" w:rsidR="00622B29" w:rsidRPr="00622B29" w:rsidRDefault="00622B29" w:rsidP="00622B29">
      <w:pPr>
        <w:pStyle w:val="SingleTxtG"/>
        <w:ind w:firstLine="567"/>
      </w:pPr>
      <w:bookmarkStart w:id="1" w:name="_Hlk42250537"/>
      <w:r w:rsidRPr="00622B29">
        <w:t>Le texte ci-après a été établi par les experts de l’Organisation technique européenne du pneumatique et de la jante (ETRTO). Les modifications qu’il est proposé d’apporter au texte actuel du Règlement ONU figurent en caractères gras pour les ajouts et biffés pour les suppressions.</w:t>
      </w:r>
    </w:p>
    <w:bookmarkEnd w:id="1"/>
    <w:p w14:paraId="3045B3CA" w14:textId="77777777" w:rsidR="00622B29" w:rsidRPr="00622B29" w:rsidRDefault="00622B29" w:rsidP="00622B29">
      <w:pPr>
        <w:pStyle w:val="HChG"/>
      </w:pPr>
      <w:r>
        <w:br w:type="page"/>
      </w:r>
      <w:r>
        <w:lastRenderedPageBreak/>
        <w:tab/>
      </w:r>
      <w:r w:rsidRPr="00622B29">
        <w:t>I.</w:t>
      </w:r>
      <w:r w:rsidRPr="00622B29">
        <w:tab/>
        <w:t>Proposition</w:t>
      </w:r>
    </w:p>
    <w:p w14:paraId="7D0F155C" w14:textId="77777777" w:rsidR="00622B29" w:rsidRPr="00622B29" w:rsidRDefault="00622B29" w:rsidP="00622B29">
      <w:pPr>
        <w:pStyle w:val="SingleTxtG"/>
      </w:pPr>
      <w:r w:rsidRPr="00622B29">
        <w:rPr>
          <w:i/>
          <w:iCs/>
        </w:rPr>
        <w:t>Paragraphe 2.19.5</w:t>
      </w:r>
      <w:r w:rsidRPr="00622B29">
        <w:t>, lire</w:t>
      </w:r>
      <w:r>
        <w:t> </w:t>
      </w:r>
      <w:r w:rsidRPr="00622B29">
        <w:t>:</w:t>
      </w:r>
    </w:p>
    <w:p w14:paraId="46B3677A" w14:textId="77777777" w:rsidR="00622B29" w:rsidRPr="00622B29" w:rsidRDefault="00622B29" w:rsidP="00622B29">
      <w:pPr>
        <w:pStyle w:val="SingleTxtG"/>
        <w:ind w:left="2268" w:hanging="1134"/>
      </w:pPr>
      <w:r>
        <w:t>« </w:t>
      </w:r>
      <w:r w:rsidRPr="00622B29">
        <w:t>2.19.5</w:t>
      </w:r>
      <w:r w:rsidRPr="00622B29">
        <w:tab/>
        <w:t>«</w:t>
      </w:r>
      <w:r>
        <w:t> </w:t>
      </w:r>
      <w:r w:rsidRPr="00622B29">
        <w:rPr>
          <w:i/>
          <w:iCs/>
        </w:rPr>
        <w:t>Indice d’adhérence sur neige (“SG”)</w:t>
      </w:r>
      <w:r>
        <w:t> </w:t>
      </w:r>
      <w:r w:rsidRPr="00622B29">
        <w:t xml:space="preserve">», </w:t>
      </w:r>
      <w:r w:rsidRPr="00622B29">
        <w:rPr>
          <w:strike/>
        </w:rPr>
        <w:t>le rapport entre</w:t>
      </w:r>
      <w:r w:rsidRPr="00622B29">
        <w:t xml:space="preserve"> les performances d’adhérence </w:t>
      </w:r>
      <w:r w:rsidRPr="00622B29">
        <w:rPr>
          <w:b/>
        </w:rPr>
        <w:t>sur la neige</w:t>
      </w:r>
      <w:r w:rsidRPr="00622B29">
        <w:t xml:space="preserve"> du pneumatique à contrôler </w:t>
      </w:r>
      <w:r w:rsidRPr="00622B29">
        <w:rPr>
          <w:strike/>
        </w:rPr>
        <w:t>et</w:t>
      </w:r>
      <w:r w:rsidRPr="00622B29">
        <w:t xml:space="preserve"> </w:t>
      </w:r>
      <w:r w:rsidRPr="00622B29">
        <w:rPr>
          <w:b/>
        </w:rPr>
        <w:t>par rapport à</w:t>
      </w:r>
      <w:r w:rsidRPr="00622B29">
        <w:t xml:space="preserve"> celles du </w:t>
      </w:r>
      <w:r w:rsidRPr="00622B29">
        <w:rPr>
          <w:strike/>
        </w:rPr>
        <w:t xml:space="preserve">pneumatique d’essai de référence </w:t>
      </w:r>
      <w:proofErr w:type="spellStart"/>
      <w:r w:rsidRPr="00622B29">
        <w:rPr>
          <w:strike/>
        </w:rPr>
        <w:t>normalisé</w:t>
      </w:r>
      <w:r w:rsidRPr="00622B29">
        <w:rPr>
          <w:b/>
        </w:rPr>
        <w:t>SRTT</w:t>
      </w:r>
      <w:proofErr w:type="spellEnd"/>
      <w:r w:rsidRPr="00622B29">
        <w:t xml:space="preserve"> </w:t>
      </w:r>
      <w:r w:rsidRPr="00622B29">
        <w:rPr>
          <w:b/>
        </w:rPr>
        <w:t>applicable</w:t>
      </w:r>
      <w:r w:rsidRPr="00622B29">
        <w:t>.</w:t>
      </w:r>
      <w:r>
        <w:t> »</w:t>
      </w:r>
      <w:r w:rsidRPr="00622B29">
        <w:t>.</w:t>
      </w:r>
    </w:p>
    <w:p w14:paraId="6B95934D" w14:textId="77777777" w:rsidR="00622B29" w:rsidRPr="00622B29" w:rsidRDefault="00622B29" w:rsidP="00622B29">
      <w:pPr>
        <w:pStyle w:val="SingleTxtG"/>
        <w:rPr>
          <w:iCs/>
        </w:rPr>
      </w:pPr>
      <w:r w:rsidRPr="00622B29">
        <w:rPr>
          <w:i/>
          <w:iCs/>
        </w:rPr>
        <w:t>Ajouter le nouveau paragraphe 4.3.1</w:t>
      </w:r>
      <w:r w:rsidRPr="00622B29">
        <w:t>, libellé comme suit</w:t>
      </w:r>
      <w:r w:rsidR="008130E8">
        <w:t> </w:t>
      </w:r>
      <w:r w:rsidRPr="00622B29">
        <w:t>:</w:t>
      </w:r>
    </w:p>
    <w:p w14:paraId="6440E4F6" w14:textId="77777777" w:rsidR="00622B29" w:rsidRPr="00622B29" w:rsidRDefault="008130E8" w:rsidP="008130E8">
      <w:pPr>
        <w:pStyle w:val="SingleTxtG"/>
        <w:ind w:left="2268" w:hanging="1134"/>
      </w:pPr>
      <w:r>
        <w:t>« </w:t>
      </w:r>
      <w:r w:rsidR="00622B29" w:rsidRPr="00622B29">
        <w:rPr>
          <w:b/>
        </w:rPr>
        <w:t>4.3.1</w:t>
      </w:r>
      <w:r w:rsidR="00622B29" w:rsidRPr="00622B29">
        <w:rPr>
          <w:b/>
        </w:rPr>
        <w:tab/>
        <w:t xml:space="preserve">Si un pneumatique a reçu l’homologation en vertu du présent Règlement de la même autorité d’homologation de type que celle qui a délivré l’homologation en vertu du Règlement ONU </w:t>
      </w:r>
      <w:r w:rsidRPr="008130E8">
        <w:rPr>
          <w:rFonts w:eastAsia="MS Mincho"/>
          <w:b/>
        </w:rPr>
        <w:t>n</w:t>
      </w:r>
      <w:r w:rsidRPr="008130E8">
        <w:rPr>
          <w:rFonts w:eastAsia="MS Mincho"/>
          <w:b/>
          <w:vertAlign w:val="superscript"/>
        </w:rPr>
        <w:t>o</w:t>
      </w:r>
      <w:r>
        <w:rPr>
          <w:b/>
        </w:rPr>
        <w:t> </w:t>
      </w:r>
      <w:r w:rsidR="00622B29" w:rsidRPr="00622B29">
        <w:rPr>
          <w:b/>
        </w:rPr>
        <w:t xml:space="preserve">30 ou du Règlement ONU </w:t>
      </w:r>
      <w:r w:rsidRPr="008130E8">
        <w:rPr>
          <w:rFonts w:eastAsia="MS Mincho"/>
          <w:b/>
        </w:rPr>
        <w:t>n</w:t>
      </w:r>
      <w:r w:rsidRPr="008130E8">
        <w:rPr>
          <w:rFonts w:eastAsia="MS Mincho"/>
          <w:b/>
          <w:vertAlign w:val="superscript"/>
        </w:rPr>
        <w:t>o</w:t>
      </w:r>
      <w:r>
        <w:rPr>
          <w:b/>
        </w:rPr>
        <w:t> </w:t>
      </w:r>
      <w:r w:rsidR="00622B29" w:rsidRPr="00622B29">
        <w:rPr>
          <w:b/>
        </w:rPr>
        <w:t xml:space="preserve">54, la marque d’homologation apposée en vertu du Règlement </w:t>
      </w:r>
      <w:r w:rsidRPr="008130E8">
        <w:rPr>
          <w:rFonts w:eastAsia="MS Mincho"/>
          <w:b/>
        </w:rPr>
        <w:t>n</w:t>
      </w:r>
      <w:r w:rsidRPr="008130E8">
        <w:rPr>
          <w:rFonts w:eastAsia="MS Mincho"/>
          <w:b/>
          <w:vertAlign w:val="superscript"/>
        </w:rPr>
        <w:t>o</w:t>
      </w:r>
      <w:r>
        <w:rPr>
          <w:b/>
        </w:rPr>
        <w:t> </w:t>
      </w:r>
      <w:r w:rsidR="00622B29" w:rsidRPr="00622B29">
        <w:rPr>
          <w:b/>
        </w:rPr>
        <w:t xml:space="preserve">30 ou du Règlement </w:t>
      </w:r>
      <w:r w:rsidRPr="008130E8">
        <w:rPr>
          <w:rFonts w:eastAsia="MS Mincho"/>
          <w:b/>
        </w:rPr>
        <w:t>n</w:t>
      </w:r>
      <w:r w:rsidRPr="008130E8">
        <w:rPr>
          <w:rFonts w:eastAsia="MS Mincho"/>
          <w:b/>
          <w:vertAlign w:val="superscript"/>
        </w:rPr>
        <w:t>o</w:t>
      </w:r>
      <w:r>
        <w:rPr>
          <w:b/>
        </w:rPr>
        <w:t> </w:t>
      </w:r>
      <w:r w:rsidR="00622B29" w:rsidRPr="00622B29">
        <w:rPr>
          <w:b/>
        </w:rPr>
        <w:t xml:space="preserve">54 peut être combinée à l’indication de la série d’amendements applicable en vertu de laquelle le pneumatique a été homologué conformément au Règlement ONU </w:t>
      </w:r>
      <w:r w:rsidRPr="008130E8">
        <w:rPr>
          <w:rFonts w:eastAsia="MS Mincho"/>
          <w:b/>
        </w:rPr>
        <w:t>n</w:t>
      </w:r>
      <w:r w:rsidRPr="008130E8">
        <w:rPr>
          <w:rFonts w:eastAsia="MS Mincho"/>
          <w:b/>
          <w:vertAlign w:val="superscript"/>
        </w:rPr>
        <w:t>o</w:t>
      </w:r>
      <w:r>
        <w:rPr>
          <w:b/>
        </w:rPr>
        <w:t> </w:t>
      </w:r>
      <w:r w:rsidR="00622B29" w:rsidRPr="00622B29">
        <w:rPr>
          <w:b/>
        </w:rPr>
        <w:t xml:space="preserve">117, sous forme d’un préfixe à deux chiffres (par exemple, "02" indiquera que l’homologation en vertu du Règlement ONU </w:t>
      </w:r>
      <w:r w:rsidRPr="008130E8">
        <w:rPr>
          <w:rFonts w:eastAsia="MS Mincho"/>
          <w:b/>
        </w:rPr>
        <w:t>n</w:t>
      </w:r>
      <w:r w:rsidRPr="008130E8">
        <w:rPr>
          <w:rFonts w:eastAsia="MS Mincho"/>
          <w:b/>
          <w:vertAlign w:val="superscript"/>
        </w:rPr>
        <w:t>o</w:t>
      </w:r>
      <w:r>
        <w:rPr>
          <w:b/>
        </w:rPr>
        <w:t> </w:t>
      </w:r>
      <w:r w:rsidR="00622B29" w:rsidRPr="00622B29">
        <w:rPr>
          <w:b/>
        </w:rPr>
        <w:t>117 a été accordée au titre de la série</w:t>
      </w:r>
      <w:r>
        <w:rPr>
          <w:b/>
        </w:rPr>
        <w:t> </w:t>
      </w:r>
      <w:r w:rsidR="00622B29" w:rsidRPr="00622B29">
        <w:rPr>
          <w:b/>
        </w:rPr>
        <w:t>02 d’amendements) suivi des symboles conformes au paragraphe</w:t>
      </w:r>
      <w:r>
        <w:rPr>
          <w:b/>
        </w:rPr>
        <w:t> </w:t>
      </w:r>
      <w:r w:rsidR="00622B29" w:rsidRPr="00622B29">
        <w:rPr>
          <w:b/>
        </w:rPr>
        <w:t>5.</w:t>
      </w:r>
      <w:r w:rsidR="00F5306C">
        <w:rPr>
          <w:b/>
        </w:rPr>
        <w:t>2</w:t>
      </w:r>
      <w:r w:rsidR="00622B29" w:rsidRPr="00622B29">
        <w:rPr>
          <w:b/>
        </w:rPr>
        <w:t>.</w:t>
      </w:r>
      <w:r w:rsidR="00622B29" w:rsidRPr="00F5306C">
        <w:rPr>
          <w:b/>
        </w:rPr>
        <w:t>2),</w:t>
      </w:r>
      <w:r w:rsidR="00622B29" w:rsidRPr="00622B29">
        <w:rPr>
          <w:b/>
        </w:rPr>
        <w:t xml:space="preserve"> en utilisant le symbole d’addition "+", comme décrit à l’appendice 3 de l’annexe 2 du présent Règlement (par exemple "0236378 + 02S1WR2").</w:t>
      </w:r>
      <w:bookmarkStart w:id="2" w:name="_Hlk42064894"/>
      <w:bookmarkEnd w:id="2"/>
      <w:r>
        <w:t> »</w:t>
      </w:r>
      <w:r w:rsidR="00622B29" w:rsidRPr="00622B29">
        <w:t>.</w:t>
      </w:r>
    </w:p>
    <w:p w14:paraId="289C921A" w14:textId="77777777" w:rsidR="00622B29" w:rsidRPr="00622B29" w:rsidRDefault="00622B29" w:rsidP="00622B29">
      <w:pPr>
        <w:pStyle w:val="SingleTxtG"/>
        <w:rPr>
          <w:iCs/>
        </w:rPr>
      </w:pPr>
      <w:r w:rsidRPr="00622B29">
        <w:rPr>
          <w:i/>
          <w:iCs/>
        </w:rPr>
        <w:t>Paragraphe 4.4</w:t>
      </w:r>
      <w:r w:rsidRPr="00622B29">
        <w:t>, lire</w:t>
      </w:r>
      <w:r w:rsidR="008130E8">
        <w:t> </w:t>
      </w:r>
      <w:r w:rsidRPr="00622B29">
        <w:t>:</w:t>
      </w:r>
    </w:p>
    <w:p w14:paraId="199DB608" w14:textId="77777777" w:rsidR="00622B29" w:rsidRPr="00622B29" w:rsidRDefault="008130E8" w:rsidP="008130E8">
      <w:pPr>
        <w:pStyle w:val="SingleTxtG"/>
        <w:ind w:left="2268" w:hanging="1134"/>
        <w:rPr>
          <w:i/>
        </w:rPr>
      </w:pPr>
      <w:r>
        <w:t>« </w:t>
      </w:r>
      <w:r w:rsidR="00622B29" w:rsidRPr="00622B29">
        <w:t>4.4</w:t>
      </w:r>
      <w:r w:rsidR="00622B29" w:rsidRPr="00622B29">
        <w:tab/>
      </w:r>
      <w:r w:rsidR="00622B29" w:rsidRPr="00622B29">
        <w:rPr>
          <w:b/>
        </w:rPr>
        <w:t>Les inscriptions mentionnées au paragraphe 4.2 et la</w:t>
      </w:r>
      <w:r w:rsidR="00622B29" w:rsidRPr="00622B29">
        <w:t xml:space="preserve"> </w:t>
      </w:r>
      <w:proofErr w:type="spellStart"/>
      <w:r w:rsidR="00622B29" w:rsidRPr="00622B29">
        <w:rPr>
          <w:strike/>
        </w:rPr>
        <w:t>La</w:t>
      </w:r>
      <w:proofErr w:type="spellEnd"/>
      <w:r w:rsidR="00622B29" w:rsidRPr="00622B29">
        <w:rPr>
          <w:strike/>
        </w:rPr>
        <w:t xml:space="preserve"> </w:t>
      </w:r>
      <w:r w:rsidR="00622B29" w:rsidRPr="00622B29">
        <w:t xml:space="preserve">marque d’homologation </w:t>
      </w:r>
      <w:r w:rsidR="00622B29" w:rsidRPr="00622B29">
        <w:rPr>
          <w:b/>
        </w:rPr>
        <w:t>prescrite au paragraphe 5.4 du présent Règlement</w:t>
      </w:r>
      <w:r w:rsidR="00622B29" w:rsidRPr="00622B29">
        <w:t xml:space="preserve"> </w:t>
      </w:r>
      <w:r w:rsidR="00622B29" w:rsidRPr="00622B29">
        <w:rPr>
          <w:strike/>
        </w:rPr>
        <w:t>doit être moulée sur ou dans le flanc du pneu</w:t>
      </w:r>
      <w:r w:rsidR="00622B29" w:rsidRPr="00622B29">
        <w:t xml:space="preserve">, </w:t>
      </w:r>
      <w:r w:rsidR="00622B29" w:rsidRPr="00622B29">
        <w:rPr>
          <w:b/>
        </w:rPr>
        <w:t>doivent être</w:t>
      </w:r>
      <w:r w:rsidR="00622B29" w:rsidRPr="00622B29">
        <w:t xml:space="preserve"> facile</w:t>
      </w:r>
      <w:r w:rsidR="00622B29" w:rsidRPr="00622B29">
        <w:rPr>
          <w:b/>
        </w:rPr>
        <w:t>s</w:t>
      </w:r>
      <w:r w:rsidR="00622B29" w:rsidRPr="00622B29">
        <w:t xml:space="preserve"> à lire, </w:t>
      </w:r>
      <w:r w:rsidR="00622B29" w:rsidRPr="00622B29">
        <w:rPr>
          <w:strike/>
        </w:rPr>
        <w:t>et</w:t>
      </w:r>
      <w:r w:rsidR="00622B29" w:rsidRPr="00622B29">
        <w:t xml:space="preserve"> </w:t>
      </w:r>
      <w:r w:rsidR="00622B29" w:rsidRPr="00622B29">
        <w:rPr>
          <w:b/>
        </w:rPr>
        <w:t>indélébiles ou en saillie ou en creux par rapport à la surface du pneumatique</w:t>
      </w:r>
      <w:r w:rsidR="00622B29" w:rsidRPr="00622B29">
        <w:t xml:space="preserve">. </w:t>
      </w:r>
      <w:r w:rsidR="00622B29" w:rsidRPr="00622B29">
        <w:rPr>
          <w:strike/>
        </w:rPr>
        <w:t>située dans la partie basse du pneu sur au moins un des flancs.</w:t>
      </w:r>
      <w:r>
        <w:t> »</w:t>
      </w:r>
      <w:r w:rsidR="00622B29" w:rsidRPr="00622B29">
        <w:t>.</w:t>
      </w:r>
    </w:p>
    <w:p w14:paraId="525D086D" w14:textId="77777777" w:rsidR="00622B29" w:rsidRPr="00622B29" w:rsidRDefault="00622B29" w:rsidP="00622B29">
      <w:pPr>
        <w:pStyle w:val="SingleTxtG"/>
        <w:rPr>
          <w:i/>
        </w:rPr>
      </w:pPr>
      <w:r w:rsidRPr="00622B29">
        <w:rPr>
          <w:i/>
          <w:iCs/>
        </w:rPr>
        <w:t>Paragraphe 4.4.1</w:t>
      </w:r>
      <w:r w:rsidRPr="00622B29">
        <w:t>, lire</w:t>
      </w:r>
      <w:r w:rsidR="008130E8">
        <w:t> </w:t>
      </w:r>
      <w:r w:rsidRPr="00622B29">
        <w:t>:</w:t>
      </w:r>
    </w:p>
    <w:p w14:paraId="56192E4A" w14:textId="77777777" w:rsidR="00622B29" w:rsidRPr="00622B29" w:rsidRDefault="008130E8" w:rsidP="008130E8">
      <w:pPr>
        <w:pStyle w:val="SingleTxtG"/>
        <w:ind w:left="2268" w:hanging="1134"/>
        <w:rPr>
          <w:i/>
        </w:rPr>
      </w:pPr>
      <w:r>
        <w:t>« </w:t>
      </w:r>
      <w:r w:rsidR="00622B29" w:rsidRPr="00622B29">
        <w:t>4.4.1</w:t>
      </w:r>
      <w:r w:rsidR="00622B29" w:rsidRPr="00622B29">
        <w:tab/>
      </w:r>
      <w:r w:rsidR="00622B29" w:rsidRPr="00622B29">
        <w:rPr>
          <w:b/>
        </w:rPr>
        <w:t>Les inscriptions doivent être situées dans la zone basse du pneumatique sur au moins un des flancs.</w:t>
      </w:r>
      <w:r w:rsidR="00622B29" w:rsidRPr="00622B29">
        <w:t xml:space="preserve"> Toutefois, sur les pneus portant le symbole «</w:t>
      </w:r>
      <w:r>
        <w:t> </w:t>
      </w:r>
      <w:r w:rsidR="00622B29" w:rsidRPr="00622B29">
        <w:t>A</w:t>
      </w:r>
      <w:r>
        <w:t> </w:t>
      </w:r>
      <w:r w:rsidR="00622B29" w:rsidRPr="00622B29">
        <w:t xml:space="preserve">» </w:t>
      </w:r>
      <w:r w:rsidR="00622B29" w:rsidRPr="00622B29">
        <w:rPr>
          <w:b/>
        </w:rPr>
        <w:t>ou «</w:t>
      </w:r>
      <w:r>
        <w:rPr>
          <w:b/>
        </w:rPr>
        <w:t> </w:t>
      </w:r>
      <w:r w:rsidR="00622B29" w:rsidRPr="00622B29">
        <w:rPr>
          <w:b/>
        </w:rPr>
        <w:t>U</w:t>
      </w:r>
      <w:r>
        <w:rPr>
          <w:b/>
        </w:rPr>
        <w:t> </w:t>
      </w:r>
      <w:r w:rsidR="00622B29" w:rsidRPr="00622B29">
        <w:rPr>
          <w:b/>
        </w:rPr>
        <w:t>»</w:t>
      </w:r>
      <w:r w:rsidR="00622B29" w:rsidRPr="00622B29">
        <w:t xml:space="preserve"> de configuration du montage du pneu</w:t>
      </w:r>
      <w:r w:rsidR="00622B29" w:rsidRPr="00622B29">
        <w:rPr>
          <w:b/>
        </w:rPr>
        <w:t>matique</w:t>
      </w:r>
      <w:r w:rsidR="00622B29" w:rsidRPr="00622B29">
        <w:t xml:space="preserve"> sur la jante, </w:t>
      </w:r>
      <w:r w:rsidR="00622B29" w:rsidRPr="00622B29">
        <w:rPr>
          <w:strike/>
        </w:rPr>
        <w:t>la marque peut être située</w:t>
      </w:r>
      <w:r w:rsidR="00622B29" w:rsidRPr="00622B29">
        <w:t xml:space="preserve"> </w:t>
      </w:r>
      <w:r w:rsidR="00622B29" w:rsidRPr="004E7F3F">
        <w:rPr>
          <w:b/>
        </w:rPr>
        <w:t>les marques peuvent être situées à</w:t>
      </w:r>
      <w:r w:rsidR="00622B29" w:rsidRPr="00622B29">
        <w:t xml:space="preserve"> </w:t>
      </w:r>
      <w:r w:rsidR="00622B29" w:rsidRPr="004E7F3F">
        <w:rPr>
          <w:strike/>
        </w:rPr>
        <w:t>en</w:t>
      </w:r>
      <w:r w:rsidR="00622B29" w:rsidRPr="00622B29">
        <w:t xml:space="preserve"> n’importe quel endroit sur le flanc extérieur du pneu.</w:t>
      </w:r>
      <w:r>
        <w:t> »</w:t>
      </w:r>
      <w:r w:rsidR="00622B29" w:rsidRPr="00622B29">
        <w:t xml:space="preserve">. </w:t>
      </w:r>
    </w:p>
    <w:p w14:paraId="1F11ADEB" w14:textId="77777777" w:rsidR="00622B29" w:rsidRPr="00622B29" w:rsidRDefault="00622B29" w:rsidP="00622B29">
      <w:pPr>
        <w:pStyle w:val="SingleTxtG"/>
        <w:rPr>
          <w:iCs/>
        </w:rPr>
      </w:pPr>
      <w:r w:rsidRPr="00622B29">
        <w:rPr>
          <w:i/>
          <w:iCs/>
        </w:rPr>
        <w:t>Paragraphe 5.4.4</w:t>
      </w:r>
      <w:r w:rsidRPr="00622B29">
        <w:t>, lire</w:t>
      </w:r>
      <w:r w:rsidR="008130E8">
        <w:t> </w:t>
      </w:r>
      <w:r w:rsidRPr="00622B29">
        <w:t>:</w:t>
      </w:r>
    </w:p>
    <w:p w14:paraId="0449CC78" w14:textId="77777777" w:rsidR="00622B29" w:rsidRPr="00622B29" w:rsidRDefault="008130E8" w:rsidP="008130E8">
      <w:pPr>
        <w:pStyle w:val="SingleTxtG"/>
        <w:ind w:left="2268" w:hanging="1134"/>
        <w:rPr>
          <w:iCs/>
        </w:rPr>
      </w:pPr>
      <w:r>
        <w:t>« </w:t>
      </w:r>
      <w:r w:rsidR="00622B29" w:rsidRPr="00622B29">
        <w:t>5.4.4</w:t>
      </w:r>
      <w:r w:rsidR="00622B29" w:rsidRPr="00622B29">
        <w:tab/>
        <w:t xml:space="preserve">L’inscription sur les flancs du pneumatique du ou des suffixe(s) au numéro d’homologation dispense de l’obligation de tout marquage additionnel sur le pneumatique indiquant le numéro d’homologation de type spécifique pour la conformité au(x) règlement(s) auquel fait référence le suffixe conformément au paragraphe </w:t>
      </w:r>
      <w:r w:rsidR="00622B29" w:rsidRPr="004E7F3F">
        <w:rPr>
          <w:strike/>
        </w:rPr>
        <w:t>5.3.2</w:t>
      </w:r>
      <w:r w:rsidR="00622B29" w:rsidRPr="004E7F3F">
        <w:rPr>
          <w:b/>
        </w:rPr>
        <w:t xml:space="preserve">5.2.2 </w:t>
      </w:r>
      <w:r w:rsidR="00622B29" w:rsidRPr="00622B29">
        <w:t>ci-dessus.</w:t>
      </w:r>
      <w:r>
        <w:t> »</w:t>
      </w:r>
      <w:r w:rsidR="00622B29" w:rsidRPr="00622B29">
        <w:t>.</w:t>
      </w:r>
    </w:p>
    <w:p w14:paraId="1E35BEA2" w14:textId="77777777" w:rsidR="00622B29" w:rsidRPr="00622B29" w:rsidRDefault="00622B29" w:rsidP="00622B29">
      <w:pPr>
        <w:pStyle w:val="SingleTxtG"/>
      </w:pPr>
      <w:r w:rsidRPr="00622B29">
        <w:rPr>
          <w:i/>
          <w:iCs/>
        </w:rPr>
        <w:t>Paragraphe 6.4.1.1</w:t>
      </w:r>
      <w:r w:rsidRPr="00622B29">
        <w:t>, lire</w:t>
      </w:r>
      <w:r w:rsidR="008130E8">
        <w:t> </w:t>
      </w:r>
      <w:r w:rsidRPr="00622B29">
        <w:t>:</w:t>
      </w:r>
    </w:p>
    <w:p w14:paraId="0EDF18AF" w14:textId="77777777" w:rsidR="00622B29" w:rsidRPr="00622B29" w:rsidRDefault="008130E8" w:rsidP="00622B29">
      <w:pPr>
        <w:pStyle w:val="SingleTxtG"/>
      </w:pPr>
      <w:r>
        <w:t>« </w:t>
      </w:r>
      <w:r w:rsidR="00622B29" w:rsidRPr="00622B29">
        <w:t>6.4.1.1</w:t>
      </w:r>
      <w:r w:rsidR="00622B29" w:rsidRPr="00622B29">
        <w:tab/>
        <w:t>Pneumatiques des classes C1, C2 et C3</w:t>
      </w:r>
    </w:p>
    <w:p w14:paraId="1FC29E29" w14:textId="77777777" w:rsidR="00622B29" w:rsidRDefault="00622B29" w:rsidP="008130E8">
      <w:pPr>
        <w:pStyle w:val="SingleTxtG"/>
        <w:ind w:left="2268"/>
      </w:pPr>
      <w:r w:rsidRPr="00622B29">
        <w:t>La valeur minimale de l’indice de performance d’adhérence sur la neige, calculée selon la procédure décrite à l’annexe 7 et comparée à la valeur respective pour le pneumatique d’essai de référence normalisé (SRTT), doit satisfaire aux prescriptions suivantes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391"/>
        <w:gridCol w:w="1209"/>
        <w:gridCol w:w="1906"/>
        <w:gridCol w:w="1910"/>
      </w:tblGrid>
      <w:tr w:rsidR="001701D4" w:rsidRPr="00EC2D1A" w14:paraId="2C1AFFA8" w14:textId="77777777" w:rsidTr="00686189">
        <w:tc>
          <w:tcPr>
            <w:tcW w:w="647" w:type="pct"/>
            <w:tcBorders>
              <w:bottom w:val="single" w:sz="12" w:space="0" w:color="auto"/>
            </w:tcBorders>
            <w:tcMar>
              <w:left w:w="28" w:type="dxa"/>
              <w:right w:w="28" w:type="dxa"/>
            </w:tcMar>
          </w:tcPr>
          <w:p w14:paraId="083A414C" w14:textId="77777777" w:rsidR="001701D4" w:rsidRPr="00A64E26" w:rsidRDefault="001701D4" w:rsidP="008D6282">
            <w:pPr>
              <w:keepNext/>
              <w:keepLines/>
              <w:tabs>
                <w:tab w:val="left" w:pos="567"/>
                <w:tab w:val="left" w:pos="1701"/>
                <w:tab w:val="left" w:pos="2268"/>
                <w:tab w:val="left" w:pos="2835"/>
              </w:tabs>
              <w:spacing w:before="80" w:after="80" w:line="200" w:lineRule="exact"/>
              <w:ind w:left="567" w:hanging="567"/>
              <w:rPr>
                <w:rFonts w:eastAsia="Times New Roman"/>
                <w:b/>
                <w:bCs/>
                <w:i/>
                <w:color w:val="000000"/>
                <w:sz w:val="16"/>
                <w:szCs w:val="16"/>
              </w:rPr>
            </w:pPr>
            <w:r w:rsidRPr="00A64E26">
              <w:rPr>
                <w:b/>
                <w:bCs/>
                <w:i/>
                <w:iCs/>
                <w:sz w:val="16"/>
                <w:lang w:val="fr-FR"/>
              </w:rPr>
              <w:lastRenderedPageBreak/>
              <w:t>Classe de</w:t>
            </w:r>
            <w:r w:rsidRPr="00A64E26">
              <w:rPr>
                <w:b/>
                <w:sz w:val="16"/>
                <w:lang w:val="fr-FR"/>
              </w:rPr>
              <w:t xml:space="preserve"> </w:t>
            </w:r>
          </w:p>
          <w:p w14:paraId="3DE7AF24" w14:textId="77777777" w:rsidR="001701D4" w:rsidRPr="00A64E26" w:rsidRDefault="001701D4" w:rsidP="008D6282">
            <w:pPr>
              <w:keepNext/>
              <w:keepLines/>
              <w:tabs>
                <w:tab w:val="left" w:pos="567"/>
                <w:tab w:val="left" w:pos="1701"/>
                <w:tab w:val="left" w:pos="2268"/>
                <w:tab w:val="left" w:pos="2835"/>
              </w:tabs>
              <w:spacing w:before="80" w:after="80" w:line="200" w:lineRule="exact"/>
              <w:ind w:left="567" w:hanging="567"/>
              <w:rPr>
                <w:rFonts w:eastAsia="Times New Roman"/>
                <w:b/>
                <w:bCs/>
                <w:i/>
                <w:color w:val="000000"/>
                <w:sz w:val="16"/>
                <w:szCs w:val="16"/>
              </w:rPr>
            </w:pPr>
            <w:r w:rsidRPr="00A64E26">
              <w:rPr>
                <w:b/>
                <w:bCs/>
                <w:i/>
                <w:iCs/>
                <w:sz w:val="16"/>
                <w:lang w:val="fr-FR"/>
              </w:rPr>
              <w:t>pneumatique</w:t>
            </w:r>
          </w:p>
        </w:tc>
        <w:tc>
          <w:tcPr>
            <w:tcW w:w="1764" w:type="pct"/>
            <w:gridSpan w:val="2"/>
            <w:tcBorders>
              <w:bottom w:val="single" w:sz="12" w:space="0" w:color="auto"/>
            </w:tcBorders>
            <w:tcMar>
              <w:left w:w="28" w:type="dxa"/>
              <w:right w:w="28" w:type="dxa"/>
            </w:tcMar>
          </w:tcPr>
          <w:p w14:paraId="7C36CA32"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lang w:val="fr-FR"/>
              </w:rPr>
            </w:pPr>
            <w:r w:rsidRPr="00A64E26">
              <w:rPr>
                <w:b/>
                <w:bCs/>
                <w:i/>
                <w:iCs/>
                <w:sz w:val="16"/>
                <w:lang w:val="fr-FR"/>
              </w:rPr>
              <w:t>Indice d’adhérence sur neige</w:t>
            </w:r>
          </w:p>
          <w:p w14:paraId="5CF7E35D"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lang w:val="fr-FR"/>
              </w:rPr>
            </w:pPr>
            <w:r w:rsidRPr="00A64E26">
              <w:rPr>
                <w:b/>
                <w:bCs/>
                <w:i/>
                <w:iCs/>
                <w:sz w:val="16"/>
                <w:lang w:val="fr-FR"/>
              </w:rPr>
              <w:t>(essai de freinage sur neige)</w:t>
            </w:r>
            <w:r w:rsidRPr="00A64E26">
              <w:rPr>
                <w:b/>
                <w:bCs/>
                <w:i/>
                <w:iCs/>
                <w:sz w:val="16"/>
                <w:vertAlign w:val="superscript"/>
                <w:lang w:val="fr-FR"/>
              </w:rPr>
              <w:t>a</w:t>
            </w:r>
          </w:p>
        </w:tc>
        <w:tc>
          <w:tcPr>
            <w:tcW w:w="1293" w:type="pct"/>
            <w:tcBorders>
              <w:bottom w:val="single" w:sz="12" w:space="0" w:color="auto"/>
            </w:tcBorders>
            <w:tcMar>
              <w:left w:w="28" w:type="dxa"/>
              <w:right w:w="28" w:type="dxa"/>
            </w:tcMar>
          </w:tcPr>
          <w:p w14:paraId="2CDA42B9"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lang w:val="fr-FR"/>
              </w:rPr>
            </w:pPr>
            <w:r w:rsidRPr="00A64E26">
              <w:rPr>
                <w:b/>
                <w:bCs/>
                <w:i/>
                <w:iCs/>
                <w:sz w:val="16"/>
                <w:lang w:val="fr-FR"/>
              </w:rPr>
              <w:t>Indice d’adhérence sur neige</w:t>
            </w:r>
          </w:p>
          <w:p w14:paraId="4C3E882D"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u w:val="single"/>
                <w:lang w:val="fr-FR"/>
              </w:rPr>
            </w:pPr>
            <w:r w:rsidRPr="00A64E26">
              <w:rPr>
                <w:b/>
                <w:bCs/>
                <w:i/>
                <w:iCs/>
                <w:sz w:val="16"/>
                <w:lang w:val="fr-FR"/>
              </w:rPr>
              <w:t>Indice d’adhérence sur neige (essai de traction sur neige)</w:t>
            </w:r>
            <w:r w:rsidRPr="00A64E26">
              <w:rPr>
                <w:b/>
                <w:bCs/>
                <w:i/>
                <w:iCs/>
                <w:sz w:val="16"/>
                <w:vertAlign w:val="superscript"/>
                <w:lang w:val="fr-FR"/>
              </w:rPr>
              <w:t>b</w:t>
            </w:r>
          </w:p>
        </w:tc>
        <w:tc>
          <w:tcPr>
            <w:tcW w:w="1296" w:type="pct"/>
            <w:tcBorders>
              <w:bottom w:val="single" w:sz="12" w:space="0" w:color="auto"/>
            </w:tcBorders>
          </w:tcPr>
          <w:p w14:paraId="15FAFF71"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lang w:val="fr-FR"/>
              </w:rPr>
            </w:pPr>
            <w:r w:rsidRPr="00A64E26">
              <w:rPr>
                <w:b/>
                <w:bCs/>
                <w:i/>
                <w:iCs/>
                <w:sz w:val="16"/>
                <w:lang w:val="fr-FR"/>
              </w:rPr>
              <w:t>Indice d’adhérence sur neige</w:t>
            </w:r>
          </w:p>
          <w:p w14:paraId="59264467" w14:textId="77777777" w:rsidR="001701D4" w:rsidRPr="00A64E26" w:rsidRDefault="001701D4" w:rsidP="008D6282">
            <w:pPr>
              <w:keepNext/>
              <w:keepLines/>
              <w:tabs>
                <w:tab w:val="left" w:pos="1701"/>
                <w:tab w:val="left" w:pos="2268"/>
                <w:tab w:val="left" w:pos="2835"/>
              </w:tabs>
              <w:spacing w:before="80" w:after="80" w:line="200" w:lineRule="exact"/>
              <w:ind w:left="132"/>
              <w:jc w:val="center"/>
              <w:rPr>
                <w:rFonts w:eastAsia="Times New Roman"/>
                <w:b/>
                <w:bCs/>
                <w:i/>
                <w:color w:val="000000"/>
                <w:sz w:val="16"/>
                <w:szCs w:val="16"/>
                <w:lang w:val="fr-FR"/>
              </w:rPr>
            </w:pPr>
            <w:r w:rsidRPr="00A64E26">
              <w:rPr>
                <w:b/>
                <w:bCs/>
                <w:i/>
                <w:iCs/>
                <w:sz w:val="16"/>
                <w:lang w:val="fr-FR"/>
              </w:rPr>
              <w:t>Indice d’adhérence sur neige (essai d’accélération)</w:t>
            </w:r>
            <w:r w:rsidRPr="00A64E26">
              <w:rPr>
                <w:b/>
                <w:bCs/>
                <w:i/>
                <w:iCs/>
                <w:sz w:val="16"/>
                <w:vertAlign w:val="superscript"/>
                <w:lang w:val="fr-FR"/>
              </w:rPr>
              <w:t>c</w:t>
            </w:r>
          </w:p>
        </w:tc>
      </w:tr>
      <w:tr w:rsidR="001701D4" w:rsidRPr="00031302" w14:paraId="6143EF6F" w14:textId="77777777" w:rsidTr="00686189">
        <w:tc>
          <w:tcPr>
            <w:tcW w:w="647" w:type="pct"/>
            <w:tcBorders>
              <w:top w:val="single" w:sz="12" w:space="0" w:color="auto"/>
            </w:tcBorders>
            <w:tcMar>
              <w:left w:w="28" w:type="dxa"/>
              <w:right w:w="28" w:type="dxa"/>
            </w:tcMar>
          </w:tcPr>
          <w:p w14:paraId="22CE9A83" w14:textId="77777777" w:rsidR="001701D4" w:rsidRPr="00A64E26" w:rsidRDefault="001701D4" w:rsidP="008D6282">
            <w:pPr>
              <w:keepNext/>
              <w:keepLines/>
              <w:tabs>
                <w:tab w:val="left" w:pos="567"/>
                <w:tab w:val="left" w:pos="1701"/>
                <w:tab w:val="left" w:pos="2268"/>
                <w:tab w:val="left" w:pos="2835"/>
              </w:tabs>
              <w:spacing w:before="80" w:after="80" w:line="200" w:lineRule="exact"/>
              <w:ind w:left="567" w:hanging="567"/>
              <w:rPr>
                <w:rFonts w:eastAsia="Times New Roman"/>
                <w:i/>
                <w:color w:val="000000"/>
                <w:sz w:val="18"/>
                <w:szCs w:val="16"/>
                <w:lang w:val="fr-FR"/>
              </w:rPr>
            </w:pPr>
          </w:p>
        </w:tc>
        <w:tc>
          <w:tcPr>
            <w:tcW w:w="944" w:type="pct"/>
            <w:tcBorders>
              <w:top w:val="single" w:sz="12" w:space="0" w:color="auto"/>
            </w:tcBorders>
            <w:tcMar>
              <w:left w:w="28" w:type="dxa"/>
              <w:right w:w="28" w:type="dxa"/>
            </w:tcMar>
          </w:tcPr>
          <w:p w14:paraId="6B0A5C31" w14:textId="77777777" w:rsidR="001701D4" w:rsidRPr="00A64E26" w:rsidRDefault="001701D4" w:rsidP="008D6282">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A64E26">
              <w:rPr>
                <w:i/>
                <w:iCs/>
                <w:sz w:val="18"/>
                <w:lang w:val="fr-FR"/>
              </w:rPr>
              <w:t>Réf. = SRTT14</w:t>
            </w:r>
            <w:r w:rsidRPr="00A64E26">
              <w:rPr>
                <w:b/>
                <w:bCs/>
                <w:i/>
                <w:iCs/>
                <w:sz w:val="18"/>
                <w:lang w:val="fr-FR"/>
              </w:rPr>
              <w:t>, SRTT16</w:t>
            </w:r>
          </w:p>
        </w:tc>
        <w:tc>
          <w:tcPr>
            <w:tcW w:w="820" w:type="pct"/>
            <w:tcBorders>
              <w:top w:val="single" w:sz="12" w:space="0" w:color="auto"/>
            </w:tcBorders>
          </w:tcPr>
          <w:p w14:paraId="077FC462" w14:textId="77777777" w:rsidR="001701D4" w:rsidRPr="00A64E26" w:rsidRDefault="001701D4" w:rsidP="008D6282">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A64E26">
              <w:rPr>
                <w:i/>
                <w:iCs/>
                <w:sz w:val="18"/>
                <w:lang w:val="fr-FR"/>
              </w:rPr>
              <w:t>Réf.</w:t>
            </w:r>
            <w:r w:rsidRPr="00A64E26">
              <w:rPr>
                <w:sz w:val="18"/>
                <w:lang w:val="fr-FR"/>
              </w:rPr>
              <w:t xml:space="preserve"> </w:t>
            </w:r>
            <w:r w:rsidRPr="00A64E26">
              <w:rPr>
                <w:i/>
                <w:iCs/>
                <w:sz w:val="18"/>
                <w:lang w:val="fr-FR"/>
              </w:rPr>
              <w:t>=  SRTT16C</w:t>
            </w:r>
          </w:p>
        </w:tc>
        <w:tc>
          <w:tcPr>
            <w:tcW w:w="1293" w:type="pct"/>
            <w:tcBorders>
              <w:top w:val="single" w:sz="12" w:space="0" w:color="auto"/>
            </w:tcBorders>
            <w:tcMar>
              <w:left w:w="28" w:type="dxa"/>
              <w:right w:w="28" w:type="dxa"/>
            </w:tcMar>
          </w:tcPr>
          <w:p w14:paraId="4B9D8B63" w14:textId="77777777" w:rsidR="001701D4" w:rsidRPr="00A64E26" w:rsidRDefault="001701D4" w:rsidP="008D6282">
            <w:pPr>
              <w:keepNext/>
              <w:keepLines/>
              <w:tabs>
                <w:tab w:val="left" w:pos="1701"/>
                <w:tab w:val="left" w:pos="2268"/>
                <w:tab w:val="left" w:pos="2835"/>
              </w:tabs>
              <w:spacing w:before="80" w:after="80" w:line="200" w:lineRule="exact"/>
              <w:ind w:left="132"/>
              <w:rPr>
                <w:rFonts w:eastAsia="Times New Roman"/>
                <w:b/>
                <w:bCs/>
                <w:i/>
                <w:color w:val="000000"/>
                <w:sz w:val="18"/>
                <w:szCs w:val="16"/>
              </w:rPr>
            </w:pPr>
            <w:r w:rsidRPr="00A64E26">
              <w:rPr>
                <w:i/>
                <w:iCs/>
                <w:sz w:val="18"/>
                <w:lang w:val="fr-FR"/>
              </w:rPr>
              <w:t>Réf.</w:t>
            </w:r>
            <w:r w:rsidRPr="00A64E26">
              <w:rPr>
                <w:sz w:val="18"/>
                <w:lang w:val="fr-FR"/>
              </w:rPr>
              <w:t xml:space="preserve"> </w:t>
            </w:r>
            <w:r w:rsidRPr="00A64E26">
              <w:rPr>
                <w:i/>
                <w:iCs/>
                <w:sz w:val="18"/>
                <w:lang w:val="fr-FR"/>
              </w:rPr>
              <w:t>=  SRTT14</w:t>
            </w:r>
            <w:r w:rsidRPr="00A64E26">
              <w:rPr>
                <w:b/>
                <w:bCs/>
                <w:i/>
                <w:iCs/>
                <w:sz w:val="18"/>
                <w:lang w:val="fr-FR"/>
              </w:rPr>
              <w:t>, SRTT16</w:t>
            </w:r>
          </w:p>
        </w:tc>
        <w:tc>
          <w:tcPr>
            <w:tcW w:w="1296" w:type="pct"/>
            <w:tcBorders>
              <w:top w:val="single" w:sz="12" w:space="0" w:color="auto"/>
            </w:tcBorders>
          </w:tcPr>
          <w:p w14:paraId="75F9401C" w14:textId="77777777" w:rsidR="001701D4" w:rsidRPr="00A64E26" w:rsidRDefault="001701D4" w:rsidP="008D6282">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A64E26">
              <w:rPr>
                <w:i/>
                <w:iCs/>
                <w:sz w:val="18"/>
                <w:lang w:val="fr-FR"/>
              </w:rPr>
              <w:t>Réf. =</w:t>
            </w:r>
            <w:r w:rsidRPr="00A64E26">
              <w:rPr>
                <w:sz w:val="18"/>
                <w:lang w:val="fr-FR"/>
              </w:rPr>
              <w:t xml:space="preserve"> </w:t>
            </w:r>
          </w:p>
          <w:p w14:paraId="761D68A1" w14:textId="77777777" w:rsidR="001701D4" w:rsidRPr="00A64E26" w:rsidRDefault="001701D4" w:rsidP="008D6282">
            <w:pPr>
              <w:keepNext/>
              <w:keepLines/>
              <w:tabs>
                <w:tab w:val="left" w:pos="1701"/>
                <w:tab w:val="left" w:pos="2268"/>
                <w:tab w:val="left" w:pos="2835"/>
              </w:tabs>
              <w:spacing w:before="80" w:after="80" w:line="200" w:lineRule="exact"/>
              <w:ind w:left="132"/>
              <w:rPr>
                <w:rFonts w:eastAsia="Times New Roman"/>
                <w:i/>
                <w:color w:val="000000"/>
                <w:sz w:val="18"/>
                <w:szCs w:val="16"/>
              </w:rPr>
            </w:pPr>
            <w:r w:rsidRPr="00A64E26">
              <w:rPr>
                <w:i/>
                <w:iCs/>
                <w:strike/>
                <w:sz w:val="18"/>
                <w:lang w:val="fr-FR"/>
              </w:rPr>
              <w:t>SRTT19.5</w:t>
            </w:r>
            <w:r w:rsidRPr="00A64E26">
              <w:rPr>
                <w:sz w:val="18"/>
                <w:lang w:val="fr-FR"/>
              </w:rPr>
              <w:t xml:space="preserve"> </w:t>
            </w:r>
            <w:proofErr w:type="spellStart"/>
            <w:r w:rsidRPr="00A64E26">
              <w:rPr>
                <w:b/>
                <w:bCs/>
                <w:i/>
                <w:iCs/>
                <w:sz w:val="18"/>
                <w:lang w:val="fr-FR"/>
              </w:rPr>
              <w:t>SRTT19.5</w:t>
            </w:r>
            <w:proofErr w:type="spellEnd"/>
            <w:r w:rsidRPr="00A64E26">
              <w:rPr>
                <w:b/>
                <w:bCs/>
                <w:i/>
                <w:iCs/>
                <w:sz w:val="18"/>
                <w:lang w:val="fr-FR"/>
              </w:rPr>
              <w:t>,</w:t>
            </w:r>
            <w:r w:rsidRPr="00A64E26">
              <w:rPr>
                <w:i/>
                <w:iCs/>
                <w:sz w:val="18"/>
                <w:lang w:val="fr-FR"/>
              </w:rPr>
              <w:t xml:space="preserve"> SRTT22.5</w:t>
            </w:r>
          </w:p>
        </w:tc>
      </w:tr>
      <w:tr w:rsidR="001701D4" w:rsidRPr="00031302" w14:paraId="56312214" w14:textId="77777777" w:rsidTr="00686189">
        <w:tc>
          <w:tcPr>
            <w:tcW w:w="647" w:type="pct"/>
            <w:tcMar>
              <w:left w:w="28" w:type="dxa"/>
              <w:right w:w="28" w:type="dxa"/>
            </w:tcMar>
          </w:tcPr>
          <w:p w14:paraId="06455469" w14:textId="77777777" w:rsidR="001701D4" w:rsidRPr="00A64E26" w:rsidRDefault="001701D4" w:rsidP="008D6282">
            <w:pPr>
              <w:keepNext/>
              <w:keepLines/>
              <w:tabs>
                <w:tab w:val="left" w:pos="-720"/>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 xml:space="preserve">C1 </w:t>
            </w:r>
          </w:p>
        </w:tc>
        <w:tc>
          <w:tcPr>
            <w:tcW w:w="944" w:type="pct"/>
            <w:tcMar>
              <w:left w:w="28" w:type="dxa"/>
              <w:right w:w="28" w:type="dxa"/>
            </w:tcMar>
          </w:tcPr>
          <w:p w14:paraId="2CC406E1" w14:textId="77777777" w:rsidR="001701D4" w:rsidRPr="00A64E26" w:rsidRDefault="001701D4" w:rsidP="008D6282">
            <w:pPr>
              <w:keepNext/>
              <w:keepLines/>
              <w:tabs>
                <w:tab w:val="left" w:pos="1701"/>
                <w:tab w:val="left" w:pos="2268"/>
                <w:tab w:val="left" w:pos="6492"/>
              </w:tabs>
              <w:spacing w:before="40" w:after="120" w:line="240" w:lineRule="exact"/>
              <w:ind w:left="132"/>
              <w:jc w:val="center"/>
              <w:rPr>
                <w:rFonts w:eastAsia="Times New Roman"/>
                <w:color w:val="000000"/>
                <w:sz w:val="18"/>
                <w:szCs w:val="18"/>
              </w:rPr>
            </w:pPr>
            <w:r w:rsidRPr="00A64E26">
              <w:rPr>
                <w:sz w:val="18"/>
                <w:lang w:val="fr-FR"/>
              </w:rPr>
              <w:t>1,07</w:t>
            </w:r>
          </w:p>
        </w:tc>
        <w:tc>
          <w:tcPr>
            <w:tcW w:w="820" w:type="pct"/>
          </w:tcPr>
          <w:p w14:paraId="7748AB32"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3" w:type="pct"/>
            <w:tcMar>
              <w:left w:w="28" w:type="dxa"/>
              <w:right w:w="28" w:type="dxa"/>
            </w:tcMar>
          </w:tcPr>
          <w:p w14:paraId="39DC859D"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A64E26">
              <w:rPr>
                <w:sz w:val="18"/>
                <w:lang w:val="fr-FR"/>
              </w:rPr>
              <w:t>1,10</w:t>
            </w:r>
          </w:p>
        </w:tc>
        <w:tc>
          <w:tcPr>
            <w:tcW w:w="1296" w:type="pct"/>
          </w:tcPr>
          <w:p w14:paraId="5BFEB9F7"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r>
      <w:tr w:rsidR="001701D4" w:rsidRPr="00031302" w14:paraId="7955D879" w14:textId="77777777" w:rsidTr="00686189">
        <w:tc>
          <w:tcPr>
            <w:tcW w:w="647" w:type="pct"/>
            <w:tcBorders>
              <w:bottom w:val="single" w:sz="4" w:space="0" w:color="auto"/>
            </w:tcBorders>
            <w:tcMar>
              <w:left w:w="28" w:type="dxa"/>
              <w:right w:w="28" w:type="dxa"/>
            </w:tcMar>
          </w:tcPr>
          <w:p w14:paraId="35F541F1" w14:textId="77777777" w:rsidR="001701D4" w:rsidRPr="00A64E26" w:rsidRDefault="001701D4" w:rsidP="008D6282">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C2</w:t>
            </w:r>
          </w:p>
        </w:tc>
        <w:tc>
          <w:tcPr>
            <w:tcW w:w="944" w:type="pct"/>
            <w:tcBorders>
              <w:bottom w:val="single" w:sz="4" w:space="0" w:color="auto"/>
            </w:tcBorders>
            <w:tcMar>
              <w:left w:w="28" w:type="dxa"/>
              <w:right w:w="28" w:type="dxa"/>
            </w:tcMar>
          </w:tcPr>
          <w:p w14:paraId="1CEF8AE0"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820" w:type="pct"/>
            <w:tcBorders>
              <w:bottom w:val="single" w:sz="4" w:space="0" w:color="auto"/>
            </w:tcBorders>
          </w:tcPr>
          <w:p w14:paraId="2CAF826D"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1,02</w:t>
            </w:r>
          </w:p>
        </w:tc>
        <w:tc>
          <w:tcPr>
            <w:tcW w:w="1293" w:type="pct"/>
            <w:tcBorders>
              <w:bottom w:val="single" w:sz="4" w:space="0" w:color="auto"/>
            </w:tcBorders>
            <w:tcMar>
              <w:left w:w="28" w:type="dxa"/>
              <w:right w:w="28" w:type="dxa"/>
            </w:tcMar>
            <w:vAlign w:val="center"/>
          </w:tcPr>
          <w:p w14:paraId="642B5B46"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vertAlign w:val="superscript"/>
              </w:rPr>
            </w:pPr>
            <w:r w:rsidRPr="00A64E26">
              <w:rPr>
                <w:sz w:val="18"/>
                <w:lang w:val="fr-FR"/>
              </w:rPr>
              <w:t>1,10</w:t>
            </w:r>
          </w:p>
        </w:tc>
        <w:tc>
          <w:tcPr>
            <w:tcW w:w="1296" w:type="pct"/>
            <w:tcBorders>
              <w:bottom w:val="single" w:sz="4" w:space="0" w:color="auto"/>
            </w:tcBorders>
          </w:tcPr>
          <w:p w14:paraId="6E5977CD"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r>
      <w:tr w:rsidR="001701D4" w:rsidRPr="00031302" w14:paraId="539613A5" w14:textId="77777777" w:rsidTr="00686189">
        <w:tc>
          <w:tcPr>
            <w:tcW w:w="647" w:type="pct"/>
            <w:tcBorders>
              <w:bottom w:val="single" w:sz="12" w:space="0" w:color="auto"/>
            </w:tcBorders>
            <w:tcMar>
              <w:left w:w="28" w:type="dxa"/>
              <w:right w:w="28" w:type="dxa"/>
            </w:tcMar>
          </w:tcPr>
          <w:p w14:paraId="6D5E9476" w14:textId="77777777" w:rsidR="001701D4" w:rsidRPr="00A64E26" w:rsidRDefault="001701D4" w:rsidP="008D6282">
            <w:pPr>
              <w:keepNext/>
              <w:keepLines/>
              <w:tabs>
                <w:tab w:val="left" w:pos="567"/>
                <w:tab w:val="left" w:pos="1701"/>
                <w:tab w:val="left" w:pos="2268"/>
                <w:tab w:val="left" w:pos="2835"/>
              </w:tabs>
              <w:spacing w:before="40" w:after="120" w:line="240" w:lineRule="exact"/>
              <w:ind w:left="119"/>
              <w:rPr>
                <w:rFonts w:eastAsia="Times New Roman"/>
                <w:color w:val="000000"/>
                <w:sz w:val="18"/>
                <w:szCs w:val="18"/>
              </w:rPr>
            </w:pPr>
            <w:r w:rsidRPr="00A64E26">
              <w:rPr>
                <w:sz w:val="18"/>
                <w:lang w:val="fr-FR"/>
              </w:rPr>
              <w:t>C3</w:t>
            </w:r>
          </w:p>
        </w:tc>
        <w:tc>
          <w:tcPr>
            <w:tcW w:w="944" w:type="pct"/>
            <w:tcBorders>
              <w:bottom w:val="single" w:sz="12" w:space="0" w:color="auto"/>
            </w:tcBorders>
            <w:tcMar>
              <w:left w:w="28" w:type="dxa"/>
              <w:right w:w="28" w:type="dxa"/>
            </w:tcMar>
          </w:tcPr>
          <w:p w14:paraId="60727278" w14:textId="77777777" w:rsidR="001701D4" w:rsidRPr="00A64E26" w:rsidDel="00C4075C"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820" w:type="pct"/>
            <w:tcBorders>
              <w:bottom w:val="single" w:sz="12" w:space="0" w:color="auto"/>
            </w:tcBorders>
          </w:tcPr>
          <w:p w14:paraId="219E4C53"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3" w:type="pct"/>
            <w:tcBorders>
              <w:bottom w:val="single" w:sz="12" w:space="0" w:color="auto"/>
            </w:tcBorders>
            <w:tcMar>
              <w:left w:w="28" w:type="dxa"/>
              <w:right w:w="28" w:type="dxa"/>
            </w:tcMar>
            <w:vAlign w:val="center"/>
          </w:tcPr>
          <w:p w14:paraId="50E2C0C0"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Néant</w:t>
            </w:r>
          </w:p>
        </w:tc>
        <w:tc>
          <w:tcPr>
            <w:tcW w:w="1296" w:type="pct"/>
            <w:tcBorders>
              <w:bottom w:val="single" w:sz="12" w:space="0" w:color="auto"/>
            </w:tcBorders>
          </w:tcPr>
          <w:p w14:paraId="26097339" w14:textId="77777777" w:rsidR="001701D4" w:rsidRPr="00A64E26" w:rsidRDefault="001701D4" w:rsidP="008D6282">
            <w:pPr>
              <w:keepNext/>
              <w:keepLines/>
              <w:tabs>
                <w:tab w:val="left" w:pos="1701"/>
                <w:tab w:val="left" w:pos="2268"/>
                <w:tab w:val="left" w:pos="2835"/>
              </w:tabs>
              <w:spacing w:before="40" w:after="120" w:line="240" w:lineRule="exact"/>
              <w:ind w:left="132"/>
              <w:jc w:val="center"/>
              <w:rPr>
                <w:rFonts w:eastAsia="Times New Roman"/>
                <w:color w:val="000000"/>
                <w:sz w:val="18"/>
                <w:szCs w:val="18"/>
              </w:rPr>
            </w:pPr>
            <w:r w:rsidRPr="00A64E26">
              <w:rPr>
                <w:sz w:val="18"/>
                <w:lang w:val="fr-FR"/>
              </w:rPr>
              <w:t>1,25</w:t>
            </w:r>
          </w:p>
        </w:tc>
      </w:tr>
    </w:tbl>
    <w:p w14:paraId="3F7C74C9" w14:textId="77777777" w:rsidR="00622B29" w:rsidRPr="00C75AA1" w:rsidRDefault="00AD0CAE" w:rsidP="00C75AA1">
      <w:pPr>
        <w:pStyle w:val="SingleTxtG"/>
        <w:spacing w:before="80" w:after="0" w:line="220" w:lineRule="exact"/>
        <w:rPr>
          <w:sz w:val="18"/>
          <w:szCs w:val="18"/>
        </w:rPr>
      </w:pPr>
      <w:r w:rsidRPr="00C75AA1">
        <w:rPr>
          <w:i/>
          <w:iCs/>
          <w:sz w:val="18"/>
          <w:szCs w:val="18"/>
          <w:vertAlign w:val="superscript"/>
        </w:rPr>
        <w:t xml:space="preserve">  </w:t>
      </w:r>
      <w:proofErr w:type="spellStart"/>
      <w:r w:rsidR="00622B29" w:rsidRPr="00C75AA1">
        <w:rPr>
          <w:i/>
          <w:iCs/>
          <w:sz w:val="18"/>
          <w:szCs w:val="18"/>
          <w:vertAlign w:val="superscript"/>
        </w:rPr>
        <w:t>a</w:t>
      </w:r>
      <w:proofErr w:type="spellEnd"/>
      <w:r w:rsidR="00622B29" w:rsidRPr="00C75AA1">
        <w:rPr>
          <w:sz w:val="18"/>
          <w:szCs w:val="18"/>
        </w:rPr>
        <w:tab/>
        <w:t>Voir le paragraphe 3 de l’annexe 7 du présent Règlement.</w:t>
      </w:r>
    </w:p>
    <w:p w14:paraId="249926AD" w14:textId="77777777" w:rsidR="00622B29" w:rsidRPr="00C75AA1" w:rsidRDefault="00AD0CAE" w:rsidP="00C75AA1">
      <w:pPr>
        <w:pStyle w:val="SingleTxtG"/>
        <w:spacing w:after="0" w:line="220" w:lineRule="exact"/>
        <w:rPr>
          <w:sz w:val="18"/>
          <w:szCs w:val="18"/>
        </w:rPr>
      </w:pPr>
      <w:r w:rsidRPr="00C75AA1">
        <w:rPr>
          <w:i/>
          <w:iCs/>
          <w:sz w:val="18"/>
          <w:szCs w:val="18"/>
          <w:vertAlign w:val="superscript"/>
        </w:rPr>
        <w:t xml:space="preserve">  </w:t>
      </w:r>
      <w:r w:rsidR="00622B29" w:rsidRPr="00C75AA1">
        <w:rPr>
          <w:i/>
          <w:iCs/>
          <w:sz w:val="18"/>
          <w:szCs w:val="18"/>
          <w:vertAlign w:val="superscript"/>
        </w:rPr>
        <w:t>b</w:t>
      </w:r>
      <w:r w:rsidR="00622B29" w:rsidRPr="00C75AA1">
        <w:rPr>
          <w:sz w:val="18"/>
          <w:szCs w:val="18"/>
        </w:rPr>
        <w:tab/>
        <w:t>Voir le paragraphe 2 de l’annexe 7 du présent Règlement.</w:t>
      </w:r>
    </w:p>
    <w:p w14:paraId="226D84A7" w14:textId="77777777" w:rsidR="00622B29" w:rsidRPr="00622B29" w:rsidRDefault="00AD0CAE" w:rsidP="00C75AA1">
      <w:pPr>
        <w:pStyle w:val="SingleTxtG"/>
        <w:spacing w:after="0" w:line="220" w:lineRule="exact"/>
      </w:pPr>
      <w:r w:rsidRPr="00C75AA1">
        <w:rPr>
          <w:i/>
          <w:iCs/>
          <w:sz w:val="18"/>
          <w:szCs w:val="18"/>
          <w:vertAlign w:val="superscript"/>
        </w:rPr>
        <w:t xml:space="preserve">  </w:t>
      </w:r>
      <w:r w:rsidR="00622B29" w:rsidRPr="00C75AA1">
        <w:rPr>
          <w:i/>
          <w:iCs/>
          <w:sz w:val="18"/>
          <w:szCs w:val="18"/>
          <w:vertAlign w:val="superscript"/>
        </w:rPr>
        <w:t>c</w:t>
      </w:r>
      <w:r w:rsidR="00622B29" w:rsidRPr="00C75AA1">
        <w:rPr>
          <w:sz w:val="18"/>
          <w:szCs w:val="18"/>
        </w:rPr>
        <w:tab/>
        <w:t>Voir le paragraphe 4 de l’annexe 7 du présent Règlement.</w:t>
      </w:r>
      <w:r w:rsidR="008130E8">
        <w:t> »</w:t>
      </w:r>
      <w:r w:rsidR="00622B29" w:rsidRPr="00622B29">
        <w:t>.</w:t>
      </w:r>
    </w:p>
    <w:p w14:paraId="5E86D149" w14:textId="77777777" w:rsidR="00622B29" w:rsidRPr="00622B29" w:rsidRDefault="00622B29" w:rsidP="00622B29">
      <w:pPr>
        <w:pStyle w:val="SingleTxtG"/>
      </w:pPr>
      <w:r w:rsidRPr="00622B29">
        <w:rPr>
          <w:i/>
          <w:iCs/>
        </w:rPr>
        <w:t xml:space="preserve">Les paragraphes 7.1.3 et 7.1.4 </w:t>
      </w:r>
      <w:r w:rsidRPr="00622B29">
        <w:t xml:space="preserve">deviennent les paragraphes 7.2 et 7.3. </w:t>
      </w:r>
    </w:p>
    <w:p w14:paraId="7517B675" w14:textId="77777777" w:rsidR="00622B29" w:rsidRPr="00622B29" w:rsidRDefault="00622B29" w:rsidP="00622B29">
      <w:pPr>
        <w:pStyle w:val="SingleTxtG"/>
      </w:pPr>
      <w:r w:rsidRPr="00622B29">
        <w:rPr>
          <w:i/>
          <w:iCs/>
        </w:rPr>
        <w:t>Paragraphe 9.1</w:t>
      </w:r>
      <w:r w:rsidRPr="00622B29">
        <w:t>, lire</w:t>
      </w:r>
      <w:r w:rsidR="001701D4">
        <w:t> </w:t>
      </w:r>
      <w:r w:rsidRPr="00622B29">
        <w:t>:</w:t>
      </w:r>
    </w:p>
    <w:p w14:paraId="29BF97A6" w14:textId="77777777" w:rsidR="00622B29" w:rsidRPr="00622B29" w:rsidRDefault="001701D4" w:rsidP="001701D4">
      <w:pPr>
        <w:pStyle w:val="SingleTxtG"/>
        <w:ind w:left="2268" w:hanging="1134"/>
        <w:rPr>
          <w:i/>
          <w:iCs/>
        </w:rPr>
      </w:pPr>
      <w:r>
        <w:t>« </w:t>
      </w:r>
      <w:r w:rsidR="00622B29" w:rsidRPr="00622B29">
        <w:t>9.1</w:t>
      </w:r>
      <w:r w:rsidR="00622B29" w:rsidRPr="00622B29">
        <w:tab/>
        <w:t>L’homologation délivrée pour un type de pneumatique conformément au présent Règlement peut être retirée, si les conditions énoncées au paragraphe</w:t>
      </w:r>
      <w:r w:rsidR="00C75AA1">
        <w:t> </w:t>
      </w:r>
      <w:r w:rsidR="00622B29" w:rsidRPr="00622B29">
        <w:t xml:space="preserve">8 ci-dessus ne sont pas respectées ou si l’un des exemplaires du type de pneumatique dépasse les limites prévues </w:t>
      </w:r>
      <w:r w:rsidR="00622B29" w:rsidRPr="004E7F3F">
        <w:rPr>
          <w:strike/>
        </w:rPr>
        <w:t>au paragraphe 8.3 ou 8.4</w:t>
      </w:r>
      <w:r w:rsidR="00622B29" w:rsidRPr="00622B29">
        <w:t xml:space="preserve"> </w:t>
      </w:r>
      <w:r w:rsidR="00622B29" w:rsidRPr="004E7F3F">
        <w:rPr>
          <w:b/>
        </w:rPr>
        <w:t>aux paragraphes 8.4. ou 8.5</w:t>
      </w:r>
      <w:r w:rsidR="00622B29" w:rsidRPr="00622B29">
        <w:t xml:space="preserve"> ci-dessus.</w:t>
      </w:r>
      <w:r>
        <w:t> »</w:t>
      </w:r>
      <w:r w:rsidR="00622B29" w:rsidRPr="00622B29">
        <w:t>.</w:t>
      </w:r>
    </w:p>
    <w:p w14:paraId="36297992" w14:textId="77777777" w:rsidR="00622B29" w:rsidRPr="00622B29" w:rsidRDefault="00622B29" w:rsidP="00622B29">
      <w:pPr>
        <w:pStyle w:val="SingleTxtG"/>
      </w:pPr>
      <w:r w:rsidRPr="00622B29">
        <w:rPr>
          <w:i/>
          <w:iCs/>
        </w:rPr>
        <w:t>Ajouter les nouveaux paragraphes 12.10 à 12.12</w:t>
      </w:r>
      <w:r w:rsidRPr="00622B29">
        <w:t>, libellés comme suit</w:t>
      </w:r>
      <w:r w:rsidR="001701D4">
        <w:t> </w:t>
      </w:r>
      <w:r w:rsidRPr="00622B29">
        <w:t>:</w:t>
      </w:r>
    </w:p>
    <w:p w14:paraId="7029ADB4" w14:textId="77777777" w:rsidR="00622B29" w:rsidRPr="00622B29" w:rsidRDefault="001701D4" w:rsidP="001701D4">
      <w:pPr>
        <w:pStyle w:val="SingleTxtG"/>
        <w:ind w:left="2268" w:hanging="1134"/>
      </w:pPr>
      <w:r>
        <w:t>« </w:t>
      </w:r>
      <w:r w:rsidR="00622B29" w:rsidRPr="004E7F3F">
        <w:rPr>
          <w:b/>
        </w:rPr>
        <w:t>12.10</w:t>
      </w:r>
      <w:r w:rsidR="00622B29" w:rsidRPr="004E7F3F">
        <w:rPr>
          <w:b/>
        </w:rPr>
        <w:tab/>
        <w:t>Pendant un délai de 3</w:t>
      </w:r>
      <w:r w:rsidR="007137FC">
        <w:rPr>
          <w:b/>
        </w:rPr>
        <w:t> </w:t>
      </w:r>
      <w:r w:rsidR="00622B29" w:rsidRPr="004E7F3F">
        <w:rPr>
          <w:b/>
        </w:rPr>
        <w:t>mois après la date d’entrée en vigueur du complément XX à la série 02 d’amendements au présent Règlement, les Parties contractantes appliquant ce Règlement peuvent continuer d’accorder des homologations de type conformément à la série</w:t>
      </w:r>
      <w:r w:rsidR="00494F58">
        <w:rPr>
          <w:b/>
        </w:rPr>
        <w:t> </w:t>
      </w:r>
      <w:r w:rsidR="00622B29" w:rsidRPr="004E7F3F">
        <w:rPr>
          <w:b/>
        </w:rPr>
        <w:t>02 d’amendements à ce même Règlement sans tenir compte des dispositions du complément XX.</w:t>
      </w:r>
      <w:bookmarkStart w:id="3" w:name="_Hlk40265142"/>
      <w:bookmarkEnd w:id="3"/>
    </w:p>
    <w:p w14:paraId="09F9C02A" w14:textId="77777777" w:rsidR="00622B29" w:rsidRPr="004E7F3F" w:rsidRDefault="00622B29" w:rsidP="001701D4">
      <w:pPr>
        <w:pStyle w:val="SingleTxtG"/>
        <w:ind w:left="2268" w:hanging="1134"/>
        <w:rPr>
          <w:b/>
        </w:rPr>
      </w:pPr>
      <w:r w:rsidRPr="00622B29">
        <w:t>12.11</w:t>
      </w:r>
      <w:r w:rsidRPr="00622B29">
        <w:tab/>
      </w:r>
      <w:r w:rsidRPr="004E7F3F">
        <w:rPr>
          <w:b/>
        </w:rPr>
        <w:t>Jusqu’au 1</w:t>
      </w:r>
      <w:r w:rsidRPr="004E7F3F">
        <w:rPr>
          <w:b/>
          <w:vertAlign w:val="superscript"/>
        </w:rPr>
        <w:t>er</w:t>
      </w:r>
      <w:r w:rsidR="007137FC">
        <w:rPr>
          <w:b/>
        </w:rPr>
        <w:t> </w:t>
      </w:r>
      <w:r w:rsidRPr="004E7F3F">
        <w:rPr>
          <w:b/>
        </w:rPr>
        <w:t>septembre 2024, les Parties contractantes appliquant le présent Règlement pourront continuer à accorder des homologations de type en vertu de la série 02 d’amendements audit Règlement, en se fondant sur l’essai de performances sur la neige décrit à l’annexe</w:t>
      </w:r>
      <w:r w:rsidR="00494F58">
        <w:rPr>
          <w:b/>
        </w:rPr>
        <w:t> </w:t>
      </w:r>
      <w:r w:rsidRPr="004E7F3F">
        <w:rPr>
          <w:b/>
        </w:rPr>
        <w:t xml:space="preserve">7 dudit Règlement, le SRTT14 étant utilisé comme pneumatique de </w:t>
      </w:r>
      <w:proofErr w:type="spellStart"/>
      <w:r w:rsidRPr="004E7F3F">
        <w:rPr>
          <w:b/>
        </w:rPr>
        <w:t>référence</w:t>
      </w:r>
      <w:r w:rsidRPr="004E7F3F">
        <w:rPr>
          <w:b/>
          <w:vertAlign w:val="superscript"/>
        </w:rPr>
        <w:t>a</w:t>
      </w:r>
      <w:proofErr w:type="spellEnd"/>
      <w:r w:rsidRPr="004E7F3F">
        <w:rPr>
          <w:b/>
        </w:rPr>
        <w:t xml:space="preserve">. </w:t>
      </w:r>
    </w:p>
    <w:p w14:paraId="4D4DC2C7" w14:textId="77777777" w:rsidR="00622B29" w:rsidRPr="00622B29" w:rsidRDefault="00622B29" w:rsidP="001701D4">
      <w:pPr>
        <w:pStyle w:val="SingleTxtG"/>
        <w:ind w:left="2268" w:hanging="1134"/>
      </w:pPr>
      <w:r w:rsidRPr="00622B29">
        <w:t>12.12</w:t>
      </w:r>
      <w:r w:rsidRPr="00622B29">
        <w:tab/>
      </w:r>
      <w:r w:rsidRPr="004E7F3F">
        <w:rPr>
          <w:b/>
        </w:rPr>
        <w:t>Jusqu’au 1</w:t>
      </w:r>
      <w:r w:rsidRPr="004E7F3F">
        <w:rPr>
          <w:b/>
          <w:vertAlign w:val="superscript"/>
        </w:rPr>
        <w:t>er</w:t>
      </w:r>
      <w:r w:rsidR="00494F58">
        <w:rPr>
          <w:b/>
          <w:vertAlign w:val="superscript"/>
        </w:rPr>
        <w:t> </w:t>
      </w:r>
      <w:r w:rsidRPr="004E7F3F">
        <w:rPr>
          <w:b/>
        </w:rPr>
        <w:t>septembre 2024, les Parties contractantes appliquant le présent Règlement pourront continuer à accorder des homologations de type en vertu de la série 02 d’amendements audit Règlement, en se fondant sur les procédures d’essai pour mesurer l’adhérence sur sol mouillé décrites à l’annexe</w:t>
      </w:r>
      <w:r w:rsidR="00494F58">
        <w:rPr>
          <w:b/>
        </w:rPr>
        <w:t> </w:t>
      </w:r>
      <w:r w:rsidRPr="004E7F3F">
        <w:rPr>
          <w:b/>
        </w:rPr>
        <w:t>5 dudit Règlement, sans tenir compte des dispositions du complément XX.</w:t>
      </w:r>
      <w:r w:rsidR="001701D4">
        <w:t> »</w:t>
      </w:r>
      <w:r w:rsidRPr="00622B29">
        <w:t>.</w:t>
      </w:r>
    </w:p>
    <w:p w14:paraId="3B363CFC" w14:textId="77777777" w:rsidR="00622B29" w:rsidRPr="00622B29" w:rsidRDefault="00622B29" w:rsidP="00622B29">
      <w:pPr>
        <w:pStyle w:val="SingleTxtG"/>
      </w:pPr>
      <w:r w:rsidRPr="00622B29">
        <w:rPr>
          <w:i/>
          <w:iCs/>
        </w:rPr>
        <w:t>Ajouter la nouvelle note de bas de page a,</w:t>
      </w:r>
      <w:r w:rsidRPr="00622B29">
        <w:t xml:space="preserve"> libellée comme suit</w:t>
      </w:r>
      <w:r w:rsidR="00494F58">
        <w:t> </w:t>
      </w:r>
      <w:r w:rsidRPr="00622B29">
        <w:t>:</w:t>
      </w:r>
    </w:p>
    <w:p w14:paraId="2ACE7095" w14:textId="77777777" w:rsidR="00622B29" w:rsidRPr="00622B29" w:rsidRDefault="00494F58" w:rsidP="00494F58">
      <w:pPr>
        <w:pStyle w:val="SingleTxtG"/>
        <w:ind w:left="1701" w:hanging="567"/>
      </w:pPr>
      <w:r>
        <w:t>« </w:t>
      </w:r>
      <w:r w:rsidR="00622B29" w:rsidRPr="00622B29">
        <w:t xml:space="preserve"> </w:t>
      </w:r>
      <w:r w:rsidR="00622B29" w:rsidRPr="00622B29">
        <w:rPr>
          <w:vertAlign w:val="superscript"/>
        </w:rPr>
        <w:t>a</w:t>
      </w:r>
      <w:r w:rsidR="00622B29" w:rsidRPr="00622B29">
        <w:tab/>
      </w:r>
      <w:r w:rsidR="00622B29" w:rsidRPr="004E7F3F">
        <w:rPr>
          <w:b/>
        </w:rPr>
        <w:t>Le SRTT14 sera disponible chez le fournisseur jusqu’à fin du mois d’octobre 2021.</w:t>
      </w:r>
      <w:r>
        <w:t> »</w:t>
      </w:r>
      <w:r w:rsidR="00622B29" w:rsidRPr="00622B29">
        <w:t>.</w:t>
      </w:r>
    </w:p>
    <w:p w14:paraId="4CC1C039" w14:textId="77777777" w:rsidR="00622B29" w:rsidRPr="00622B29" w:rsidRDefault="00622B29" w:rsidP="00622B29">
      <w:pPr>
        <w:pStyle w:val="SingleTxtG"/>
        <w:rPr>
          <w:i/>
          <w:iCs/>
        </w:rPr>
      </w:pPr>
      <w:r w:rsidRPr="00622B29">
        <w:rPr>
          <w:i/>
          <w:iCs/>
        </w:rPr>
        <w:t>Annexe 1</w:t>
      </w:r>
      <w:r w:rsidRPr="00622B29">
        <w:t xml:space="preserve">, </w:t>
      </w:r>
    </w:p>
    <w:p w14:paraId="3FF8181C" w14:textId="77777777" w:rsidR="00622B29" w:rsidRPr="00622B29" w:rsidRDefault="00622B29" w:rsidP="00622B29">
      <w:pPr>
        <w:pStyle w:val="SingleTxtG"/>
        <w:rPr>
          <w:i/>
          <w:iCs/>
        </w:rPr>
      </w:pPr>
      <w:r w:rsidRPr="00622B29">
        <w:rPr>
          <w:i/>
          <w:iCs/>
        </w:rPr>
        <w:t>Communication,</w:t>
      </w:r>
      <w:r w:rsidRPr="00622B29">
        <w:t xml:space="preserve"> </w:t>
      </w:r>
    </w:p>
    <w:p w14:paraId="2BC1B600" w14:textId="77777777" w:rsidR="00622B29" w:rsidRPr="00622B29" w:rsidRDefault="00622B29" w:rsidP="00622B29">
      <w:pPr>
        <w:pStyle w:val="SingleTxtG"/>
      </w:pPr>
      <w:r w:rsidRPr="00FC6453">
        <w:rPr>
          <w:i/>
          <w:iCs/>
        </w:rPr>
        <w:t>Point 8.4</w:t>
      </w:r>
      <w:r w:rsidRPr="00FC6453">
        <w:t>, lire</w:t>
      </w:r>
      <w:r w:rsidR="00494F58">
        <w:t> </w:t>
      </w:r>
      <w:r w:rsidRPr="00622B29">
        <w:t xml:space="preserve">: </w:t>
      </w:r>
    </w:p>
    <w:p w14:paraId="416FF0F2" w14:textId="77777777" w:rsidR="00622B29" w:rsidRPr="00622B29" w:rsidRDefault="008E6AC3" w:rsidP="008E6AC3">
      <w:pPr>
        <w:pStyle w:val="SingleTxtG"/>
        <w:ind w:left="2268" w:hanging="1134"/>
      </w:pPr>
      <w:r>
        <w:t>« </w:t>
      </w:r>
      <w:r w:rsidR="00622B29" w:rsidRPr="00622B29">
        <w:t>8.4</w:t>
      </w:r>
      <w:r w:rsidR="00622B29" w:rsidRPr="00622B29">
        <w:tab/>
        <w:t>Niveau d’adhérence sur la neige de la taille de pneumatique représentative, voir paragraphe 2.7 du Règlement n</w:t>
      </w:r>
      <w:r w:rsidR="00622B29" w:rsidRPr="00622B29">
        <w:rPr>
          <w:vertAlign w:val="superscript"/>
        </w:rPr>
        <w:t>o</w:t>
      </w:r>
      <w:r>
        <w:t> </w:t>
      </w:r>
      <w:r w:rsidR="00622B29" w:rsidRPr="00622B29">
        <w:t xml:space="preserve">117, selon le point 7 du procès-verbal d’essai de </w:t>
      </w:r>
      <w:r w:rsidR="00622B29" w:rsidRPr="004E7F3F">
        <w:rPr>
          <w:strike/>
        </w:rPr>
        <w:t>l’appendice</w:t>
      </w:r>
      <w:r w:rsidR="00622B29" w:rsidRPr="004E7F3F">
        <w:rPr>
          <w:strike/>
          <w:vertAlign w:val="superscript"/>
        </w:rPr>
        <w:t>3</w:t>
      </w:r>
      <w:r w:rsidR="00622B29" w:rsidRPr="004E7F3F">
        <w:rPr>
          <w:b/>
        </w:rPr>
        <w:t>l’appendice</w:t>
      </w:r>
      <w:r w:rsidR="00622B29" w:rsidRPr="004E7F3F">
        <w:rPr>
          <w:b/>
          <w:vertAlign w:val="superscript"/>
        </w:rPr>
        <w:t>5</w:t>
      </w:r>
      <w:r w:rsidR="00622B29" w:rsidRPr="00622B29">
        <w:rPr>
          <w:vertAlign w:val="superscript"/>
        </w:rPr>
        <w:t xml:space="preserve"> </w:t>
      </w:r>
      <w:r w:rsidR="00622B29" w:rsidRPr="00622B29">
        <w:t>de l’annexe</w:t>
      </w:r>
      <w:r>
        <w:t> </w:t>
      </w:r>
      <w:r w:rsidR="00622B29" w:rsidRPr="00622B29">
        <w:t>7</w:t>
      </w:r>
      <w:r>
        <w:t> </w:t>
      </w:r>
      <w:r w:rsidR="00622B29" w:rsidRPr="00622B29">
        <w:t xml:space="preserve">: ………………. (Indice </w:t>
      </w:r>
      <w:r w:rsidR="00622B29" w:rsidRPr="00622B29">
        <w:lastRenderedPageBreak/>
        <w:t>d’adhérence sur neige) déterminé par la méthode d’essai de freinage sur neige</w:t>
      </w:r>
      <w:r w:rsidR="00622B29" w:rsidRPr="00622B29">
        <w:rPr>
          <w:vertAlign w:val="superscript"/>
        </w:rPr>
        <w:t>2</w:t>
      </w:r>
      <w:r w:rsidR="00622B29" w:rsidRPr="00622B29">
        <w:t>, par la méthode d’essai de traction sur neige</w:t>
      </w:r>
      <w:r w:rsidR="00622B29" w:rsidRPr="00622B29">
        <w:rPr>
          <w:vertAlign w:val="superscript"/>
        </w:rPr>
        <w:t>2</w:t>
      </w:r>
      <w:r w:rsidR="00622B29" w:rsidRPr="00622B29">
        <w:t xml:space="preserve"> ou par la méthode d’essai d’accélération</w:t>
      </w:r>
      <w:r w:rsidR="00622B29" w:rsidRPr="00622B29">
        <w:rPr>
          <w:vertAlign w:val="superscript"/>
        </w:rPr>
        <w:t>2</w:t>
      </w:r>
      <w:r w:rsidR="00622B29" w:rsidRPr="00622B29">
        <w:t>.</w:t>
      </w:r>
    </w:p>
    <w:p w14:paraId="7E7B50AC" w14:textId="77777777" w:rsidR="00622B29" w:rsidRPr="00622B29" w:rsidRDefault="00622B29" w:rsidP="00622B29">
      <w:pPr>
        <w:pStyle w:val="SingleTxtG"/>
      </w:pPr>
      <w:r w:rsidRPr="00622B29">
        <w:rPr>
          <w:i/>
          <w:iCs/>
        </w:rPr>
        <w:t>L’ancienne note de bas de page 3</w:t>
      </w:r>
      <w:r w:rsidRPr="00622B29">
        <w:t xml:space="preserve"> devient la note de bas de page 5</w:t>
      </w:r>
      <w:r w:rsidR="008E6AC3">
        <w:t> </w:t>
      </w:r>
      <w:r w:rsidRPr="00622B29">
        <w:t>:</w:t>
      </w:r>
    </w:p>
    <w:p w14:paraId="5BD2D1BD" w14:textId="77777777" w:rsidR="00622B29" w:rsidRPr="00622B29" w:rsidRDefault="008E6AC3" w:rsidP="00622B29">
      <w:pPr>
        <w:pStyle w:val="SingleTxtG"/>
      </w:pPr>
      <w:r>
        <w:t>« </w:t>
      </w:r>
      <w:r w:rsidR="00622B29" w:rsidRPr="00E905CF">
        <w:rPr>
          <w:strike/>
          <w:vertAlign w:val="superscript"/>
        </w:rPr>
        <w:t>3</w:t>
      </w:r>
      <w:r w:rsidR="00622B29" w:rsidRPr="00E905CF">
        <w:rPr>
          <w:b/>
          <w:vertAlign w:val="superscript"/>
        </w:rPr>
        <w:t>5</w:t>
      </w:r>
      <w:r w:rsidR="00622B29" w:rsidRPr="00622B29">
        <w:t xml:space="preserve"> </w:t>
      </w:r>
      <w:r w:rsidR="00622B29" w:rsidRPr="00622B29">
        <w:tab/>
        <w:t>Appendice 2 pour les pneumatiques des classes C1 et C2.</w:t>
      </w:r>
    </w:p>
    <w:p w14:paraId="41C53838" w14:textId="77777777" w:rsidR="00622B29" w:rsidRPr="00622B29" w:rsidRDefault="008E6AC3" w:rsidP="008E6AC3">
      <w:pPr>
        <w:pStyle w:val="SingleTxtG"/>
      </w:pPr>
      <w:r>
        <w:tab/>
      </w:r>
      <w:r w:rsidR="00622B29" w:rsidRPr="00622B29">
        <w:t>Appendice 3 pour les pneumatiques de la classe C3.</w:t>
      </w:r>
      <w:r>
        <w:t> »</w:t>
      </w:r>
      <w:r w:rsidR="00622B29" w:rsidRPr="00622B29">
        <w:t>.</w:t>
      </w:r>
    </w:p>
    <w:p w14:paraId="460AA026" w14:textId="77777777" w:rsidR="00622B29" w:rsidRPr="00622B29" w:rsidRDefault="00622B29" w:rsidP="00622B29">
      <w:pPr>
        <w:pStyle w:val="SingleTxtG"/>
      </w:pPr>
      <w:r w:rsidRPr="00622B29">
        <w:rPr>
          <w:i/>
          <w:iCs/>
        </w:rPr>
        <w:t>Point 16.1</w:t>
      </w:r>
      <w:r w:rsidRPr="00622B29">
        <w:t>, lire</w:t>
      </w:r>
      <w:r w:rsidR="008E6AC3">
        <w:t> </w:t>
      </w:r>
      <w:r w:rsidRPr="00622B29">
        <w:t xml:space="preserve">: </w:t>
      </w:r>
    </w:p>
    <w:p w14:paraId="20AEA98C" w14:textId="77777777" w:rsidR="00622B29" w:rsidRPr="00622B29" w:rsidRDefault="00F56714" w:rsidP="00F56714">
      <w:pPr>
        <w:pStyle w:val="SingleTxtG"/>
        <w:ind w:left="2268" w:hanging="1134"/>
      </w:pPr>
      <w:r>
        <w:t>« </w:t>
      </w:r>
      <w:r w:rsidR="00622B29" w:rsidRPr="00622B29">
        <w:t>16.1</w:t>
      </w:r>
      <w:r w:rsidR="00622B29" w:rsidRPr="00622B29">
        <w:tab/>
        <w:t xml:space="preserve">Une liste des pièces qui constituent le dossier d’homologation déposé au service administratif ayant accordé l’homologation, qui peut être obtenu sur </w:t>
      </w:r>
      <w:r w:rsidR="00622B29" w:rsidRPr="00C41EAC">
        <w:rPr>
          <w:strike/>
        </w:rPr>
        <w:t>demande</w:t>
      </w:r>
      <w:r w:rsidR="00622B29" w:rsidRPr="00C41EAC">
        <w:rPr>
          <w:strike/>
          <w:vertAlign w:val="superscript"/>
        </w:rPr>
        <w:t>4</w:t>
      </w:r>
      <w:r w:rsidR="00622B29" w:rsidRPr="00622B29">
        <w:t xml:space="preserve"> </w:t>
      </w:r>
      <w:r w:rsidR="00622B29" w:rsidRPr="00C41EAC">
        <w:rPr>
          <w:b/>
        </w:rPr>
        <w:t>demande</w:t>
      </w:r>
      <w:r w:rsidR="00622B29" w:rsidRPr="00C41EAC">
        <w:rPr>
          <w:b/>
          <w:vertAlign w:val="superscript"/>
        </w:rPr>
        <w:t>6</w:t>
      </w:r>
      <w:r w:rsidR="00622B29" w:rsidRPr="00622B29">
        <w:t>.</w:t>
      </w:r>
      <w:r>
        <w:t> »</w:t>
      </w:r>
      <w:r w:rsidR="00622B29" w:rsidRPr="00622B29">
        <w:t>.</w:t>
      </w:r>
    </w:p>
    <w:p w14:paraId="67AB2E3B" w14:textId="77777777" w:rsidR="00622B29" w:rsidRPr="00622B29" w:rsidRDefault="00622B29" w:rsidP="00622B29">
      <w:pPr>
        <w:pStyle w:val="SingleTxtG"/>
      </w:pPr>
      <w:r w:rsidRPr="00622B29">
        <w:rPr>
          <w:i/>
          <w:iCs/>
        </w:rPr>
        <w:t xml:space="preserve">La note de bas de page 4 </w:t>
      </w:r>
      <w:r w:rsidRPr="00622B29">
        <w:t>devient la note de bas de page 6 et se lit comme suit</w:t>
      </w:r>
      <w:r w:rsidR="00F56714">
        <w:t> </w:t>
      </w:r>
      <w:r w:rsidRPr="00622B29">
        <w:t>:</w:t>
      </w:r>
    </w:p>
    <w:p w14:paraId="2D198D7D" w14:textId="77777777" w:rsidR="00622B29" w:rsidRPr="00622B29" w:rsidRDefault="00DA5D0D" w:rsidP="00622B29">
      <w:pPr>
        <w:pStyle w:val="SingleTxtG"/>
      </w:pPr>
      <w:r>
        <w:t>« </w:t>
      </w:r>
      <w:r w:rsidR="00622B29" w:rsidRPr="00C41EAC">
        <w:rPr>
          <w:strike/>
          <w:vertAlign w:val="superscript"/>
        </w:rPr>
        <w:t>4</w:t>
      </w:r>
      <w:r w:rsidR="00622B29" w:rsidRPr="00C41EAC">
        <w:rPr>
          <w:b/>
          <w:vertAlign w:val="superscript"/>
        </w:rPr>
        <w:t>6</w:t>
      </w:r>
      <w:r w:rsidR="00622B29" w:rsidRPr="00622B29">
        <w:t xml:space="preserve"> </w:t>
      </w:r>
      <w:r w:rsidR="00622B29" w:rsidRPr="00622B29">
        <w:tab/>
        <w:t>Dans le cas des «</w:t>
      </w:r>
      <w:r>
        <w:t> </w:t>
      </w:r>
      <w:r w:rsidR="00622B29" w:rsidRPr="00622B29">
        <w:t>pneumatiques pour conditions de neige extrêmes</w:t>
      </w:r>
      <w:r>
        <w:t> </w:t>
      </w:r>
      <w:r w:rsidR="00622B29" w:rsidRPr="00622B29">
        <w:t xml:space="preserve">», un procès-verbal d’essai selon l’appendice 2 </w:t>
      </w:r>
      <w:r w:rsidR="00622B29" w:rsidRPr="00C41EAC">
        <w:rPr>
          <w:b/>
        </w:rPr>
        <w:t>ou 3</w:t>
      </w:r>
      <w:r w:rsidR="00622B29" w:rsidRPr="00622B29">
        <w:t xml:space="preserve"> de l’annexe 7</w:t>
      </w:r>
      <w:r w:rsidR="00622B29" w:rsidRPr="00C41EAC">
        <w:rPr>
          <w:b/>
        </w:rPr>
        <w:t>, selon qu’il convient,</w:t>
      </w:r>
      <w:r w:rsidR="00622B29" w:rsidRPr="00622B29">
        <w:t xml:space="preserve"> doit être soumis.</w:t>
      </w:r>
      <w:r>
        <w:t> »</w:t>
      </w:r>
      <w:r w:rsidR="00622B29" w:rsidRPr="00622B29">
        <w:t>.</w:t>
      </w:r>
    </w:p>
    <w:p w14:paraId="4855B825" w14:textId="77777777" w:rsidR="00622B29" w:rsidRPr="00622B29" w:rsidRDefault="00622B29" w:rsidP="00622B29">
      <w:pPr>
        <w:pStyle w:val="SingleTxtG"/>
      </w:pPr>
      <w:r w:rsidRPr="00622B29">
        <w:rPr>
          <w:i/>
          <w:iCs/>
        </w:rPr>
        <w:t>Annexe 2, appendice 3</w:t>
      </w:r>
      <w:r w:rsidRPr="00622B29">
        <w:t>, lire</w:t>
      </w:r>
      <w:r w:rsidR="00DA5D0D">
        <w:t> </w:t>
      </w:r>
      <w:r w:rsidRPr="00622B29">
        <w:t>:</w:t>
      </w:r>
    </w:p>
    <w:p w14:paraId="1B864513" w14:textId="77777777" w:rsidR="00622B29" w:rsidRPr="00622B29" w:rsidRDefault="00FE7EC0" w:rsidP="00FE7EC0">
      <w:pPr>
        <w:pStyle w:val="HChG"/>
        <w:ind w:firstLine="0"/>
      </w:pPr>
      <w:bookmarkStart w:id="4" w:name="_Toc440609117"/>
      <w:r w:rsidRPr="00FE7EC0">
        <w:rPr>
          <w:b w:val="0"/>
        </w:rPr>
        <w:t>«</w:t>
      </w:r>
      <w:r w:rsidRPr="00FE7EC0">
        <w:t> </w:t>
      </w:r>
      <w:r w:rsidR="00622B29" w:rsidRPr="00FE7EC0">
        <w:rPr>
          <w:strike/>
        </w:rPr>
        <w:t>Extensions permettant de combiner</w:t>
      </w:r>
      <w:r w:rsidR="00622B29" w:rsidRPr="00622B29">
        <w:t xml:space="preserve"> </w:t>
      </w:r>
      <w:r w:rsidR="00622B29" w:rsidRPr="00FD4B4C">
        <w:t>Combinaisons d’inscriptions relatives à</w:t>
      </w:r>
      <w:r w:rsidR="00622B29" w:rsidRPr="00C41EAC">
        <w:t xml:space="preserve"> des homologations délivrées conformément aux Règlements n</w:t>
      </w:r>
      <w:r w:rsidR="00622B29" w:rsidRPr="00C41EAC">
        <w:rPr>
          <w:vertAlign w:val="superscript"/>
        </w:rPr>
        <w:t>os</w:t>
      </w:r>
      <w:r>
        <w:t> </w:t>
      </w:r>
      <w:r w:rsidR="00622B29" w:rsidRPr="00C41EAC">
        <w:t>117, 30 ou 54</w:t>
      </w:r>
      <w:r w:rsidR="00622B29" w:rsidRPr="001866CF">
        <w:rPr>
          <w:strike/>
          <w:vertAlign w:val="superscript"/>
        </w:rPr>
        <w:t>1</w:t>
      </w:r>
      <w:bookmarkEnd w:id="4"/>
    </w:p>
    <w:p w14:paraId="0914B762" w14:textId="77777777" w:rsidR="00622B29" w:rsidRPr="00622B29" w:rsidRDefault="00622B29" w:rsidP="00622B29">
      <w:pPr>
        <w:pStyle w:val="SingleTxtG"/>
      </w:pPr>
      <w:bookmarkStart w:id="5" w:name="_Toc367175769"/>
      <w:bookmarkStart w:id="6" w:name="_Toc367177752"/>
      <w:bookmarkStart w:id="7" w:name="_Toc432594566"/>
      <w:bookmarkStart w:id="8" w:name="_Toc440609118"/>
      <w:r w:rsidRPr="00622B29">
        <w:t>Exemple 1</w:t>
      </w:r>
      <w:bookmarkEnd w:id="5"/>
      <w:bookmarkEnd w:id="6"/>
      <w:bookmarkEnd w:id="7"/>
      <w:bookmarkEnd w:id="8"/>
    </w:p>
    <w:p w14:paraId="7ACBD708" w14:textId="77777777" w:rsidR="00622B29" w:rsidRPr="00622B29" w:rsidRDefault="00622B29" w:rsidP="00622B29">
      <w:pPr>
        <w:pStyle w:val="SingleTxtG"/>
      </w:pPr>
      <w:r w:rsidRPr="00622B29">
        <w:t>…</w:t>
      </w:r>
    </w:p>
    <w:p w14:paraId="79054317" w14:textId="77777777" w:rsidR="00622B29" w:rsidRPr="00622B29" w:rsidRDefault="00622B29" w:rsidP="00622B29">
      <w:pPr>
        <w:pStyle w:val="SingleTxtG"/>
      </w:pPr>
      <w:r w:rsidRPr="00622B29">
        <w:t xml:space="preserve">La marque d’homologation ci-dessus indique que le pneumatique en question a été homologué </w:t>
      </w:r>
      <w:r w:rsidRPr="00C41EAC">
        <w:rPr>
          <w:strike/>
        </w:rPr>
        <w:t>à l’origine</w:t>
      </w:r>
      <w:r w:rsidRPr="00622B29">
        <w:t xml:space="preserve"> aux Pays-Bas (E 4) conformément au Règlement n</w:t>
      </w:r>
      <w:r w:rsidRPr="00622B29">
        <w:rPr>
          <w:vertAlign w:val="superscript"/>
        </w:rPr>
        <w:t>o</w:t>
      </w:r>
      <w:r w:rsidR="00FE7EC0">
        <w:t> </w:t>
      </w:r>
      <w:r w:rsidRPr="00622B29">
        <w:t>30 (série</w:t>
      </w:r>
      <w:r w:rsidR="00FE7EC0">
        <w:t> </w:t>
      </w:r>
      <w:r w:rsidRPr="00622B29">
        <w:t>02 d’amendements</w:t>
      </w:r>
      <w:r w:rsidRPr="00C41EAC">
        <w:rPr>
          <w:b/>
        </w:rPr>
        <w:t xml:space="preserve">, comme l’indique le préfixe à deux chiffres du numéro d’homologation, </w:t>
      </w:r>
      <w:r w:rsidR="00FE7EC0">
        <w:rPr>
          <w:b/>
        </w:rPr>
        <w:t>« </w:t>
      </w:r>
      <w:r w:rsidRPr="00C41EAC">
        <w:rPr>
          <w:b/>
        </w:rPr>
        <w:t>02</w:t>
      </w:r>
      <w:r w:rsidR="00FE7EC0">
        <w:rPr>
          <w:b/>
        </w:rPr>
        <w:t> »</w:t>
      </w:r>
      <w:r w:rsidRPr="00622B29">
        <w:t xml:space="preserve">) sous le numéro d’homologation 0236378. La mention </w:t>
      </w:r>
      <w:r w:rsidR="00FE7EC0">
        <w:t>« </w:t>
      </w:r>
      <w:r w:rsidRPr="00622B29">
        <w:t>+ 02S1</w:t>
      </w:r>
      <w:r w:rsidR="00FE7EC0">
        <w:t> »</w:t>
      </w:r>
      <w:r w:rsidRPr="00622B29">
        <w:t xml:space="preserve"> </w:t>
      </w:r>
      <w:r w:rsidRPr="00C41EAC">
        <w:rPr>
          <w:strike/>
        </w:rPr>
        <w:t>(bruit de roulement au niveau 1)</w:t>
      </w:r>
      <w:r w:rsidRPr="00622B29">
        <w:t xml:space="preserve"> indique </w:t>
      </w:r>
      <w:r w:rsidRPr="00C41EAC">
        <w:rPr>
          <w:b/>
        </w:rPr>
        <w:t>en outre que le pneumatique a également été homologué</w:t>
      </w:r>
      <w:r w:rsidRPr="00622B29">
        <w:t xml:space="preserve"> </w:t>
      </w:r>
      <w:r w:rsidRPr="00C41EAC">
        <w:rPr>
          <w:strike/>
        </w:rPr>
        <w:t>qu’il y a eu extension de l’homologation pour inclure l’homologation</w:t>
      </w:r>
      <w:r w:rsidRPr="00622B29">
        <w:t xml:space="preserve"> conformément au Règlement n</w:t>
      </w:r>
      <w:r w:rsidRPr="00622B29">
        <w:rPr>
          <w:vertAlign w:val="superscript"/>
        </w:rPr>
        <w:t>o</w:t>
      </w:r>
      <w:r w:rsidR="00C41EAC">
        <w:t> </w:t>
      </w:r>
      <w:r w:rsidRPr="00622B29">
        <w:t>117 (série</w:t>
      </w:r>
      <w:r w:rsidR="00FE7EC0">
        <w:t> </w:t>
      </w:r>
      <w:r w:rsidRPr="00622B29">
        <w:t xml:space="preserve">02 d’amendements). </w:t>
      </w:r>
      <w:r w:rsidRPr="00C41EAC">
        <w:rPr>
          <w:strike/>
        </w:rPr>
        <w:t>Les deux premiers chiffres du numéro d’homologation (02) signifient que l’homologation a été délivrée pour le Règlement n</w:t>
      </w:r>
      <w:r w:rsidRPr="00C41EAC">
        <w:rPr>
          <w:strike/>
          <w:vertAlign w:val="superscript"/>
        </w:rPr>
        <w:t>o</w:t>
      </w:r>
      <w:r w:rsidRPr="00C41EAC">
        <w:rPr>
          <w:strike/>
        </w:rPr>
        <w:t xml:space="preserve"> 30 conformément à la série 02 d’amendements. Le symbole de l’addition (+) signifie que l’homologation a d’abord été délivrée pour le Règlement no 30, puis étendue pour inclure l’homologation pour le Règlement no 117 (série 02 d’amendements)</w:t>
      </w:r>
      <w:r w:rsidRPr="00C41EAC">
        <w:rPr>
          <w:b/>
        </w:rPr>
        <w:t xml:space="preserve">, pour le </w:t>
      </w:r>
      <w:r w:rsidRPr="00622B29">
        <w:t>bruit de roulement au niveau 1).</w:t>
      </w:r>
    </w:p>
    <w:p w14:paraId="59EBCCDA" w14:textId="77777777" w:rsidR="00622B29" w:rsidRPr="00622B29" w:rsidRDefault="00622B29" w:rsidP="00622B29">
      <w:pPr>
        <w:pStyle w:val="SingleTxtG"/>
      </w:pPr>
      <w:bookmarkStart w:id="9" w:name="_Toc440609119"/>
      <w:r w:rsidRPr="00622B29">
        <w:t>Exemple 2</w:t>
      </w:r>
      <w:bookmarkEnd w:id="9"/>
    </w:p>
    <w:p w14:paraId="461EBF01" w14:textId="77777777" w:rsidR="00622B29" w:rsidRPr="00622B29" w:rsidRDefault="00622B29" w:rsidP="00622B29">
      <w:pPr>
        <w:pStyle w:val="SingleTxtG"/>
      </w:pPr>
      <w:r w:rsidRPr="00622B29">
        <w:t>[…]</w:t>
      </w:r>
    </w:p>
    <w:p w14:paraId="24927437" w14:textId="77777777" w:rsidR="00622B29" w:rsidRPr="00622B29" w:rsidRDefault="00622B29" w:rsidP="00622B29">
      <w:pPr>
        <w:pStyle w:val="SingleTxtG"/>
      </w:pPr>
      <w:r w:rsidRPr="00622B29">
        <w:t xml:space="preserve">La marque d’homologation ci-dessus indique que le pneumatique en question a été homologué </w:t>
      </w:r>
      <w:r w:rsidRPr="00414C31">
        <w:rPr>
          <w:strike/>
        </w:rPr>
        <w:t>à l’origine</w:t>
      </w:r>
      <w:r w:rsidRPr="00622B29">
        <w:t xml:space="preserve"> aux Pays-Bas (E 4) conformément au Règlement n</w:t>
      </w:r>
      <w:r w:rsidRPr="00622B29">
        <w:rPr>
          <w:vertAlign w:val="superscript"/>
        </w:rPr>
        <w:t>o</w:t>
      </w:r>
      <w:r w:rsidR="00FE7EC0">
        <w:t> </w:t>
      </w:r>
      <w:r w:rsidRPr="00622B29">
        <w:t>30 (série</w:t>
      </w:r>
      <w:r w:rsidR="00FE7EC0">
        <w:t> 0</w:t>
      </w:r>
      <w:r w:rsidRPr="00622B29">
        <w:t>2 d’amendements</w:t>
      </w:r>
      <w:r w:rsidRPr="00414C31">
        <w:rPr>
          <w:b/>
        </w:rPr>
        <w:t xml:space="preserve">, comme l’indique le préfixe à deux chiffres du numéro d’homologation, </w:t>
      </w:r>
      <w:r w:rsidR="00FE7EC0">
        <w:rPr>
          <w:b/>
        </w:rPr>
        <w:t>« </w:t>
      </w:r>
      <w:r w:rsidRPr="00414C31">
        <w:rPr>
          <w:b/>
        </w:rPr>
        <w:t>02</w:t>
      </w:r>
      <w:r w:rsidR="00FE7EC0">
        <w:rPr>
          <w:b/>
        </w:rPr>
        <w:t> »</w:t>
      </w:r>
      <w:r w:rsidRPr="00622B29">
        <w:t xml:space="preserve">) sous le numéro d’homologation 0236378. </w:t>
      </w:r>
      <w:r w:rsidRPr="00414C31">
        <w:rPr>
          <w:strike/>
        </w:rPr>
        <w:t xml:space="preserve">Cela indique que l’approbation est pour S1 (bruit de roulement au stade 1) W (adhérence sur sol mouillé) et R2 (résistance au roulement au niveau 2). Les chiffres 02 précédant le suffixe indiquent qu’il y a eu extension de l’homologation </w:t>
      </w:r>
      <w:r w:rsidRPr="00414C31">
        <w:rPr>
          <w:b/>
        </w:rPr>
        <w:t xml:space="preserve">La mention </w:t>
      </w:r>
      <w:r w:rsidR="00FE7EC0">
        <w:rPr>
          <w:b/>
        </w:rPr>
        <w:t>« </w:t>
      </w:r>
      <w:r w:rsidRPr="00414C31">
        <w:rPr>
          <w:b/>
        </w:rPr>
        <w:t>+ 02S1WR2</w:t>
      </w:r>
      <w:r w:rsidR="00FE7EC0">
        <w:rPr>
          <w:b/>
        </w:rPr>
        <w:t> »</w:t>
      </w:r>
      <w:r w:rsidRPr="00414C31">
        <w:rPr>
          <w:b/>
        </w:rPr>
        <w:t xml:space="preserve"> indique en outre que le pneumatique a également été homologué</w:t>
      </w:r>
      <w:r w:rsidRPr="00622B29">
        <w:t xml:space="preserve"> conformément au Règlement n</w:t>
      </w:r>
      <w:r w:rsidRPr="00622B29">
        <w:rPr>
          <w:vertAlign w:val="superscript"/>
        </w:rPr>
        <w:t>o</w:t>
      </w:r>
      <w:r w:rsidR="00414C31">
        <w:t> </w:t>
      </w:r>
      <w:r w:rsidRPr="00622B29">
        <w:t xml:space="preserve">117 </w:t>
      </w:r>
      <w:r w:rsidRPr="00414C31">
        <w:rPr>
          <w:strike/>
        </w:rPr>
        <w:t>(série 02 d’amendements). Les deux premiers chiffres du numéro d’homologation (02) signifient que l’homologation a été délivrée pour le Règlement n</w:t>
      </w:r>
      <w:r w:rsidRPr="00414C31">
        <w:rPr>
          <w:strike/>
          <w:vertAlign w:val="superscript"/>
        </w:rPr>
        <w:t>o</w:t>
      </w:r>
      <w:r w:rsidRPr="00414C31">
        <w:rPr>
          <w:strike/>
        </w:rPr>
        <w:t xml:space="preserve"> 30 conformément à la série 02 d’amendements. Le signe de l’addition (+) signifie que l’homologation a d’abord été délivrée pour le Règlement n</w:t>
      </w:r>
      <w:r w:rsidRPr="00414C31">
        <w:rPr>
          <w:strike/>
          <w:vertAlign w:val="superscript"/>
        </w:rPr>
        <w:t>o</w:t>
      </w:r>
      <w:r w:rsidRPr="00414C31">
        <w:rPr>
          <w:strike/>
        </w:rPr>
        <w:t xml:space="preserve"> 30 puis étendue pour inclure l’homologation pour le Règlement no 117 (série 02 d’amendements),</w:t>
      </w:r>
      <w:r w:rsidRPr="00622B29">
        <w:t xml:space="preserve"> </w:t>
      </w:r>
      <w:r w:rsidRPr="00414C31">
        <w:rPr>
          <w:b/>
        </w:rPr>
        <w:t>pour le bruit de roulement au niveau 1 (S1), l’adhérence sur sol mouillé (W) et la résistance au roulement au niveau 2 (R2).</w:t>
      </w:r>
      <w:r w:rsidR="00FE7EC0">
        <w:t> »</w:t>
      </w:r>
      <w:r w:rsidRPr="00622B29">
        <w:t>.</w:t>
      </w:r>
    </w:p>
    <w:p w14:paraId="21811635" w14:textId="77777777" w:rsidR="00622B29" w:rsidRPr="00622B29" w:rsidRDefault="00622B29" w:rsidP="00FE7EC0">
      <w:pPr>
        <w:pStyle w:val="SingleTxtG"/>
        <w:keepNext/>
        <w:rPr>
          <w:i/>
          <w:iCs/>
        </w:rPr>
      </w:pPr>
      <w:r w:rsidRPr="00622B29">
        <w:rPr>
          <w:i/>
          <w:iCs/>
        </w:rPr>
        <w:lastRenderedPageBreak/>
        <w:t>Note de bas de page 1</w:t>
      </w:r>
      <w:r w:rsidRPr="00622B29">
        <w:t xml:space="preserve">, supprimer. </w:t>
      </w:r>
    </w:p>
    <w:p w14:paraId="703DB9E1" w14:textId="77777777" w:rsidR="00622B29" w:rsidRPr="00414C31" w:rsidRDefault="00622B29" w:rsidP="00FE7EC0">
      <w:pPr>
        <w:pStyle w:val="SingleTxtG"/>
        <w:keepNext/>
        <w:rPr>
          <w:strike/>
        </w:rPr>
      </w:pPr>
      <w:r w:rsidRPr="00414C31">
        <w:rPr>
          <w:strike/>
          <w:vertAlign w:val="superscript"/>
        </w:rPr>
        <w:footnoteRef/>
      </w:r>
      <w:r w:rsidRPr="00414C31">
        <w:rPr>
          <w:strike/>
        </w:rPr>
        <w:tab/>
        <w:t>Les homologations conformément au Règlement n</w:t>
      </w:r>
      <w:r w:rsidRPr="00414C31">
        <w:rPr>
          <w:strike/>
          <w:vertAlign w:val="superscript"/>
        </w:rPr>
        <w:t>o</w:t>
      </w:r>
      <w:r w:rsidRPr="00414C31">
        <w:rPr>
          <w:strike/>
        </w:rPr>
        <w:t xml:space="preserve"> 117 pour les pneumatiques relevant du Règlement n</w:t>
      </w:r>
      <w:r w:rsidRPr="00414C31">
        <w:rPr>
          <w:strike/>
          <w:vertAlign w:val="superscript"/>
        </w:rPr>
        <w:t>o</w:t>
      </w:r>
      <w:r w:rsidRPr="00414C31">
        <w:rPr>
          <w:strike/>
        </w:rPr>
        <w:t xml:space="preserve"> 54 n’incluent pas actuellement de prescriptions concernant l’adhérence sur sol mouillé.</w:t>
      </w:r>
    </w:p>
    <w:p w14:paraId="0B10E9A6" w14:textId="77777777" w:rsidR="00622B29" w:rsidRPr="00622B29" w:rsidRDefault="00622B29" w:rsidP="00622B29">
      <w:pPr>
        <w:pStyle w:val="SingleTxtG"/>
        <w:rPr>
          <w:i/>
          <w:iCs/>
        </w:rPr>
      </w:pPr>
      <w:bookmarkStart w:id="10" w:name="_Hlk43303231"/>
      <w:r w:rsidRPr="00622B29">
        <w:rPr>
          <w:i/>
          <w:iCs/>
        </w:rPr>
        <w:t>Annexe 5,</w:t>
      </w:r>
    </w:p>
    <w:p w14:paraId="22E030FD" w14:textId="77777777" w:rsidR="00622B29" w:rsidRPr="00622B29" w:rsidRDefault="00622B29" w:rsidP="00622B29">
      <w:pPr>
        <w:pStyle w:val="SingleTxtG"/>
        <w:rPr>
          <w:i/>
          <w:iCs/>
        </w:rPr>
      </w:pPr>
      <w:r w:rsidRPr="00622B29">
        <w:rPr>
          <w:i/>
          <w:iCs/>
        </w:rPr>
        <w:t>Partie B,</w:t>
      </w:r>
      <w:r w:rsidRPr="00622B29">
        <w:t xml:space="preserve"> </w:t>
      </w:r>
    </w:p>
    <w:p w14:paraId="0DC42FC8" w14:textId="77777777" w:rsidR="00622B29" w:rsidRPr="00622B29" w:rsidRDefault="00622B29" w:rsidP="00622B29">
      <w:pPr>
        <w:pStyle w:val="SingleTxtG"/>
      </w:pPr>
      <w:r w:rsidRPr="00622B29">
        <w:rPr>
          <w:i/>
          <w:iCs/>
        </w:rPr>
        <w:t>Paragraphe 1.1</w:t>
      </w:r>
      <w:r w:rsidRPr="00622B29">
        <w:t>, lire</w:t>
      </w:r>
      <w:r w:rsidR="00FE7EC0">
        <w:t> </w:t>
      </w:r>
      <w:r w:rsidRPr="00622B29">
        <w:t>:</w:t>
      </w:r>
    </w:p>
    <w:p w14:paraId="3A69C547" w14:textId="77777777" w:rsidR="00622B29" w:rsidRPr="00622B29" w:rsidRDefault="00FE7EC0" w:rsidP="00FE7EC0">
      <w:pPr>
        <w:pStyle w:val="SingleTxtG"/>
        <w:ind w:left="2268" w:hanging="1134"/>
      </w:pPr>
      <w:r>
        <w:t>« </w:t>
      </w:r>
      <w:r w:rsidR="00622B29" w:rsidRPr="00622B29">
        <w:t>1.1</w:t>
      </w:r>
      <w:r w:rsidR="00622B29" w:rsidRPr="00622B29">
        <w:tab/>
        <w:t>Caractéristiques de la piste</w:t>
      </w:r>
    </w:p>
    <w:p w14:paraId="06C2026C" w14:textId="77777777" w:rsidR="00622B29" w:rsidRPr="00622B29" w:rsidRDefault="00622B29" w:rsidP="00FE7EC0">
      <w:pPr>
        <w:pStyle w:val="SingleTxtG"/>
        <w:ind w:left="2268"/>
      </w:pPr>
      <w:r w:rsidRPr="00622B29">
        <w:t>La chaussée doit être composée de bitume dense et doit présenter une inclinaison uniforme ne dépassant pas 2 %. Mesurée avec une règle de 3 m, elle ne doit pas s’écarter de plus de 6 </w:t>
      </w:r>
      <w:proofErr w:type="spellStart"/>
      <w:r w:rsidRPr="00622B29">
        <w:t>mm.</w:t>
      </w:r>
      <w:proofErr w:type="spellEnd"/>
    </w:p>
    <w:p w14:paraId="5BE3A39A" w14:textId="77777777" w:rsidR="00622B29" w:rsidRPr="00622B29" w:rsidRDefault="00622B29" w:rsidP="00FE7EC0">
      <w:pPr>
        <w:pStyle w:val="SingleTxtG"/>
        <w:ind w:left="2268"/>
      </w:pPr>
      <w:r w:rsidRPr="00622B29">
        <w:t>La chaussée doit être d’âge, de composition et d’usure uniformes. Elle doit être exempte de corps ou de dépôts étrangers.</w:t>
      </w:r>
    </w:p>
    <w:p w14:paraId="470837E4" w14:textId="77777777" w:rsidR="00622B29" w:rsidRPr="00622B29" w:rsidRDefault="00622B29" w:rsidP="00FE7EC0">
      <w:pPr>
        <w:pStyle w:val="SingleTxtG"/>
        <w:ind w:left="2268"/>
      </w:pPr>
      <w:r w:rsidRPr="00622B29">
        <w:t>La dimension maximale des granulats concassés doit être située entre 8 et 13</w:t>
      </w:r>
      <w:r w:rsidR="00FE7EC0">
        <w:t> </w:t>
      </w:r>
      <w:proofErr w:type="spellStart"/>
      <w:r w:rsidRPr="00622B29">
        <w:t>mm.</w:t>
      </w:r>
      <w:proofErr w:type="spellEnd"/>
    </w:p>
    <w:p w14:paraId="215503B7" w14:textId="77777777" w:rsidR="00622B29" w:rsidRPr="00622B29" w:rsidRDefault="00622B29" w:rsidP="00FE7EC0">
      <w:pPr>
        <w:pStyle w:val="SingleTxtG"/>
        <w:ind w:left="2268"/>
      </w:pPr>
      <w:r w:rsidRPr="00622B29">
        <w:t xml:space="preserve">La </w:t>
      </w:r>
      <w:r w:rsidRPr="00414C31">
        <w:rPr>
          <w:strike/>
        </w:rPr>
        <w:t>hauteur du sable</w:t>
      </w:r>
      <w:r w:rsidRPr="00622B29">
        <w:t xml:space="preserve"> </w:t>
      </w:r>
      <w:r w:rsidRPr="00414C31">
        <w:rPr>
          <w:b/>
        </w:rPr>
        <w:t xml:space="preserve">profondeur moyenne de </w:t>
      </w:r>
      <w:proofErr w:type="spellStart"/>
      <w:r w:rsidRPr="00414C31">
        <w:rPr>
          <w:b/>
        </w:rPr>
        <w:t>macrotexture</w:t>
      </w:r>
      <w:proofErr w:type="spellEnd"/>
      <w:r w:rsidRPr="00622B29">
        <w:t xml:space="preserve">, mesurée selon les spécifications </w:t>
      </w:r>
      <w:r w:rsidRPr="00414C31">
        <w:rPr>
          <w:strike/>
        </w:rPr>
        <w:t>des normes EN13036-1:2001 et</w:t>
      </w:r>
      <w:r w:rsidRPr="00622B29">
        <w:t xml:space="preserve"> </w:t>
      </w:r>
      <w:r w:rsidRPr="00414C31">
        <w:rPr>
          <w:b/>
        </w:rPr>
        <w:t>de la norme</w:t>
      </w:r>
      <w:r w:rsidRPr="00622B29">
        <w:t xml:space="preserve"> ASTM E 965</w:t>
      </w:r>
      <w:r w:rsidR="00FE7EC0">
        <w:noBreakHyphen/>
      </w:r>
      <w:r w:rsidRPr="00622B29">
        <w:t xml:space="preserve">96 (réapprouvée en 2006), doit être de </w:t>
      </w:r>
      <w:r w:rsidRPr="00414C31">
        <w:rPr>
          <w:strike/>
        </w:rPr>
        <w:t xml:space="preserve">0,7 ± 0,3 </w:t>
      </w:r>
      <w:r w:rsidRPr="00414C31">
        <w:rPr>
          <w:b/>
        </w:rPr>
        <w:t>(0,7 ± 0,3)</w:t>
      </w:r>
      <w:r w:rsidRPr="00622B29">
        <w:t xml:space="preserve"> </w:t>
      </w:r>
      <w:proofErr w:type="spellStart"/>
      <w:r w:rsidRPr="00622B29">
        <w:t>mm.</w:t>
      </w:r>
      <w:proofErr w:type="spellEnd"/>
      <w:r w:rsidRPr="00622B29">
        <w:t xml:space="preserve"> </w:t>
      </w:r>
    </w:p>
    <w:p w14:paraId="557C4DCF" w14:textId="77777777" w:rsidR="00622B29" w:rsidRPr="00622B29" w:rsidRDefault="00622B29" w:rsidP="00FE7EC0">
      <w:pPr>
        <w:pStyle w:val="SingleTxtG"/>
        <w:ind w:left="2268"/>
      </w:pPr>
      <w:r w:rsidRPr="00622B29">
        <w:t>Le coefficient de frottement du revêtement de la piste mouillée doit être déterminé au moyen de l’une ou l’autre des méthodes ci-après à la discrétion de la Partie contractante.</w:t>
      </w:r>
      <w:r w:rsidR="00FE7EC0">
        <w:t> »</w:t>
      </w:r>
      <w:r w:rsidRPr="00622B29">
        <w:t>.</w:t>
      </w:r>
    </w:p>
    <w:p w14:paraId="1CC1DF3C" w14:textId="77777777" w:rsidR="00622B29" w:rsidRPr="00622B29" w:rsidRDefault="00622B29" w:rsidP="00622B29">
      <w:pPr>
        <w:pStyle w:val="SingleTxtG"/>
      </w:pPr>
      <w:r w:rsidRPr="00622B29">
        <w:rPr>
          <w:i/>
          <w:iCs/>
        </w:rPr>
        <w:t>Paragraphe 1.1.1</w:t>
      </w:r>
      <w:r w:rsidRPr="00622B29">
        <w:t>, lire</w:t>
      </w:r>
      <w:r w:rsidR="00FE7EC0">
        <w:t> </w:t>
      </w:r>
      <w:r w:rsidRPr="00622B29">
        <w:t>:</w:t>
      </w:r>
    </w:p>
    <w:p w14:paraId="549DBCE3" w14:textId="77777777" w:rsidR="00622B29" w:rsidRPr="00622B29" w:rsidRDefault="00FE7EC0" w:rsidP="00FE7EC0">
      <w:pPr>
        <w:pStyle w:val="SingleTxtG"/>
        <w:ind w:left="2268" w:hanging="1134"/>
      </w:pPr>
      <w:r>
        <w:t>« </w:t>
      </w:r>
      <w:r w:rsidR="00622B29" w:rsidRPr="00622B29">
        <w:t>1.1.1</w:t>
      </w:r>
      <w:r w:rsidR="00622B29" w:rsidRPr="00622B29">
        <w:tab/>
      </w:r>
      <w:r w:rsidR="00622B29" w:rsidRPr="00622B29">
        <w:tab/>
        <w:t>Méthode du pneumatique d’essai de référence normalisé (SRTT)</w:t>
      </w:r>
    </w:p>
    <w:p w14:paraId="4264443B" w14:textId="77777777" w:rsidR="00622B29" w:rsidRPr="00622B29" w:rsidRDefault="00622B29" w:rsidP="00FE7EC0">
      <w:pPr>
        <w:pStyle w:val="SingleTxtG"/>
        <w:ind w:left="2268"/>
      </w:pPr>
      <w:r w:rsidRPr="00622B29">
        <w:t xml:space="preserve">Cette méthode utilise le pneumatique d’essai de référence normalisé </w:t>
      </w:r>
      <w:r w:rsidRPr="00414C31">
        <w:rPr>
          <w:strike/>
        </w:rPr>
        <w:t>SRTT14</w:t>
      </w:r>
      <w:r w:rsidRPr="00622B29">
        <w:t xml:space="preserve"> </w:t>
      </w:r>
      <w:r w:rsidRPr="00414C31">
        <w:rPr>
          <w:b/>
        </w:rPr>
        <w:t>SRTT16</w:t>
      </w:r>
      <w:r w:rsidRPr="00622B29">
        <w:t>.</w:t>
      </w:r>
    </w:p>
    <w:p w14:paraId="1B9A5743" w14:textId="77777777" w:rsidR="00622B29" w:rsidRPr="00414C31" w:rsidRDefault="00622B29" w:rsidP="00FE7EC0">
      <w:pPr>
        <w:pStyle w:val="SingleTxtG"/>
        <w:ind w:left="2268"/>
        <w:rPr>
          <w:strike/>
        </w:rPr>
      </w:pPr>
      <w:r w:rsidRPr="00414C31">
        <w:rPr>
          <w:b/>
        </w:rPr>
        <w:t xml:space="preserve">En suivant la procédure décrite au paragraphe 4.2. de la partie A de la présente annexe, effectuer dans la zone même où la profondeur moyenne de </w:t>
      </w:r>
      <w:proofErr w:type="spellStart"/>
      <w:r w:rsidRPr="00414C31">
        <w:rPr>
          <w:b/>
        </w:rPr>
        <w:t>macrotexture</w:t>
      </w:r>
      <w:proofErr w:type="spellEnd"/>
      <w:r w:rsidRPr="00414C31">
        <w:rPr>
          <w:b/>
        </w:rPr>
        <w:t xml:space="preserve"> a été mesurée un essai de freinage du pneumatique de référence, comprenant au moins six cycles d’essai valides dans la même </w:t>
      </w:r>
      <w:proofErr w:type="spellStart"/>
      <w:r w:rsidRPr="00414C31">
        <w:rPr>
          <w:b/>
        </w:rPr>
        <w:t>direction.</w:t>
      </w:r>
      <w:r w:rsidRPr="00414C31">
        <w:rPr>
          <w:strike/>
        </w:rPr>
        <w:t>Effectuer</w:t>
      </w:r>
      <w:proofErr w:type="spellEnd"/>
      <w:r w:rsidRPr="00414C31">
        <w:rPr>
          <w:strike/>
        </w:rPr>
        <w:t xml:space="preserve"> au moins six mesures valides des coefficients de force de freinage maximale avec le pneumatique d’essai de référence standard SRTT14 en utilisant la méthode d’essai faisant appel à une remorque ou à un véhicule spécialement conçu pour l’évaluation des pneumatiques comme spécifié dans la disposition 2.1 (à 65 km/h et 180 kPa).</w:t>
      </w:r>
    </w:p>
    <w:p w14:paraId="0B12784A" w14:textId="77777777" w:rsidR="00622B29" w:rsidRPr="00414C31" w:rsidRDefault="00622B29" w:rsidP="00FE7EC0">
      <w:pPr>
        <w:pStyle w:val="SingleTxtG"/>
        <w:ind w:left="2268"/>
        <w:rPr>
          <w:b/>
        </w:rPr>
      </w:pPr>
      <w:r w:rsidRPr="00414C31">
        <w:rPr>
          <w:b/>
        </w:rPr>
        <w:t xml:space="preserve">Évaluer l’essai de freinage comme décrit aux paragraphes 4.2.8.1 et 4.2.8.2 de la partie A de la présente annexe. Si le </w:t>
      </w:r>
      <w:r w:rsidRPr="00414C31">
        <w:rPr>
          <w:b/>
          <w:iCs/>
        </w:rPr>
        <w:t>coefficient de variation</w:t>
      </w:r>
      <w:r w:rsidRPr="00414C31">
        <w:rPr>
          <w:b/>
          <w:i/>
          <w:iCs/>
        </w:rPr>
        <w:t xml:space="preserve"> CV</w:t>
      </w:r>
      <w:r w:rsidRPr="00414C31">
        <w:rPr>
          <w:b/>
          <w:i/>
          <w:iCs/>
          <w:vertAlign w:val="subscript"/>
        </w:rPr>
        <w:t>µ</w:t>
      </w:r>
      <w:r w:rsidRPr="00414C31">
        <w:rPr>
          <w:b/>
        </w:rPr>
        <w:t xml:space="preserve"> dépasse 4</w:t>
      </w:r>
      <w:r w:rsidR="00FE7EC0">
        <w:rPr>
          <w:b/>
        </w:rPr>
        <w:t> </w:t>
      </w:r>
      <w:r w:rsidRPr="00414C31">
        <w:rPr>
          <w:b/>
        </w:rPr>
        <w:t>%, ignorer les résultats et recommencer l’essai de freinage.</w:t>
      </w:r>
    </w:p>
    <w:p w14:paraId="5E9D6547" w14:textId="77777777" w:rsidR="00622B29" w:rsidRPr="00622B29" w:rsidRDefault="00622B29" w:rsidP="00FE7EC0">
      <w:pPr>
        <w:pStyle w:val="SingleTxtG"/>
        <w:ind w:left="2268"/>
      </w:pPr>
      <w:r w:rsidRPr="00622B29">
        <w:t xml:space="preserve">La </w:t>
      </w:r>
      <w:r w:rsidRPr="00C50E2D">
        <w:rPr>
          <w:strike/>
        </w:rPr>
        <w:t>valeur moyenne (µ</w:t>
      </w:r>
      <w:proofErr w:type="spellStart"/>
      <w:r w:rsidRPr="00C50E2D">
        <w:rPr>
          <w:strike/>
          <w:vertAlign w:val="subscript"/>
        </w:rPr>
        <w:t>peak,ave</w:t>
      </w:r>
      <w:proofErr w:type="spellEnd"/>
      <w:r w:rsidRPr="00C50E2D">
        <w:rPr>
          <w:strike/>
        </w:rPr>
        <w:t>)</w:t>
      </w:r>
      <w:r w:rsidRPr="00622B29">
        <w:t xml:space="preserve"> </w:t>
      </w:r>
      <w:r w:rsidRPr="00C50E2D">
        <w:rPr>
          <w:b/>
        </w:rPr>
        <w:t>moyenne arithmétique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μ</m:t>
                </m:r>
              </m:e>
              <m:sub>
                <m:r>
                  <m:rPr>
                    <m:nor/>
                  </m:rPr>
                  <w:rPr>
                    <w:b/>
                  </w:rPr>
                  <m:t>peak</m:t>
                </m:r>
              </m:sub>
            </m:sSub>
          </m:e>
        </m:acc>
      </m:oMath>
      <w:r w:rsidRPr="00C50E2D">
        <w:rPr>
          <w:b/>
        </w:rPr>
        <w:t>)</w:t>
      </w:r>
      <w:r w:rsidRPr="00622B29">
        <w:t xml:space="preserve"> des coefficients de force de freinage maximaux mesurés doit être corrigées des effets de la température comme suit</w:t>
      </w:r>
    </w:p>
    <w:p w14:paraId="5743500D" w14:textId="77777777" w:rsidR="00622B29" w:rsidRPr="00C50E2D" w:rsidRDefault="00D96A55" w:rsidP="00622B29">
      <w:pPr>
        <w:pStyle w:val="SingleTxtG"/>
        <w:rPr>
          <w:strike/>
          <w:lang w:val="en-US"/>
        </w:rPr>
      </w:pPr>
      <m:oMathPara>
        <m:oMath>
          <m:sSub>
            <m:sSubPr>
              <m:ctrlPr>
                <w:rPr>
                  <w:rFonts w:ascii="Cambria Math" w:hAnsi="Cambria Math"/>
                  <w:i/>
                  <w:strike/>
                </w:rPr>
              </m:ctrlPr>
            </m:sSubPr>
            <m:e>
              <m:r>
                <w:rPr>
                  <w:rFonts w:ascii="Cambria Math" w:hAnsi="Cambria Math"/>
                  <w:strike/>
                </w:rPr>
                <m:t>μ</m:t>
              </m:r>
            </m:e>
            <m:sub>
              <m:r>
                <m:rPr>
                  <m:nor/>
                </m:rPr>
                <w:rPr>
                  <w:strike/>
                  <w:lang w:val="en-US"/>
                </w:rPr>
                <m:t>peak,corr</m:t>
              </m:r>
            </m:sub>
          </m:sSub>
          <m:r>
            <w:rPr>
              <w:rFonts w:ascii="Cambria Math" w:hAnsi="Cambria Math"/>
              <w:strike/>
              <w:lang w:val="en-US"/>
            </w:rPr>
            <m:t>=</m:t>
          </m:r>
          <m:sSub>
            <m:sSubPr>
              <m:ctrlPr>
                <w:rPr>
                  <w:rFonts w:ascii="Cambria Math" w:hAnsi="Cambria Math"/>
                  <w:i/>
                  <w:strike/>
                </w:rPr>
              </m:ctrlPr>
            </m:sSubPr>
            <m:e>
              <m:r>
                <w:rPr>
                  <w:rFonts w:ascii="Cambria Math" w:hAnsi="Cambria Math"/>
                  <w:strike/>
                </w:rPr>
                <m:t>μ</m:t>
              </m:r>
            </m:e>
            <m:sub>
              <m:r>
                <m:rPr>
                  <m:nor/>
                </m:rPr>
                <w:rPr>
                  <w:strike/>
                  <w:lang w:val="en-US"/>
                </w:rPr>
                <m:t>peak,ave</m:t>
              </m:r>
            </m:sub>
          </m:sSub>
          <m:r>
            <w:rPr>
              <w:rFonts w:ascii="Cambria Math" w:hAnsi="Cambria Math"/>
              <w:strike/>
              <w:lang w:val="en-US"/>
            </w:rPr>
            <m:t>+0.0035∙</m:t>
          </m:r>
          <m:d>
            <m:dPr>
              <m:ctrlPr>
                <w:rPr>
                  <w:rFonts w:ascii="Cambria Math" w:hAnsi="Cambria Math"/>
                  <w:i/>
                  <w:strike/>
                </w:rPr>
              </m:ctrlPr>
            </m:dPr>
            <m:e>
              <m:r>
                <w:rPr>
                  <w:rFonts w:ascii="Cambria Math" w:hAnsi="Cambria Math"/>
                  <w:strike/>
                </w:rPr>
                <m:t>t</m:t>
              </m:r>
              <m:r>
                <w:rPr>
                  <w:rFonts w:ascii="Cambria Math" w:hAnsi="Cambria Math"/>
                  <w:strike/>
                  <w:lang w:val="en-US"/>
                </w:rPr>
                <m:t>-20</m:t>
              </m:r>
            </m:e>
          </m:d>
        </m:oMath>
      </m:oMathPara>
    </w:p>
    <w:p w14:paraId="4C62D4D8" w14:textId="77777777" w:rsidR="00622B29" w:rsidRPr="00C50E2D" w:rsidRDefault="00D96A55" w:rsidP="00622B29">
      <w:pPr>
        <w:pStyle w:val="SingleTxtG"/>
        <w:rPr>
          <w:b/>
          <w:lang w:val="en-US"/>
        </w:rPr>
      </w:pPr>
      <m:oMathPara>
        <m:oMath>
          <m:sSub>
            <m:sSubPr>
              <m:ctrlPr>
                <w:rPr>
                  <w:rFonts w:ascii="Cambria Math" w:hAnsi="Cambria Math"/>
                  <w:b/>
                  <w:i/>
                </w:rPr>
              </m:ctrlPr>
            </m:sSubPr>
            <m:e>
              <m:r>
                <m:rPr>
                  <m:sty m:val="bi"/>
                </m:rPr>
                <w:rPr>
                  <w:rFonts w:ascii="Cambria Math" w:hAnsi="Cambria Math"/>
                </w:rPr>
                <m:t>μ</m:t>
              </m:r>
            </m:e>
            <m:sub>
              <m:r>
                <m:rPr>
                  <m:nor/>
                </m:rPr>
                <w:rPr>
                  <w:b/>
                  <w:lang w:val="en-US"/>
                </w:rPr>
                <m:t>peak,corr</m:t>
              </m:r>
            </m:sub>
          </m:sSub>
          <m:r>
            <m:rPr>
              <m:sty m:val="bi"/>
            </m:rPr>
            <w:rPr>
              <w:rFonts w:ascii="Cambria Math" w:hAnsi="Cambria Math"/>
              <w:lang w:val="en-US"/>
            </w:rPr>
            <m:t>=</m:t>
          </m:r>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μ</m:t>
                  </m:r>
                </m:e>
                <m:sub>
                  <m:r>
                    <m:rPr>
                      <m:nor/>
                    </m:rPr>
                    <w:rPr>
                      <w:b/>
                      <w:lang w:val="en-US"/>
                    </w:rPr>
                    <m:t>peak</m:t>
                  </m:r>
                </m:sub>
              </m:sSub>
            </m:e>
          </m:acc>
          <m:r>
            <m:rPr>
              <m:sty m:val="bi"/>
            </m:rPr>
            <w:rPr>
              <w:rFonts w:ascii="Cambria Math" w:hAnsi="Cambria Math"/>
              <w:lang w:val="en-US"/>
            </w:rPr>
            <m:t>+</m:t>
          </m:r>
          <m:r>
            <m:rPr>
              <m:sty m:val="bi"/>
            </m:rPr>
            <w:rPr>
              <w:rFonts w:ascii="Cambria Math" w:hAnsi="Cambria Math"/>
            </w:rPr>
            <m:t>a</m:t>
          </m:r>
          <m:r>
            <m:rPr>
              <m:sty m:val="bi"/>
            </m:rPr>
            <w:rPr>
              <w:rFonts w:ascii="Cambria Math" w:hAnsi="Cambria Math"/>
              <w:lang w:val="en-US"/>
            </w:rPr>
            <m:t>∙</m:t>
          </m:r>
          <m:d>
            <m:dPr>
              <m:ctrlPr>
                <w:rPr>
                  <w:rFonts w:ascii="Cambria Math" w:hAnsi="Cambria Math"/>
                  <w:b/>
                  <w:i/>
                </w:rPr>
              </m:ctrlPr>
            </m:dPr>
            <m:e>
              <m:r>
                <m:rPr>
                  <m:sty m:val="bi"/>
                </m:rPr>
                <w:rPr>
                  <w:rFonts w:ascii="Cambria Math" w:hAnsi="Cambria Math"/>
                </w:rPr>
                <m:t>ϑ</m:t>
              </m:r>
              <m:r>
                <m:rPr>
                  <m:sty m:val="bi"/>
                </m:rPr>
                <w:rPr>
                  <w:rFonts w:ascii="Cambria Math" w:hAnsi="Cambria Math"/>
                  <w:lang w:val="en-US"/>
                </w:rPr>
                <m:t>-</m:t>
              </m:r>
              <m:sSub>
                <m:sSubPr>
                  <m:ctrlPr>
                    <w:rPr>
                      <w:rFonts w:ascii="Cambria Math" w:hAnsi="Cambria Math"/>
                      <w:b/>
                      <w:i/>
                    </w:rPr>
                  </m:ctrlPr>
                </m:sSubPr>
                <m:e>
                  <m:r>
                    <m:rPr>
                      <m:sty m:val="bi"/>
                    </m:rPr>
                    <w:rPr>
                      <w:rFonts w:ascii="Cambria Math" w:hAnsi="Cambria Math"/>
                    </w:rPr>
                    <m:t>ϑ</m:t>
                  </m:r>
                </m:e>
                <m:sub>
                  <m:r>
                    <m:rPr>
                      <m:sty m:val="bi"/>
                    </m:rPr>
                    <w:rPr>
                      <w:rFonts w:ascii="Cambria Math" w:hAnsi="Cambria Math"/>
                    </w:rPr>
                    <m:t>0</m:t>
                  </m:r>
                </m:sub>
              </m:sSub>
            </m:e>
          </m:d>
        </m:oMath>
      </m:oMathPara>
    </w:p>
    <w:p w14:paraId="068C3F4F" w14:textId="77777777" w:rsidR="00622B29" w:rsidRPr="00622B29" w:rsidRDefault="00622B29" w:rsidP="00622B29">
      <w:pPr>
        <w:pStyle w:val="SingleTxtG"/>
        <w:ind w:left="2268"/>
        <w:rPr>
          <w:i/>
          <w:iCs/>
        </w:rPr>
      </w:pPr>
      <w:r w:rsidRPr="00622B29">
        <w:t>où</w:t>
      </w:r>
    </w:p>
    <w:p w14:paraId="4D656F33" w14:textId="77777777" w:rsidR="00622B29" w:rsidRPr="00622B29" w:rsidRDefault="00622B29" w:rsidP="00622B29">
      <w:pPr>
        <w:pStyle w:val="SingleTxtG"/>
        <w:ind w:left="2268"/>
      </w:pPr>
      <w:r w:rsidRPr="00C50E2D">
        <w:rPr>
          <w:i/>
          <w:iCs/>
          <w:strike/>
        </w:rPr>
        <w:t xml:space="preserve">t </w:t>
      </w:r>
      <w:r w:rsidRPr="00C50E2D">
        <w:rPr>
          <w:b/>
          <w:i/>
          <w:iCs/>
        </w:rPr>
        <w:t>ϑ</w:t>
      </w:r>
      <w:r w:rsidRPr="00622B29">
        <w:t xml:space="preserve"> est la température du revêtement de la piste mouillée en degrés Celsius</w:t>
      </w:r>
      <w:r w:rsidR="00FE7EC0">
        <w:t> </w:t>
      </w:r>
      <w:r w:rsidRPr="00622B29">
        <w:t>;</w:t>
      </w:r>
    </w:p>
    <w:p w14:paraId="4767C587" w14:textId="77777777" w:rsidR="00622B29" w:rsidRPr="00622B29" w:rsidRDefault="00622B29" w:rsidP="00622B29">
      <w:pPr>
        <w:pStyle w:val="SingleTxtG"/>
        <w:ind w:left="2268"/>
      </w:pPr>
      <m:oMath>
        <m:r>
          <m:rPr>
            <m:sty m:val="bi"/>
          </m:rPr>
          <w:rPr>
            <w:rFonts w:ascii="Cambria Math" w:hAnsi="Cambria Math"/>
          </w:rPr>
          <m:t>a</m:t>
        </m:r>
        <m:r>
          <w:rPr>
            <w:rFonts w:ascii="Cambria Math" w:hAnsi="Cambria Math"/>
          </w:rPr>
          <m:t xml:space="preserve">= </m:t>
        </m:r>
        <m:r>
          <m:rPr>
            <m:sty m:val="bi"/>
          </m:rPr>
          <w:rPr>
            <w:rFonts w:ascii="Cambria Math" w:hAnsi="Cambria Math"/>
          </w:rPr>
          <m:t>0</m:t>
        </m:r>
        <m:r>
          <w:rPr>
            <w:rFonts w:ascii="Cambria Math" w:hAnsi="Cambria Math"/>
          </w:rPr>
          <m:t>,</m:t>
        </m:r>
        <m:r>
          <m:rPr>
            <m:sty m:val="bi"/>
          </m:rPr>
          <w:rPr>
            <w:rFonts w:ascii="Cambria Math" w:hAnsi="Cambria Math"/>
          </w:rPr>
          <m:t>002</m:t>
        </m:r>
        <m:sSup>
          <m:sSupPr>
            <m:ctrlPr>
              <w:rPr>
                <w:rFonts w:ascii="Cambria Math" w:hAnsi="Cambria Math"/>
                <w:i/>
              </w:rPr>
            </m:ctrlPr>
          </m:sSupPr>
          <m:e>
            <m:r>
              <w:rPr>
                <w:rFonts w:ascii="Cambria Math" w:hAnsi="Cambria Math"/>
              </w:rPr>
              <m:t xml:space="preserve"> ℃</m:t>
            </m:r>
          </m:e>
          <m:sup>
            <m:r>
              <w:rPr>
                <w:rFonts w:ascii="Cambria Math" w:hAnsi="Cambria Math"/>
              </w:rPr>
              <m:t>-</m:t>
            </m:r>
            <m:r>
              <m:rPr>
                <m:sty m:val="bi"/>
              </m:rPr>
              <w:rPr>
                <w:rFonts w:ascii="Cambria Math" w:hAnsi="Cambria Math"/>
              </w:rPr>
              <m:t>1</m:t>
            </m:r>
          </m:sup>
        </m:sSup>
      </m:oMath>
      <w:r w:rsidRPr="00622B29">
        <w:t xml:space="preserve"> </w:t>
      </w:r>
      <w:r w:rsidRPr="0082033B">
        <w:rPr>
          <w:b/>
        </w:rPr>
        <w:t>et</w:t>
      </w:r>
      <w:r w:rsidRPr="00622B29">
        <w:t xml:space="preserve"> </w:t>
      </w:r>
      <m:oMath>
        <m:sSub>
          <m:sSubPr>
            <m:ctrlPr>
              <w:rPr>
                <w:rFonts w:ascii="Cambria Math" w:hAnsi="Cambria Math"/>
                <w:i/>
              </w:rPr>
            </m:ctrlPr>
          </m:sSubPr>
          <m:e>
            <m:r>
              <m:rPr>
                <m:sty m:val="bi"/>
              </m:rPr>
              <w:rPr>
                <w:rFonts w:ascii="Cambria Math" w:hAnsi="Cambria Math"/>
              </w:rPr>
              <m:t>ϑ</m:t>
            </m:r>
          </m:e>
          <m:sub>
            <m:r>
              <m:rPr>
                <m:sty m:val="bi"/>
              </m:rPr>
              <w:rPr>
                <w:rFonts w:ascii="Cambria Math" w:hAnsi="Cambria Math"/>
              </w:rPr>
              <m:t>0</m:t>
            </m:r>
          </m:sub>
        </m:sSub>
        <m:r>
          <w:rPr>
            <w:rFonts w:ascii="Cambria Math" w:hAnsi="Cambria Math"/>
          </w:rPr>
          <m:t>=</m:t>
        </m:r>
        <m:r>
          <m:rPr>
            <m:sty m:val="bi"/>
          </m:rPr>
          <w:rPr>
            <w:rFonts w:ascii="Cambria Math" w:hAnsi="Cambria Math"/>
          </w:rPr>
          <m:t>20</m:t>
        </m:r>
        <m:r>
          <w:rPr>
            <w:rFonts w:ascii="Cambria Math" w:hAnsi="Cambria Math"/>
          </w:rPr>
          <m:t xml:space="preserve"> ℃</m:t>
        </m:r>
      </m:oMath>
    </w:p>
    <w:p w14:paraId="7311A940" w14:textId="77777777" w:rsidR="00622B29" w:rsidRPr="00622B29" w:rsidRDefault="00622B29" w:rsidP="007636FB">
      <w:pPr>
        <w:pStyle w:val="SingleTxtG"/>
        <w:ind w:left="2268"/>
      </w:pPr>
      <w:r w:rsidRPr="00622B29">
        <w:lastRenderedPageBreak/>
        <w:t>Le coefficient de force de freinage maximal moyen corrigé en fonction de la température (µ</w:t>
      </w:r>
      <w:proofErr w:type="spellStart"/>
      <w:r w:rsidRPr="00622B29">
        <w:rPr>
          <w:vertAlign w:val="subscript"/>
        </w:rPr>
        <w:t>peak,corr</w:t>
      </w:r>
      <w:proofErr w:type="spellEnd"/>
      <w:r w:rsidRPr="00622B29">
        <w:t xml:space="preserve">) </w:t>
      </w:r>
      <w:r w:rsidRPr="0082033B">
        <w:rPr>
          <w:strike/>
        </w:rPr>
        <w:t>doit être égal à 0,7 ± 0,1</w:t>
      </w:r>
      <w:r w:rsidRPr="00622B29">
        <w:t xml:space="preserve"> </w:t>
      </w:r>
      <w:r w:rsidRPr="0082033B">
        <w:rPr>
          <w:b/>
        </w:rPr>
        <w:t>ne doit pas être inférieur à 0,65 ni supérieur à 0,90</w:t>
      </w:r>
      <w:r w:rsidRPr="00622B29">
        <w:t>.</w:t>
      </w:r>
    </w:p>
    <w:p w14:paraId="0796FAF5" w14:textId="77777777" w:rsidR="00622B29" w:rsidRPr="00622B29" w:rsidRDefault="00622B29" w:rsidP="007636FB">
      <w:pPr>
        <w:pStyle w:val="SingleTxtG"/>
        <w:ind w:left="2268"/>
      </w:pPr>
      <w:r w:rsidRPr="00622B29">
        <w:t>L’essai doit être effectué sur les voies et sur la longueur de la piste prévues pour l’essai sur sol mouillé.</w:t>
      </w:r>
    </w:p>
    <w:p w14:paraId="46264279" w14:textId="77777777" w:rsidR="00622B29" w:rsidRPr="00622B29" w:rsidRDefault="00622B29" w:rsidP="007636FB">
      <w:pPr>
        <w:pStyle w:val="SingleTxtG"/>
        <w:ind w:left="2268"/>
      </w:pPr>
      <w:r w:rsidRPr="00622B29">
        <w:t>Pour la méthode faisant appel à une remorque, l’essai est effectué de telle manière que le freinage intervient dans les 10 m suivant l’emplacement où les caractéristiques de la chaussée ont été étudiées.</w:t>
      </w:r>
      <w:r w:rsidR="007636FB">
        <w:t> »</w:t>
      </w:r>
      <w:r w:rsidRPr="00622B29">
        <w:t>.</w:t>
      </w:r>
      <w:bookmarkEnd w:id="10"/>
    </w:p>
    <w:p w14:paraId="44D10202" w14:textId="77777777" w:rsidR="00622B29" w:rsidRPr="00622B29" w:rsidRDefault="00622B29" w:rsidP="00622B29">
      <w:pPr>
        <w:pStyle w:val="SingleTxtG"/>
        <w:rPr>
          <w:i/>
          <w:iCs/>
        </w:rPr>
      </w:pPr>
      <w:r w:rsidRPr="00622B29">
        <w:rPr>
          <w:i/>
          <w:iCs/>
        </w:rPr>
        <w:t>Paragraphe 1.1.2</w:t>
      </w:r>
      <w:r w:rsidRPr="00622B29">
        <w:t xml:space="preserve">, supprimer. </w:t>
      </w:r>
    </w:p>
    <w:p w14:paraId="2146EFB4" w14:textId="77777777" w:rsidR="00622B29" w:rsidRPr="00622B29" w:rsidRDefault="00622B29" w:rsidP="00622B29">
      <w:pPr>
        <w:pStyle w:val="SingleTxtG"/>
      </w:pPr>
      <w:r w:rsidRPr="00622B29">
        <w:rPr>
          <w:i/>
          <w:iCs/>
        </w:rPr>
        <w:t xml:space="preserve">Le paragraphe 1.1.3 </w:t>
      </w:r>
      <w:r w:rsidRPr="00622B29">
        <w:t>devient le paragraphe 1.1.2.</w:t>
      </w:r>
    </w:p>
    <w:p w14:paraId="39669239" w14:textId="77777777" w:rsidR="00622B29" w:rsidRPr="00622B29" w:rsidRDefault="00622B29" w:rsidP="00622B29">
      <w:pPr>
        <w:pStyle w:val="SingleTxtG"/>
        <w:rPr>
          <w:i/>
          <w:iCs/>
        </w:rPr>
      </w:pPr>
      <w:r w:rsidRPr="00622B29">
        <w:rPr>
          <w:i/>
          <w:iCs/>
        </w:rPr>
        <w:t>Annexe 7,</w:t>
      </w:r>
      <w:r w:rsidRPr="00622B29">
        <w:t xml:space="preserve"> </w:t>
      </w:r>
    </w:p>
    <w:p w14:paraId="2F0479A3" w14:textId="77777777" w:rsidR="00622B29" w:rsidRPr="00622B29" w:rsidRDefault="00622B29" w:rsidP="00622B29">
      <w:pPr>
        <w:pStyle w:val="SingleTxtG"/>
      </w:pPr>
      <w:r w:rsidRPr="00622B29">
        <w:rPr>
          <w:i/>
          <w:iCs/>
        </w:rPr>
        <w:t>Paragraphe 1.3</w:t>
      </w:r>
      <w:r w:rsidRPr="00622B29">
        <w:t>, lire</w:t>
      </w:r>
      <w:r w:rsidR="007636FB">
        <w:t> </w:t>
      </w:r>
      <w:r w:rsidRPr="00622B29">
        <w:t>:</w:t>
      </w:r>
    </w:p>
    <w:p w14:paraId="59BB2F64" w14:textId="77777777" w:rsidR="00622B29" w:rsidRPr="00622B29" w:rsidRDefault="00E36055" w:rsidP="00E36055">
      <w:pPr>
        <w:pStyle w:val="SingleTxtG"/>
        <w:ind w:left="2268" w:hanging="1134"/>
      </w:pPr>
      <w:r>
        <w:t>« </w:t>
      </w:r>
      <w:r w:rsidR="00622B29" w:rsidRPr="00622B29">
        <w:t>1.3</w:t>
      </w:r>
      <w:r w:rsidR="00622B29" w:rsidRPr="00622B29">
        <w:tab/>
        <w:t>«</w:t>
      </w:r>
      <w:r>
        <w:t> </w:t>
      </w:r>
      <w:r w:rsidR="00622B29" w:rsidRPr="00622B29">
        <w:rPr>
          <w:i/>
          <w:iCs/>
        </w:rPr>
        <w:t>Essai de traction</w:t>
      </w:r>
      <w:r>
        <w:t> </w:t>
      </w:r>
      <w:r w:rsidR="00622B29" w:rsidRPr="00622B29">
        <w:t>»</w:t>
      </w:r>
      <w:r>
        <w:t> </w:t>
      </w:r>
      <w:r w:rsidR="00622B29" w:rsidRPr="00622B29">
        <w:t>: une série composée d’un nombre spécifié d’essais de traction/patinage du même pneumatique effectués selon la norme ASTM</w:t>
      </w:r>
      <w:r>
        <w:t> </w:t>
      </w:r>
      <w:r w:rsidR="00622B29" w:rsidRPr="00E36055">
        <w:rPr>
          <w:b/>
        </w:rPr>
        <w:t>:</w:t>
      </w:r>
      <w:r w:rsidR="00622B29" w:rsidRPr="00622B29">
        <w:t xml:space="preserve"> </w:t>
      </w:r>
    </w:p>
    <w:p w14:paraId="7D15EC9C" w14:textId="77777777" w:rsidR="00622B29" w:rsidRPr="00622B29" w:rsidRDefault="0082033B" w:rsidP="00E36055">
      <w:pPr>
        <w:pStyle w:val="SingleTxtG"/>
        <w:ind w:left="2268"/>
      </w:pPr>
      <w:r w:rsidRPr="0082033B">
        <w:rPr>
          <w:b/>
        </w:rPr>
        <w:t>a.</w:t>
      </w:r>
      <w:r>
        <w:tab/>
      </w:r>
      <w:r w:rsidR="00622B29" w:rsidRPr="00622B29">
        <w:t xml:space="preserve">F1805-06 </w:t>
      </w:r>
      <w:r w:rsidR="00622B29" w:rsidRPr="0082033B">
        <w:rPr>
          <w:b/>
        </w:rPr>
        <w:t>dans le cas où le SRTT14 est utilisé comme pneumatique de référence</w:t>
      </w:r>
    </w:p>
    <w:p w14:paraId="4D232258" w14:textId="77777777" w:rsidR="00622B29" w:rsidRPr="0082033B" w:rsidRDefault="0082033B" w:rsidP="00E36055">
      <w:pPr>
        <w:pStyle w:val="SingleTxtG"/>
        <w:ind w:left="2268"/>
        <w:rPr>
          <w:b/>
        </w:rPr>
      </w:pPr>
      <w:r w:rsidRPr="0082033B">
        <w:rPr>
          <w:b/>
        </w:rPr>
        <w:t>b.</w:t>
      </w:r>
      <w:r w:rsidRPr="0082033B">
        <w:rPr>
          <w:b/>
        </w:rPr>
        <w:tab/>
      </w:r>
      <w:r w:rsidR="00622B29" w:rsidRPr="0082033B">
        <w:rPr>
          <w:b/>
        </w:rPr>
        <w:t>F1805-20 dans le cas où le SRTT16 est utilisé comme pneumatique de référence,</w:t>
      </w:r>
    </w:p>
    <w:p w14:paraId="57E9659B" w14:textId="77777777" w:rsidR="00622B29" w:rsidRPr="00622B29" w:rsidRDefault="00622B29" w:rsidP="00E36055">
      <w:pPr>
        <w:pStyle w:val="SingleTxtG"/>
        <w:ind w:left="2268"/>
      </w:pPr>
      <w:r w:rsidRPr="00622B29">
        <w:t>et enchaînés dans un court laps de temps.</w:t>
      </w:r>
      <w:r w:rsidR="00E36055">
        <w:t> »</w:t>
      </w:r>
      <w:r w:rsidRPr="00622B29">
        <w:t>.</w:t>
      </w:r>
    </w:p>
    <w:p w14:paraId="2FEBCAC5" w14:textId="77777777" w:rsidR="00622B29" w:rsidRPr="00622B29" w:rsidRDefault="00622B29" w:rsidP="00622B29">
      <w:pPr>
        <w:pStyle w:val="SingleTxtG"/>
      </w:pPr>
      <w:r w:rsidRPr="00622B29">
        <w:rPr>
          <w:i/>
          <w:iCs/>
        </w:rPr>
        <w:t>Paragraphe 2</w:t>
      </w:r>
      <w:r w:rsidRPr="00622B29">
        <w:t>, lire</w:t>
      </w:r>
      <w:r w:rsidR="00E36055">
        <w:t> </w:t>
      </w:r>
      <w:r w:rsidRPr="00622B29">
        <w:t>:</w:t>
      </w:r>
    </w:p>
    <w:p w14:paraId="03CEAAC8" w14:textId="77777777" w:rsidR="00622B29" w:rsidRPr="00622B29" w:rsidRDefault="00E36055" w:rsidP="00E36055">
      <w:pPr>
        <w:pStyle w:val="SingleTxtG"/>
        <w:ind w:left="2268" w:hanging="1134"/>
      </w:pPr>
      <w:r>
        <w:t>« </w:t>
      </w:r>
      <w:r w:rsidR="00622B29" w:rsidRPr="00622B29">
        <w:t>2.</w:t>
      </w:r>
      <w:r w:rsidR="00622B29" w:rsidRPr="00622B29">
        <w:tab/>
        <w:t>Méthode de traction pour les pneumatiques des classes C1 et C2 (essai de traction conformément au paragraphe 6.4 b) du présent Règlement).</w:t>
      </w:r>
    </w:p>
    <w:p w14:paraId="2A7A6B83" w14:textId="77777777" w:rsidR="00622B29" w:rsidRPr="00622B29" w:rsidRDefault="00622B29" w:rsidP="00E36055">
      <w:pPr>
        <w:pStyle w:val="SingleTxtG"/>
        <w:ind w:left="2268"/>
      </w:pPr>
      <w:r w:rsidRPr="00622B29">
        <w:t xml:space="preserve">La procédure d’essai exposée dans la norme ASTM F1805-06 </w:t>
      </w:r>
      <w:r w:rsidRPr="0082033B">
        <w:rPr>
          <w:b/>
        </w:rPr>
        <w:t xml:space="preserve">ou dans la norme ASTM F1805-20, selon le cas, conformément au paragraphe 1.3, </w:t>
      </w:r>
      <w:r w:rsidRPr="00622B29">
        <w:t xml:space="preserve">doit être appliquée pour déterminer </w:t>
      </w:r>
      <w:r w:rsidRPr="0082033B">
        <w:rPr>
          <w:b/>
        </w:rPr>
        <w:t>les performances sur la neige</w:t>
      </w:r>
      <w:r w:rsidRPr="00622B29">
        <w:t xml:space="preserve"> </w:t>
      </w:r>
      <w:r w:rsidRPr="0082033B">
        <w:rPr>
          <w:strike/>
        </w:rPr>
        <w:t>le comportement du pneumatique à la traction</w:t>
      </w:r>
      <w:r w:rsidRPr="00622B29">
        <w:t xml:space="preserve"> </w:t>
      </w:r>
      <w:r w:rsidRPr="0082033B">
        <w:rPr>
          <w:b/>
        </w:rPr>
        <w:t>au moyen de l’indice de performance de traction (TPI)</w:t>
      </w:r>
      <w:r w:rsidRPr="00622B29">
        <w:t xml:space="preserve"> sur de la neige moyennement tassée (l’indice de tassement de la neige, mesuré à l’aide d’un pénétromètre CTI</w:t>
      </w:r>
      <w:r w:rsidR="002812BB">
        <w:rPr>
          <w:vertAlign w:val="superscript"/>
        </w:rPr>
        <w:t>1</w:t>
      </w:r>
      <w:r w:rsidRPr="00622B29">
        <w:t>, doit être compris entre 70 et 80).</w:t>
      </w:r>
      <w:r w:rsidR="00E36055">
        <w:t> »</w:t>
      </w:r>
      <w:r w:rsidRPr="00622B29">
        <w:t>.</w:t>
      </w:r>
    </w:p>
    <w:p w14:paraId="357B448D" w14:textId="77777777" w:rsidR="00622B29" w:rsidRPr="00622B29" w:rsidRDefault="00622B29" w:rsidP="00622B29">
      <w:pPr>
        <w:pStyle w:val="SingleTxtG"/>
      </w:pPr>
      <w:r w:rsidRPr="00622B29">
        <w:rPr>
          <w:i/>
          <w:iCs/>
        </w:rPr>
        <w:t>Paragraphe 2.1</w:t>
      </w:r>
      <w:r w:rsidRPr="00622B29">
        <w:t>, lire</w:t>
      </w:r>
      <w:r w:rsidR="00E36055">
        <w:t> </w:t>
      </w:r>
      <w:r w:rsidRPr="00622B29">
        <w:t>:</w:t>
      </w:r>
    </w:p>
    <w:p w14:paraId="5501A565" w14:textId="77777777" w:rsidR="00622B29" w:rsidRPr="00622B29" w:rsidRDefault="00E36055" w:rsidP="00E36055">
      <w:pPr>
        <w:pStyle w:val="SingleTxtG"/>
        <w:ind w:left="2268" w:hanging="1134"/>
      </w:pPr>
      <w:r>
        <w:t>« </w:t>
      </w:r>
      <w:r w:rsidR="00622B29" w:rsidRPr="00622B29">
        <w:t>2.1</w:t>
      </w:r>
      <w:r w:rsidR="00622B29" w:rsidRPr="00622B29">
        <w:tab/>
        <w:t xml:space="preserve">Le parcours d’essai doit être recouvert d’une couche de neige moyennement tassée, conformément aux prescriptions du tableau A2.1 de la norme ASTM F1805-06 </w:t>
      </w:r>
      <w:r w:rsidR="00622B29" w:rsidRPr="00145973">
        <w:rPr>
          <w:b/>
        </w:rPr>
        <w:t>ou de la norme ASTM F1805-20, selon le cas</w:t>
      </w:r>
      <w:r w:rsidR="00622B29" w:rsidRPr="00622B29">
        <w:t>.</w:t>
      </w:r>
      <w:r>
        <w:t> »</w:t>
      </w:r>
      <w:r w:rsidR="00622B29" w:rsidRPr="00622B29">
        <w:t>.</w:t>
      </w:r>
    </w:p>
    <w:p w14:paraId="3B32FB2B" w14:textId="77777777" w:rsidR="00622B29" w:rsidRPr="00622B29" w:rsidRDefault="00622B29" w:rsidP="00622B29">
      <w:pPr>
        <w:pStyle w:val="SingleTxtG"/>
      </w:pPr>
      <w:r w:rsidRPr="00622B29">
        <w:rPr>
          <w:i/>
          <w:iCs/>
        </w:rPr>
        <w:t>Paragraphe 2.2</w:t>
      </w:r>
      <w:r w:rsidRPr="00622B29">
        <w:t>, lire</w:t>
      </w:r>
      <w:r w:rsidR="00E36055">
        <w:t> </w:t>
      </w:r>
      <w:r w:rsidRPr="00622B29">
        <w:t>:</w:t>
      </w:r>
    </w:p>
    <w:p w14:paraId="2DDA748B" w14:textId="77777777" w:rsidR="00622B29" w:rsidRPr="00622B29" w:rsidRDefault="00E36055" w:rsidP="00E36055">
      <w:pPr>
        <w:pStyle w:val="SingleTxtG"/>
        <w:ind w:left="2268" w:hanging="1134"/>
      </w:pPr>
      <w:r>
        <w:t>« </w:t>
      </w:r>
      <w:r w:rsidR="00622B29" w:rsidRPr="00622B29">
        <w:t>2.2</w:t>
      </w:r>
      <w:r w:rsidR="00622B29" w:rsidRPr="00622B29">
        <w:tab/>
        <w:t xml:space="preserve">La charge sur le pneumatique aux fins de l’essai doit correspondre à celle indiquée pour l’option 2 au paragraphe 11.9.2 de la norme ASTM F1805-06 </w:t>
      </w:r>
      <w:r w:rsidR="00622B29" w:rsidRPr="00145973">
        <w:rPr>
          <w:b/>
        </w:rPr>
        <w:t>ou de la norme ASTM F1805-20, selon le cas. Lorsque le SRTT16 est utilisé comme pneumatique de référence, il doit être soumis à l’essai avec une charge de 531</w:t>
      </w:r>
      <w:r>
        <w:rPr>
          <w:b/>
        </w:rPr>
        <w:t> </w:t>
      </w:r>
      <w:r w:rsidR="00622B29" w:rsidRPr="00145973">
        <w:rPr>
          <w:b/>
        </w:rPr>
        <w:t>kg à une pression de gonflage de 240</w:t>
      </w:r>
      <w:r>
        <w:rPr>
          <w:b/>
        </w:rPr>
        <w:t> </w:t>
      </w:r>
      <w:r w:rsidR="00622B29" w:rsidRPr="00145973">
        <w:rPr>
          <w:b/>
        </w:rPr>
        <w:t>kPa (à froid).</w:t>
      </w:r>
      <w:r>
        <w:t> »</w:t>
      </w:r>
      <w:r w:rsidR="00622B29" w:rsidRPr="00622B29">
        <w:t>.</w:t>
      </w:r>
    </w:p>
    <w:p w14:paraId="30B5BCC2" w14:textId="77777777" w:rsidR="00622B29" w:rsidRPr="00622B29" w:rsidRDefault="00622B29" w:rsidP="00622B29">
      <w:pPr>
        <w:pStyle w:val="SingleTxtG"/>
      </w:pPr>
      <w:r w:rsidRPr="00622B29">
        <w:rPr>
          <w:i/>
          <w:iCs/>
        </w:rPr>
        <w:t>Ajouter le nouveau paragraphe 2.3</w:t>
      </w:r>
      <w:r w:rsidRPr="00622B29">
        <w:t>, libellé comme suit</w:t>
      </w:r>
      <w:r w:rsidR="00E36055">
        <w:t> </w:t>
      </w:r>
      <w:r w:rsidRPr="00622B29">
        <w:t>:</w:t>
      </w:r>
    </w:p>
    <w:p w14:paraId="47172429" w14:textId="77777777" w:rsidR="00622B29" w:rsidRPr="00622B29" w:rsidRDefault="00E36055" w:rsidP="00E36055">
      <w:pPr>
        <w:pStyle w:val="SingleTxtG"/>
        <w:ind w:left="2268" w:hanging="1134"/>
      </w:pPr>
      <w:r>
        <w:t>« </w:t>
      </w:r>
      <w:r w:rsidR="00622B29" w:rsidRPr="00145973">
        <w:rPr>
          <w:b/>
        </w:rPr>
        <w:t>2.3</w:t>
      </w:r>
      <w:r w:rsidR="00622B29" w:rsidRPr="00145973">
        <w:rPr>
          <w:b/>
        </w:rPr>
        <w:tab/>
        <w:t xml:space="preserve">L’indice d’adhérence sur neige d’un pneumatique à contrôler </w:t>
      </w:r>
      <w:proofErr w:type="spellStart"/>
      <w:r w:rsidR="00622B29" w:rsidRPr="00145973">
        <w:rPr>
          <w:b/>
        </w:rPr>
        <w:t>Tn</w:t>
      </w:r>
      <w:proofErr w:type="spellEnd"/>
      <w:r w:rsidR="00622B29" w:rsidRPr="00145973">
        <w:rPr>
          <w:b/>
        </w:rPr>
        <w:t xml:space="preserve"> doit être calculé comme suit</w:t>
      </w:r>
      <w:r>
        <w:rPr>
          <w:b/>
        </w:rPr>
        <w:t> </w:t>
      </w:r>
      <w:r w:rsidR="00622B29" w:rsidRPr="00145973">
        <w:rPr>
          <w:b/>
        </w:rPr>
        <w:t>:</w:t>
      </w:r>
    </w:p>
    <w:p w14:paraId="5DD30FE3" w14:textId="77777777" w:rsidR="00622B29" w:rsidRPr="00622B29" w:rsidRDefault="00622B29" w:rsidP="00622B29">
      <w:pPr>
        <w:pStyle w:val="SingleTxtG"/>
      </w:pPr>
      <m:oMathPara>
        <m:oMath>
          <m:r>
            <m:rPr>
              <m:sty m:val="bi"/>
            </m:rPr>
            <w:rPr>
              <w:rFonts w:ascii="Cambria Math" w:hAnsi="Cambria Math"/>
            </w:rPr>
            <m:t>SG</m:t>
          </m:r>
          <m:d>
            <m:dPr>
              <m:ctrlPr>
                <w:rPr>
                  <w:rFonts w:ascii="Cambria Math" w:hAnsi="Cambria Math"/>
                  <w:i/>
                </w:rPr>
              </m:ctrlPr>
            </m:dPr>
            <m:e>
              <m:r>
                <m:rPr>
                  <m:sty m:val="bi"/>
                </m:rPr>
                <w:rPr>
                  <w:rFonts w:ascii="Cambria Math" w:hAnsi="Cambria Math"/>
                </w:rPr>
                <m:t>Tn</m:t>
              </m:r>
            </m:e>
          </m:d>
          <m:r>
            <w:rPr>
              <w:rFonts w:ascii="Cambria Math" w:hAnsi="Cambria Math"/>
            </w:rPr>
            <m:t>=</m:t>
          </m:r>
          <m:r>
            <m:rPr>
              <m:sty m:val="bi"/>
            </m:rPr>
            <w:rPr>
              <w:rFonts w:ascii="Cambria Math" w:hAnsi="Cambria Math"/>
            </w:rPr>
            <m:t>f</m:t>
          </m:r>
          <m:r>
            <w:rPr>
              <w:rFonts w:ascii="Cambria Math" w:hAnsi="Cambria Math"/>
            </w:rPr>
            <m:t>∙</m:t>
          </m:r>
          <m:f>
            <m:fPr>
              <m:ctrlPr>
                <w:rPr>
                  <w:rFonts w:ascii="Cambria Math" w:hAnsi="Cambria Math"/>
                  <w:i/>
                </w:rPr>
              </m:ctrlPr>
            </m:fPr>
            <m:num>
              <m:r>
                <m:rPr>
                  <m:sty m:val="bi"/>
                </m:rPr>
                <w:rPr>
                  <w:rFonts w:ascii="Cambria Math" w:hAnsi="Cambria Math"/>
                </w:rPr>
                <m:t>TPI</m:t>
              </m:r>
            </m:num>
            <m:den>
              <m:r>
                <m:rPr>
                  <m:sty m:val="bi"/>
                </m:rPr>
                <w:rPr>
                  <w:rFonts w:ascii="Cambria Math" w:hAnsi="Cambria Math"/>
                </w:rPr>
                <m:t>100</m:t>
              </m:r>
            </m:den>
          </m:f>
        </m:oMath>
      </m:oMathPara>
    </w:p>
    <w:p w14:paraId="05154CE3" w14:textId="77777777" w:rsidR="00622B29" w:rsidRPr="00145973" w:rsidRDefault="00622B29" w:rsidP="00E36055">
      <w:pPr>
        <w:pStyle w:val="SingleTxtG"/>
        <w:ind w:left="2268"/>
        <w:rPr>
          <w:b/>
        </w:rPr>
      </w:pPr>
      <w:r w:rsidRPr="00145973">
        <w:rPr>
          <w:b/>
        </w:rPr>
        <w:t xml:space="preserve">où </w:t>
      </w:r>
    </w:p>
    <w:p w14:paraId="1D3356A4" w14:textId="77777777" w:rsidR="00622B29" w:rsidRPr="00145973" w:rsidRDefault="00622B29" w:rsidP="00E36055">
      <w:pPr>
        <w:pStyle w:val="SingleTxtG"/>
        <w:ind w:left="2268"/>
        <w:rPr>
          <w:b/>
        </w:rPr>
      </w:pPr>
      <m:oMath>
        <m:r>
          <m:rPr>
            <m:sty m:val="bi"/>
          </m:rPr>
          <w:rPr>
            <w:rFonts w:ascii="Cambria Math" w:hAnsi="Cambria Math"/>
          </w:rPr>
          <m:t>f</m:t>
        </m:r>
        <m:r>
          <w:rPr>
            <w:rFonts w:ascii="Cambria Math" w:hAnsi="Cambria Math"/>
          </w:rPr>
          <m:t>=</m:t>
        </m:r>
        <m:r>
          <m:rPr>
            <m:sty m:val="bi"/>
          </m:rPr>
          <w:rPr>
            <w:rFonts w:ascii="Cambria Math" w:hAnsi="Cambria Math"/>
          </w:rPr>
          <m:t>1</m:t>
        </m:r>
        <m:r>
          <w:rPr>
            <w:rFonts w:ascii="Cambria Math" w:hAnsi="Cambria Math"/>
          </w:rPr>
          <m:t>,</m:t>
        </m:r>
        <m:r>
          <m:rPr>
            <m:sty m:val="bi"/>
          </m:rPr>
          <w:rPr>
            <w:rFonts w:ascii="Cambria Math" w:hAnsi="Cambria Math"/>
          </w:rPr>
          <m:t>000</m:t>
        </m:r>
      </m:oMath>
      <w:r w:rsidRPr="00622B29">
        <w:t xml:space="preserve"> </w:t>
      </w:r>
      <w:r w:rsidRPr="00622B29">
        <w:tab/>
      </w:r>
      <w:r w:rsidRPr="00145973">
        <w:rPr>
          <w:b/>
        </w:rPr>
        <w:t>lorsque le SRTT14 est utilisé comme pneumatique de référence selon la norme ASTM F1805-06, et</w:t>
      </w:r>
    </w:p>
    <w:p w14:paraId="558F9191" w14:textId="77777777" w:rsidR="00622B29" w:rsidRPr="00145973" w:rsidRDefault="00145973" w:rsidP="00E36055">
      <w:pPr>
        <w:pStyle w:val="SingleTxtG"/>
        <w:ind w:left="2268"/>
        <w:rPr>
          <w:b/>
        </w:rPr>
      </w:pPr>
      <m:oMath>
        <m:r>
          <m:rPr>
            <m:sty m:val="bi"/>
          </m:rPr>
          <w:rPr>
            <w:rFonts w:ascii="Cambria Math" w:hAnsi="Cambria Math"/>
          </w:rPr>
          <w:lastRenderedPageBreak/>
          <m:t>f=0,987</m:t>
        </m:r>
      </m:oMath>
      <w:r w:rsidR="00622B29" w:rsidRPr="00145973">
        <w:rPr>
          <w:b/>
        </w:rPr>
        <w:t xml:space="preserve"> </w:t>
      </w:r>
      <w:r w:rsidR="00622B29" w:rsidRPr="00145973">
        <w:rPr>
          <w:b/>
        </w:rPr>
        <w:tab/>
        <w:t>lorsque le SRTT16 est utilisé comme pneumatique de référence selon la norme ASTM F1805-20,</w:t>
      </w:r>
    </w:p>
    <w:p w14:paraId="7FD04628" w14:textId="77777777" w:rsidR="00622B29" w:rsidRPr="00145973" w:rsidRDefault="00622B29" w:rsidP="00E36055">
      <w:pPr>
        <w:pStyle w:val="SingleTxtG"/>
        <w:ind w:left="2268"/>
        <w:rPr>
          <w:b/>
        </w:rPr>
      </w:pPr>
      <w:r w:rsidRPr="00145973">
        <w:rPr>
          <w:b/>
        </w:rPr>
        <w:t>et</w:t>
      </w:r>
    </w:p>
    <w:p w14:paraId="74206E9B" w14:textId="77777777" w:rsidR="00622B29" w:rsidRPr="00622B29" w:rsidRDefault="00622B29" w:rsidP="00E36055">
      <w:pPr>
        <w:pStyle w:val="SingleTxtG"/>
        <w:ind w:left="2268"/>
      </w:pPr>
      <w:r w:rsidRPr="00145973">
        <w:rPr>
          <w:b/>
        </w:rPr>
        <w:t>TPI</w:t>
      </w:r>
      <w:r w:rsidRPr="00145973">
        <w:rPr>
          <w:b/>
        </w:rPr>
        <w:tab/>
        <w:t>désigne l’indice de performance de traction tel que défini dans la norme ASTM F1805-06 ou dans la norme ASTM F1805-20, selon le cas</w:t>
      </w:r>
      <w:r w:rsidR="00E36055">
        <w:t> »</w:t>
      </w:r>
      <w:r w:rsidRPr="00622B29">
        <w:t>.</w:t>
      </w:r>
    </w:p>
    <w:p w14:paraId="1B4016BD" w14:textId="77777777" w:rsidR="00622B29" w:rsidRPr="00622B29" w:rsidRDefault="00622B29" w:rsidP="00622B29">
      <w:pPr>
        <w:pStyle w:val="SingleTxtG"/>
      </w:pPr>
      <w:r w:rsidRPr="00622B29">
        <w:rPr>
          <w:i/>
          <w:iCs/>
        </w:rPr>
        <w:t>Ajouter le nouveau paragraphe 3.1.6</w:t>
      </w:r>
      <w:r w:rsidRPr="00622B29">
        <w:t>, libellé comme suit</w:t>
      </w:r>
      <w:r w:rsidR="00E36055">
        <w:t> </w:t>
      </w:r>
      <w:r w:rsidRPr="00622B29">
        <w:t>:</w:t>
      </w:r>
    </w:p>
    <w:p w14:paraId="04B50FD4" w14:textId="77777777" w:rsidR="00622B29" w:rsidRPr="00622B29" w:rsidRDefault="00E36055" w:rsidP="00307388">
      <w:pPr>
        <w:pStyle w:val="SingleTxtG"/>
        <w:ind w:left="2268" w:hanging="1134"/>
      </w:pPr>
      <w:r>
        <w:t>« </w:t>
      </w:r>
      <w:r w:rsidR="00622B29" w:rsidRPr="00145973">
        <w:rPr>
          <w:b/>
        </w:rPr>
        <w:t>3.1.6</w:t>
      </w:r>
      <w:r w:rsidR="00622B29" w:rsidRPr="00145973">
        <w:rPr>
          <w:b/>
        </w:rPr>
        <w:tab/>
        <w:t>Pour effectuer cet essai, il convient d’utiliser les pneumatiques d’essai de référence normalisés (SRTT), comme indiqué dans le tableau suivant</w:t>
      </w:r>
      <w:r>
        <w:rPr>
          <w:b/>
        </w:rPr>
        <w:t> </w:t>
      </w:r>
      <w:r w:rsidR="00622B29" w:rsidRPr="00145973">
        <w:rPr>
          <w:b/>
        </w:rPr>
        <w:t>:</w:t>
      </w:r>
    </w:p>
    <w:tbl>
      <w:tblPr>
        <w:tblW w:w="6274" w:type="dxa"/>
        <w:tblInd w:w="226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8"/>
        <w:gridCol w:w="3136"/>
      </w:tblGrid>
      <w:tr w:rsidR="00622B29" w:rsidRPr="00307388" w14:paraId="684B87EA" w14:textId="77777777" w:rsidTr="00D96A55">
        <w:trPr>
          <w:trHeight w:val="327"/>
          <w:tblHeader/>
        </w:trPr>
        <w:tc>
          <w:tcPr>
            <w:tcW w:w="3138" w:type="dxa"/>
            <w:tcBorders>
              <w:bottom w:val="single" w:sz="12" w:space="0" w:color="auto"/>
            </w:tcBorders>
            <w:shd w:val="clear" w:color="auto" w:fill="auto"/>
            <w:vAlign w:val="bottom"/>
          </w:tcPr>
          <w:p w14:paraId="312CF037" w14:textId="77777777" w:rsidR="00622B29" w:rsidRPr="00307388" w:rsidRDefault="00622B29" w:rsidP="00307388">
            <w:pPr>
              <w:spacing w:before="80" w:after="80" w:line="200" w:lineRule="exact"/>
              <w:ind w:right="113"/>
              <w:jc w:val="center"/>
              <w:rPr>
                <w:b/>
                <w:i/>
                <w:sz w:val="16"/>
              </w:rPr>
            </w:pPr>
            <w:r w:rsidRPr="00307388">
              <w:rPr>
                <w:b/>
                <w:i/>
                <w:sz w:val="16"/>
              </w:rPr>
              <w:t>Pneumatiques de la classe C1</w:t>
            </w:r>
          </w:p>
        </w:tc>
        <w:tc>
          <w:tcPr>
            <w:tcW w:w="3136" w:type="dxa"/>
            <w:tcBorders>
              <w:bottom w:val="single" w:sz="12" w:space="0" w:color="auto"/>
            </w:tcBorders>
            <w:shd w:val="clear" w:color="auto" w:fill="auto"/>
            <w:vAlign w:val="bottom"/>
          </w:tcPr>
          <w:p w14:paraId="24082A4D" w14:textId="77777777" w:rsidR="00622B29" w:rsidRPr="00307388" w:rsidRDefault="00622B29" w:rsidP="00307388">
            <w:pPr>
              <w:spacing w:before="80" w:after="80" w:line="200" w:lineRule="exact"/>
              <w:ind w:right="113"/>
              <w:jc w:val="center"/>
              <w:rPr>
                <w:b/>
                <w:i/>
                <w:sz w:val="16"/>
              </w:rPr>
            </w:pPr>
            <w:r w:rsidRPr="00307388">
              <w:rPr>
                <w:b/>
                <w:i/>
                <w:sz w:val="16"/>
              </w:rPr>
              <w:t>Pneumatiques de la classe C 2</w:t>
            </w:r>
          </w:p>
        </w:tc>
      </w:tr>
      <w:tr w:rsidR="00307388" w:rsidRPr="00307388" w14:paraId="3FB0F7C2" w14:textId="77777777" w:rsidTr="00D96A55">
        <w:trPr>
          <w:trHeight w:hRule="exact" w:val="101"/>
        </w:trPr>
        <w:tc>
          <w:tcPr>
            <w:tcW w:w="3138" w:type="dxa"/>
            <w:tcBorders>
              <w:top w:val="single" w:sz="12" w:space="0" w:color="auto"/>
              <w:bottom w:val="nil"/>
            </w:tcBorders>
            <w:shd w:val="clear" w:color="auto" w:fill="auto"/>
          </w:tcPr>
          <w:p w14:paraId="34AA01D6" w14:textId="77777777" w:rsidR="00307388" w:rsidRPr="00307388" w:rsidRDefault="00307388" w:rsidP="00307388">
            <w:pPr>
              <w:spacing w:before="40" w:after="120"/>
              <w:ind w:right="113"/>
              <w:jc w:val="center"/>
              <w:rPr>
                <w:b/>
              </w:rPr>
            </w:pPr>
          </w:p>
        </w:tc>
        <w:tc>
          <w:tcPr>
            <w:tcW w:w="3136" w:type="dxa"/>
            <w:tcBorders>
              <w:top w:val="single" w:sz="12" w:space="0" w:color="auto"/>
              <w:bottom w:val="nil"/>
            </w:tcBorders>
            <w:shd w:val="clear" w:color="auto" w:fill="auto"/>
          </w:tcPr>
          <w:p w14:paraId="791542CF" w14:textId="77777777" w:rsidR="00307388" w:rsidRPr="00307388" w:rsidRDefault="00307388" w:rsidP="00307388">
            <w:pPr>
              <w:spacing w:before="40" w:after="120"/>
              <w:ind w:right="113"/>
              <w:jc w:val="center"/>
              <w:rPr>
                <w:b/>
              </w:rPr>
            </w:pPr>
          </w:p>
        </w:tc>
      </w:tr>
      <w:tr w:rsidR="00622B29" w:rsidRPr="00307388" w14:paraId="4FEE25D2" w14:textId="77777777" w:rsidTr="0083526B">
        <w:trPr>
          <w:trHeight w:val="360"/>
        </w:trPr>
        <w:tc>
          <w:tcPr>
            <w:tcW w:w="3138" w:type="dxa"/>
            <w:tcBorders>
              <w:top w:val="nil"/>
              <w:bottom w:val="single" w:sz="12" w:space="0" w:color="auto"/>
            </w:tcBorders>
            <w:shd w:val="clear" w:color="auto" w:fill="auto"/>
          </w:tcPr>
          <w:p w14:paraId="031DB15C" w14:textId="77777777" w:rsidR="00622B29" w:rsidRPr="00307388" w:rsidRDefault="00622B29" w:rsidP="00307388">
            <w:pPr>
              <w:spacing w:before="40" w:after="120"/>
              <w:ind w:right="113"/>
              <w:jc w:val="center"/>
              <w:rPr>
                <w:b/>
              </w:rPr>
            </w:pPr>
            <w:r w:rsidRPr="00307388">
              <w:rPr>
                <w:b/>
              </w:rPr>
              <w:t>SRTT14 ou SRTT16</w:t>
            </w:r>
          </w:p>
        </w:tc>
        <w:tc>
          <w:tcPr>
            <w:tcW w:w="3136" w:type="dxa"/>
            <w:tcBorders>
              <w:top w:val="nil"/>
              <w:bottom w:val="single" w:sz="12" w:space="0" w:color="auto"/>
            </w:tcBorders>
            <w:shd w:val="clear" w:color="auto" w:fill="auto"/>
          </w:tcPr>
          <w:p w14:paraId="2529CEC5" w14:textId="77777777" w:rsidR="00622B29" w:rsidRPr="00307388" w:rsidRDefault="00622B29" w:rsidP="00307388">
            <w:pPr>
              <w:spacing w:before="40" w:after="120"/>
              <w:ind w:right="113"/>
              <w:jc w:val="center"/>
              <w:rPr>
                <w:b/>
              </w:rPr>
            </w:pPr>
            <w:r w:rsidRPr="00307388">
              <w:rPr>
                <w:b/>
              </w:rPr>
              <w:t>SRTT16C</w:t>
            </w:r>
          </w:p>
        </w:tc>
      </w:tr>
    </w:tbl>
    <w:p w14:paraId="7E2DDA5A" w14:textId="77777777" w:rsidR="00622B29" w:rsidRPr="00622B29" w:rsidRDefault="00307388" w:rsidP="00622B29">
      <w:pPr>
        <w:pStyle w:val="SingleTxtG"/>
      </w:pPr>
      <w:r>
        <w:t> »</w:t>
      </w:r>
      <w:bookmarkStart w:id="11" w:name="_GoBack"/>
      <w:bookmarkEnd w:id="11"/>
    </w:p>
    <w:p w14:paraId="401EB292" w14:textId="77777777" w:rsidR="00622B29" w:rsidRPr="00622B29" w:rsidRDefault="00622B29" w:rsidP="00622B29">
      <w:pPr>
        <w:pStyle w:val="SingleTxtG"/>
      </w:pPr>
      <w:r w:rsidRPr="00622B29">
        <w:rPr>
          <w:i/>
          <w:iCs/>
        </w:rPr>
        <w:t>Paragraphe 3.4.1.3</w:t>
      </w:r>
      <w:r w:rsidRPr="00622B29">
        <w:t>, lire</w:t>
      </w:r>
      <w:r w:rsidR="00307388">
        <w:t> </w:t>
      </w:r>
      <w:r w:rsidRPr="00622B29">
        <w:t>:</w:t>
      </w:r>
    </w:p>
    <w:p w14:paraId="74B558E3" w14:textId="77777777" w:rsidR="00622B29" w:rsidRPr="00622B29" w:rsidRDefault="00307388" w:rsidP="00307388">
      <w:pPr>
        <w:pStyle w:val="SingleTxtG"/>
        <w:ind w:left="2268" w:hanging="1134"/>
      </w:pPr>
      <w:r>
        <w:t>« </w:t>
      </w:r>
      <w:r w:rsidR="00622B29" w:rsidRPr="00622B29">
        <w:t>3.4.1.3</w:t>
      </w:r>
      <w:r w:rsidR="00622B29" w:rsidRPr="00622B29">
        <w:tab/>
        <w:t xml:space="preserve">L’indice d’adhérence sur neige (SG) d’un pneumatique à contrôler </w:t>
      </w:r>
      <w:proofErr w:type="spellStart"/>
      <w:r w:rsidR="00622B29" w:rsidRPr="00622B29">
        <w:t>Tn</w:t>
      </w:r>
      <w:proofErr w:type="spellEnd"/>
      <w:r w:rsidR="00622B29" w:rsidRPr="00622B29">
        <w:t xml:space="preserve"> s’obtient </w:t>
      </w:r>
      <w:r w:rsidR="00622B29" w:rsidRPr="00145973">
        <w:rPr>
          <w:strike/>
        </w:rPr>
        <w:t>en divisant</w:t>
      </w:r>
      <w:r w:rsidR="00622B29" w:rsidRPr="00622B29">
        <w:t xml:space="preserve"> </w:t>
      </w:r>
      <w:r w:rsidR="00622B29" w:rsidRPr="00145973">
        <w:rPr>
          <w:b/>
        </w:rPr>
        <w:t>à partir de</w:t>
      </w:r>
      <w:r w:rsidR="00622B29" w:rsidRPr="00622B29">
        <w:t xml:space="preserve"> la moyenne arithmétique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m:rPr>
                    <m:sty m:val="p"/>
                  </m:rPr>
                  <w:rPr>
                    <w:rFonts w:ascii="Cambria Math" w:hAnsi="Cambria Math"/>
                  </w:rPr>
                  <m:t>Tn</m:t>
                </m:r>
              </m:sub>
            </m:sSub>
          </m:e>
        </m:acc>
      </m:oMath>
      <w:r w:rsidR="00622B29" w:rsidRPr="00622B29">
        <w:t xml:space="preserve"> de la </w:t>
      </w:r>
      <w:proofErr w:type="spellStart"/>
      <w:r w:rsidR="00622B29" w:rsidRPr="00622B29">
        <w:t>dmr</w:t>
      </w:r>
      <w:proofErr w:type="spellEnd"/>
      <w:r w:rsidR="00622B29" w:rsidRPr="00622B29">
        <w:t xml:space="preserve"> du pneumatique </w:t>
      </w:r>
      <w:proofErr w:type="spellStart"/>
      <w:r w:rsidR="00622B29" w:rsidRPr="00622B29">
        <w:t>Tn</w:t>
      </w:r>
      <w:proofErr w:type="spellEnd"/>
      <w:r w:rsidR="00622B29" w:rsidRPr="00622B29">
        <w:t xml:space="preserve"> </w:t>
      </w:r>
      <w:r w:rsidR="00622B29" w:rsidRPr="00145973">
        <w:rPr>
          <w:strike/>
        </w:rPr>
        <w:t xml:space="preserve">par </w:t>
      </w:r>
      <w:r w:rsidR="00622B29" w:rsidRPr="00145973">
        <w:rPr>
          <w:b/>
        </w:rPr>
        <w:t>et de</w:t>
      </w:r>
      <w:r w:rsidR="00622B29" w:rsidRPr="00622B29">
        <w:t xml:space="preserve"> la moyenne pondérée applicable </w:t>
      </w:r>
      <w:proofErr w:type="spellStart"/>
      <w:r w:rsidR="00622B29" w:rsidRPr="00622B29">
        <w:rPr>
          <w:i/>
        </w:rPr>
        <w:t>wa</w:t>
      </w:r>
      <w:r w:rsidR="00622B29" w:rsidRPr="00622B29">
        <w:rPr>
          <w:vertAlign w:val="subscript"/>
        </w:rPr>
        <w:t>SRTT</w:t>
      </w:r>
      <w:proofErr w:type="spellEnd"/>
      <w:r w:rsidR="00622B29" w:rsidRPr="00622B29">
        <w:t xml:space="preserve">  du SRTT</w:t>
      </w:r>
      <w:r w:rsidR="00622B29" w:rsidRPr="00145973">
        <w:rPr>
          <w:b/>
        </w:rPr>
        <w:t>, comme suit</w:t>
      </w:r>
      <w:r>
        <w:t> </w:t>
      </w:r>
      <w:r w:rsidR="00622B29" w:rsidRPr="00622B29">
        <w:t xml:space="preserve">: </w:t>
      </w:r>
    </w:p>
    <w:p w14:paraId="6C1FF21A" w14:textId="77777777" w:rsidR="00622B29" w:rsidRPr="00F64BAE" w:rsidRDefault="00622B29" w:rsidP="00622B29">
      <w:pPr>
        <w:pStyle w:val="SingleTxtG"/>
        <w:rPr>
          <w:strike/>
        </w:rPr>
      </w:pPr>
      <m:oMathPara>
        <m:oMath>
          <m:r>
            <w:rPr>
              <w:rFonts w:ascii="Cambria Math" w:hAnsi="Cambria Math"/>
              <w:strike/>
            </w:rPr>
            <m:t>SG</m:t>
          </m:r>
          <m:d>
            <m:dPr>
              <m:ctrlPr>
                <w:rPr>
                  <w:rFonts w:ascii="Cambria Math" w:hAnsi="Cambria Math"/>
                  <w:i/>
                  <w:strike/>
                </w:rPr>
              </m:ctrlPr>
            </m:dPr>
            <m:e>
              <m:r>
                <m:rPr>
                  <m:sty m:val="p"/>
                </m:rPr>
                <w:rPr>
                  <w:rFonts w:ascii="Cambria Math" w:hAnsi="Cambria Math"/>
                  <w:strike/>
                </w:rPr>
                <m:t>Tn</m:t>
              </m:r>
            </m:e>
          </m:d>
          <m:r>
            <w:rPr>
              <w:rFonts w:ascii="Cambria Math" w:hAnsi="Cambria Math"/>
              <w:strike/>
            </w:rPr>
            <m:t>=</m:t>
          </m:r>
          <m:f>
            <m:fPr>
              <m:ctrlPr>
                <w:rPr>
                  <w:rFonts w:ascii="Cambria Math" w:hAnsi="Cambria Math"/>
                  <w:i/>
                  <w:strike/>
                </w:rPr>
              </m:ctrlPr>
            </m:fPr>
            <m:num>
              <m:acc>
                <m:accPr>
                  <m:chr m:val="̅"/>
                  <m:ctrlPr>
                    <w:rPr>
                      <w:rFonts w:ascii="Cambria Math" w:hAnsi="Cambria Math"/>
                      <w:i/>
                      <w:strike/>
                    </w:rPr>
                  </m:ctrlPr>
                </m:accPr>
                <m:e>
                  <m:sSub>
                    <m:sSubPr>
                      <m:ctrlPr>
                        <w:rPr>
                          <w:rFonts w:ascii="Cambria Math" w:hAnsi="Cambria Math"/>
                          <w:i/>
                          <w:strike/>
                        </w:rPr>
                      </m:ctrlPr>
                    </m:sSubPr>
                    <m:e>
                      <m:r>
                        <w:rPr>
                          <w:rFonts w:ascii="Cambria Math" w:hAnsi="Cambria Math"/>
                          <w:strike/>
                        </w:rPr>
                        <m:t>a</m:t>
                      </m:r>
                    </m:e>
                    <m:sub>
                      <m:r>
                        <m:rPr>
                          <m:sty m:val="p"/>
                        </m:rPr>
                        <w:rPr>
                          <w:rFonts w:ascii="Cambria Math" w:hAnsi="Cambria Math"/>
                          <w:strike/>
                        </w:rPr>
                        <m:t>Tn</m:t>
                      </m:r>
                    </m:sub>
                  </m:sSub>
                </m:e>
              </m:acc>
            </m:num>
            <m:den>
              <m:sSub>
                <m:sSubPr>
                  <m:ctrlPr>
                    <w:rPr>
                      <w:rFonts w:ascii="Cambria Math" w:hAnsi="Cambria Math"/>
                      <w:i/>
                      <w:strike/>
                    </w:rPr>
                  </m:ctrlPr>
                </m:sSubPr>
                <m:e>
                  <m:r>
                    <w:rPr>
                      <w:rFonts w:ascii="Cambria Math" w:hAnsi="Cambria Math"/>
                      <w:strike/>
                    </w:rPr>
                    <m:t>wa</m:t>
                  </m:r>
                </m:e>
                <m:sub>
                  <m:r>
                    <m:rPr>
                      <m:sty m:val="p"/>
                    </m:rPr>
                    <w:rPr>
                      <w:rFonts w:ascii="Cambria Math" w:hAnsi="Cambria Math"/>
                      <w:strike/>
                    </w:rPr>
                    <m:t>SRTT</m:t>
                  </m:r>
                </m:sub>
              </m:sSub>
            </m:den>
          </m:f>
        </m:oMath>
      </m:oMathPara>
    </w:p>
    <w:p w14:paraId="2097B02E" w14:textId="77777777" w:rsidR="00622B29" w:rsidRPr="00622B29" w:rsidRDefault="00622B29" w:rsidP="00622B29">
      <w:pPr>
        <w:pStyle w:val="SingleTxtG"/>
      </w:pPr>
      <m:oMathPara>
        <m:oMath>
          <m:r>
            <m:rPr>
              <m:sty m:val="bi"/>
            </m:rPr>
            <w:rPr>
              <w:rFonts w:ascii="Cambria Math" w:hAnsi="Cambria Math"/>
            </w:rPr>
            <m:t>SG</m:t>
          </m:r>
          <m:d>
            <m:dPr>
              <m:ctrlPr>
                <w:rPr>
                  <w:rFonts w:ascii="Cambria Math" w:hAnsi="Cambria Math"/>
                  <w:i/>
                </w:rPr>
              </m:ctrlPr>
            </m:dPr>
            <m:e>
              <m:r>
                <m:rPr>
                  <m:sty m:val="b"/>
                </m:rPr>
                <w:rPr>
                  <w:rFonts w:ascii="Cambria Math" w:hAnsi="Cambria Math"/>
                </w:rPr>
                <m:t>Tn</m:t>
              </m:r>
            </m:e>
          </m:d>
          <m:r>
            <w:rPr>
              <w:rFonts w:ascii="Cambria Math" w:hAnsi="Cambria Math"/>
            </w:rPr>
            <m:t>=</m:t>
          </m:r>
          <m:r>
            <m:rPr>
              <m:sty m:val="bi"/>
            </m:rPr>
            <w:rPr>
              <w:rFonts w:ascii="Cambria Math" w:hAnsi="Cambria Math"/>
            </w:rPr>
            <m:t>f</m:t>
          </m:r>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i/>
                    </w:rPr>
                  </m:ctrlPr>
                </m:sSubPr>
                <m:e>
                  <m:r>
                    <m:rPr>
                      <m:sty m:val="bi"/>
                    </m:rPr>
                    <w:rPr>
                      <w:rFonts w:ascii="Cambria Math" w:hAnsi="Cambria Math"/>
                    </w:rPr>
                    <m:t>wa</m:t>
                  </m:r>
                </m:e>
                <m:sub>
                  <m:r>
                    <m:rPr>
                      <m:sty m:val="b"/>
                    </m:rPr>
                    <w:rPr>
                      <w:rFonts w:ascii="Cambria Math" w:hAnsi="Cambria Math"/>
                    </w:rPr>
                    <m:t>SRTT</m:t>
                  </m:r>
                </m:sub>
              </m:sSub>
            </m:den>
          </m:f>
        </m:oMath>
      </m:oMathPara>
    </w:p>
    <w:p w14:paraId="764E9B5E" w14:textId="77777777" w:rsidR="00622B29" w:rsidRPr="00F64BAE" w:rsidRDefault="00622B29" w:rsidP="00307388">
      <w:pPr>
        <w:pStyle w:val="SingleTxtG"/>
        <w:ind w:left="2268"/>
        <w:rPr>
          <w:b/>
        </w:rPr>
      </w:pPr>
      <w:r w:rsidRPr="00F64BAE">
        <w:rPr>
          <w:b/>
        </w:rPr>
        <w:t xml:space="preserve">où </w:t>
      </w:r>
      <w:r w:rsidRPr="00F64BAE">
        <w:rPr>
          <w:b/>
          <w:i/>
          <w:iCs/>
        </w:rPr>
        <w:t xml:space="preserve">f </w:t>
      </w:r>
      <w:r w:rsidRPr="00F64BAE">
        <w:rPr>
          <w:b/>
        </w:rPr>
        <w:t>est donné par le tableau suivant :</w:t>
      </w:r>
    </w:p>
    <w:tbl>
      <w:tblPr>
        <w:tblW w:w="6179" w:type="dxa"/>
        <w:tblInd w:w="2268" w:type="dxa"/>
        <w:tblLayout w:type="fixed"/>
        <w:tblCellMar>
          <w:left w:w="0" w:type="dxa"/>
          <w:right w:w="0" w:type="dxa"/>
        </w:tblCellMar>
        <w:tblLook w:val="04A0" w:firstRow="1" w:lastRow="0" w:firstColumn="1" w:lastColumn="0" w:noHBand="0" w:noVBand="1"/>
      </w:tblPr>
      <w:tblGrid>
        <w:gridCol w:w="1701"/>
        <w:gridCol w:w="2694"/>
        <w:gridCol w:w="1784"/>
      </w:tblGrid>
      <w:tr w:rsidR="00622B29" w:rsidRPr="00307388" w14:paraId="6AA10021" w14:textId="77777777" w:rsidTr="009A3359">
        <w:trPr>
          <w:trHeight w:val="338"/>
          <w:tblHeader/>
        </w:trPr>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40AB4A01" w14:textId="77777777" w:rsidR="00622B29" w:rsidRPr="00307388" w:rsidRDefault="00622B29" w:rsidP="00307388">
            <w:pPr>
              <w:spacing w:before="80" w:after="80" w:line="200" w:lineRule="exact"/>
              <w:ind w:right="113"/>
              <w:jc w:val="center"/>
              <w:rPr>
                <w:b/>
                <w:i/>
                <w:sz w:val="16"/>
              </w:rPr>
            </w:pPr>
            <w:r w:rsidRPr="00307388">
              <w:rPr>
                <w:b/>
                <w:i/>
                <w:sz w:val="16"/>
              </w:rPr>
              <w:t>Classe de pneumatique</w:t>
            </w:r>
          </w:p>
        </w:tc>
        <w:tc>
          <w:tcPr>
            <w:tcW w:w="2694" w:type="dxa"/>
            <w:tcBorders>
              <w:top w:val="single" w:sz="4" w:space="0" w:color="auto"/>
              <w:left w:val="single" w:sz="4" w:space="0" w:color="auto"/>
              <w:bottom w:val="single" w:sz="12" w:space="0" w:color="auto"/>
              <w:right w:val="single" w:sz="4" w:space="0" w:color="auto"/>
            </w:tcBorders>
            <w:shd w:val="clear" w:color="auto" w:fill="auto"/>
            <w:vAlign w:val="bottom"/>
          </w:tcPr>
          <w:p w14:paraId="0642CEBA" w14:textId="77777777" w:rsidR="00622B29" w:rsidRPr="00307388" w:rsidRDefault="00622B29" w:rsidP="00307388">
            <w:pPr>
              <w:spacing w:before="80" w:after="80" w:line="200" w:lineRule="exact"/>
              <w:ind w:right="113"/>
              <w:jc w:val="center"/>
              <w:rPr>
                <w:b/>
                <w:i/>
                <w:sz w:val="16"/>
              </w:rPr>
            </w:pPr>
            <w:r w:rsidRPr="00307388">
              <w:rPr>
                <w:b/>
                <w:i/>
                <w:sz w:val="16"/>
              </w:rPr>
              <w:t>Pneumatique de référence</w:t>
            </w:r>
          </w:p>
        </w:tc>
        <w:tc>
          <w:tcPr>
            <w:tcW w:w="1784" w:type="dxa"/>
            <w:tcBorders>
              <w:top w:val="single" w:sz="4" w:space="0" w:color="auto"/>
              <w:left w:val="single" w:sz="4" w:space="0" w:color="auto"/>
              <w:bottom w:val="single" w:sz="12" w:space="0" w:color="auto"/>
              <w:right w:val="single" w:sz="4" w:space="0" w:color="auto"/>
            </w:tcBorders>
            <w:shd w:val="clear" w:color="auto" w:fill="auto"/>
            <w:vAlign w:val="bottom"/>
          </w:tcPr>
          <w:p w14:paraId="4C015830" w14:textId="77777777" w:rsidR="00622B29" w:rsidRPr="00307388" w:rsidRDefault="00622B29" w:rsidP="00307388">
            <w:pPr>
              <w:spacing w:before="80" w:after="80" w:line="200" w:lineRule="exact"/>
              <w:ind w:right="113"/>
              <w:jc w:val="center"/>
              <w:rPr>
                <w:b/>
                <w:i/>
                <w:sz w:val="16"/>
              </w:rPr>
            </w:pPr>
            <w:r w:rsidRPr="00307388">
              <w:rPr>
                <w:b/>
                <w:i/>
                <w:sz w:val="16"/>
              </w:rPr>
              <w:t>Coefficient f</w:t>
            </w:r>
          </w:p>
        </w:tc>
      </w:tr>
      <w:tr w:rsidR="00307388" w:rsidRPr="00307388" w14:paraId="1416372B" w14:textId="77777777" w:rsidTr="009A3359">
        <w:trPr>
          <w:trHeight w:hRule="exact" w:val="104"/>
        </w:trPr>
        <w:tc>
          <w:tcPr>
            <w:tcW w:w="1701" w:type="dxa"/>
            <w:tcBorders>
              <w:top w:val="single" w:sz="12" w:space="0" w:color="auto"/>
              <w:left w:val="single" w:sz="4" w:space="0" w:color="auto"/>
              <w:right w:val="single" w:sz="4" w:space="0" w:color="auto"/>
            </w:tcBorders>
            <w:shd w:val="clear" w:color="auto" w:fill="auto"/>
          </w:tcPr>
          <w:p w14:paraId="3D8ED1E6" w14:textId="77777777" w:rsidR="00307388" w:rsidRPr="00307388" w:rsidRDefault="00307388" w:rsidP="00307388">
            <w:pPr>
              <w:spacing w:before="40" w:after="120"/>
              <w:ind w:right="113"/>
              <w:jc w:val="center"/>
              <w:rPr>
                <w:b/>
              </w:rPr>
            </w:pPr>
          </w:p>
        </w:tc>
        <w:tc>
          <w:tcPr>
            <w:tcW w:w="2694" w:type="dxa"/>
            <w:tcBorders>
              <w:top w:val="single" w:sz="12" w:space="0" w:color="auto"/>
              <w:left w:val="single" w:sz="4" w:space="0" w:color="auto"/>
              <w:right w:val="single" w:sz="4" w:space="0" w:color="auto"/>
            </w:tcBorders>
            <w:shd w:val="clear" w:color="auto" w:fill="auto"/>
          </w:tcPr>
          <w:p w14:paraId="2B172B37" w14:textId="77777777" w:rsidR="00307388" w:rsidRPr="00307388" w:rsidRDefault="00307388" w:rsidP="00307388">
            <w:pPr>
              <w:spacing w:before="40" w:after="120"/>
              <w:ind w:right="113"/>
              <w:jc w:val="center"/>
              <w:rPr>
                <w:b/>
              </w:rPr>
            </w:pPr>
          </w:p>
        </w:tc>
        <w:tc>
          <w:tcPr>
            <w:tcW w:w="1784" w:type="dxa"/>
            <w:tcBorders>
              <w:top w:val="single" w:sz="12" w:space="0" w:color="auto"/>
              <w:left w:val="single" w:sz="4" w:space="0" w:color="auto"/>
              <w:right w:val="single" w:sz="4" w:space="0" w:color="auto"/>
            </w:tcBorders>
            <w:shd w:val="clear" w:color="auto" w:fill="auto"/>
          </w:tcPr>
          <w:p w14:paraId="32E19B79" w14:textId="77777777" w:rsidR="00307388" w:rsidRPr="00307388" w:rsidRDefault="00307388" w:rsidP="00307388">
            <w:pPr>
              <w:spacing w:before="40" w:after="120"/>
              <w:ind w:right="113"/>
              <w:jc w:val="center"/>
              <w:rPr>
                <w:b/>
              </w:rPr>
            </w:pPr>
          </w:p>
        </w:tc>
      </w:tr>
      <w:tr w:rsidR="00622B29" w:rsidRPr="00307388" w14:paraId="158308B8" w14:textId="77777777" w:rsidTr="009A3359">
        <w:trPr>
          <w:trHeight w:val="364"/>
        </w:trPr>
        <w:tc>
          <w:tcPr>
            <w:tcW w:w="1701" w:type="dxa"/>
            <w:vMerge w:val="restart"/>
            <w:tcBorders>
              <w:left w:val="single" w:sz="4" w:space="0" w:color="auto"/>
              <w:right w:val="single" w:sz="4" w:space="0" w:color="auto"/>
            </w:tcBorders>
            <w:shd w:val="clear" w:color="auto" w:fill="auto"/>
          </w:tcPr>
          <w:p w14:paraId="334F27AA" w14:textId="77777777" w:rsidR="00622B29" w:rsidRPr="00307388" w:rsidRDefault="00622B29" w:rsidP="00307388">
            <w:pPr>
              <w:spacing w:before="40" w:after="120"/>
              <w:ind w:right="113"/>
              <w:jc w:val="center"/>
              <w:rPr>
                <w:b/>
              </w:rPr>
            </w:pPr>
            <w:r w:rsidRPr="00307388">
              <w:rPr>
                <w:b/>
              </w:rPr>
              <w:t>C1</w:t>
            </w:r>
          </w:p>
        </w:tc>
        <w:tc>
          <w:tcPr>
            <w:tcW w:w="2694" w:type="dxa"/>
            <w:tcBorders>
              <w:left w:val="single" w:sz="4" w:space="0" w:color="auto"/>
              <w:bottom w:val="single" w:sz="4" w:space="0" w:color="auto"/>
              <w:right w:val="single" w:sz="4" w:space="0" w:color="auto"/>
            </w:tcBorders>
            <w:shd w:val="clear" w:color="auto" w:fill="auto"/>
          </w:tcPr>
          <w:p w14:paraId="7EB183B0" w14:textId="77777777" w:rsidR="00622B29" w:rsidRPr="00307388" w:rsidRDefault="00622B29" w:rsidP="00307388">
            <w:pPr>
              <w:spacing w:before="40" w:after="120"/>
              <w:ind w:right="113"/>
              <w:jc w:val="center"/>
              <w:rPr>
                <w:b/>
              </w:rPr>
            </w:pPr>
            <w:r w:rsidRPr="00307388">
              <w:rPr>
                <w:b/>
              </w:rPr>
              <w:t>SRTT14</w:t>
            </w:r>
          </w:p>
        </w:tc>
        <w:tc>
          <w:tcPr>
            <w:tcW w:w="1784" w:type="dxa"/>
            <w:tcBorders>
              <w:left w:val="single" w:sz="4" w:space="0" w:color="auto"/>
              <w:bottom w:val="single" w:sz="4" w:space="0" w:color="auto"/>
              <w:right w:val="single" w:sz="4" w:space="0" w:color="auto"/>
            </w:tcBorders>
            <w:shd w:val="clear" w:color="auto" w:fill="auto"/>
          </w:tcPr>
          <w:p w14:paraId="7B15FC75" w14:textId="77777777" w:rsidR="00622B29" w:rsidRPr="00307388" w:rsidRDefault="00307388" w:rsidP="00307388">
            <w:pPr>
              <w:spacing w:before="40" w:after="120"/>
              <w:ind w:right="113"/>
              <w:jc w:val="center"/>
              <w:rPr>
                <w:b/>
              </w:rPr>
            </w:pPr>
            <m:oMath>
              <m:r>
                <m:rPr>
                  <m:sty m:val="bi"/>
                </m:rPr>
                <w:rPr>
                  <w:rFonts w:ascii="Cambria Math" w:hAnsi="Cambria Math"/>
                </w:rPr>
                <m:t>f</m:t>
              </m:r>
              <m:r>
                <m:rPr>
                  <m:sty m:val="b"/>
                </m:rPr>
                <w:rPr>
                  <w:rFonts w:ascii="Cambria Math" w:hAnsi="Cambria Math"/>
                </w:rPr>
                <m:t>=1,</m:t>
              </m:r>
            </m:oMath>
            <w:r w:rsidR="00622B29" w:rsidRPr="00307388">
              <w:rPr>
                <w:b/>
              </w:rPr>
              <w:t>000</w:t>
            </w:r>
          </w:p>
        </w:tc>
      </w:tr>
      <w:tr w:rsidR="00622B29" w:rsidRPr="00307388" w14:paraId="3592BEA2" w14:textId="77777777" w:rsidTr="009A3359">
        <w:trPr>
          <w:trHeight w:val="373"/>
        </w:trPr>
        <w:tc>
          <w:tcPr>
            <w:tcW w:w="1701" w:type="dxa"/>
            <w:vMerge/>
            <w:tcBorders>
              <w:left w:val="single" w:sz="4" w:space="0" w:color="auto"/>
              <w:bottom w:val="single" w:sz="4" w:space="0" w:color="auto"/>
              <w:right w:val="single" w:sz="4" w:space="0" w:color="auto"/>
            </w:tcBorders>
            <w:shd w:val="clear" w:color="auto" w:fill="auto"/>
          </w:tcPr>
          <w:p w14:paraId="5EF24A31" w14:textId="77777777" w:rsidR="00622B29" w:rsidRPr="00307388" w:rsidRDefault="00622B29" w:rsidP="00307388">
            <w:pPr>
              <w:spacing w:before="40" w:after="120"/>
              <w:ind w:right="113"/>
              <w:jc w:val="cente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15215B" w14:textId="77777777" w:rsidR="00622B29" w:rsidRPr="00307388" w:rsidRDefault="00622B29" w:rsidP="00307388">
            <w:pPr>
              <w:spacing w:before="40" w:after="120"/>
              <w:ind w:right="113"/>
              <w:jc w:val="center"/>
              <w:rPr>
                <w:b/>
              </w:rPr>
            </w:pPr>
            <w:r w:rsidRPr="00307388">
              <w:rPr>
                <w:b/>
              </w:rPr>
              <w:t>SRTT16</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5AD5496" w14:textId="77777777" w:rsidR="00622B29" w:rsidRPr="00307388" w:rsidRDefault="00307388" w:rsidP="00307388">
            <w:pPr>
              <w:spacing w:before="40" w:after="120"/>
              <w:ind w:right="113"/>
              <w:jc w:val="center"/>
              <w:rPr>
                <w:b/>
              </w:rPr>
            </w:pPr>
            <m:oMathPara>
              <m:oMath>
                <m:r>
                  <m:rPr>
                    <m:sty m:val="bi"/>
                  </m:rPr>
                  <w:rPr>
                    <w:rFonts w:ascii="Cambria Math" w:hAnsi="Cambria Math"/>
                  </w:rPr>
                  <m:t>f</m:t>
                </m:r>
                <m:r>
                  <m:rPr>
                    <m:sty m:val="b"/>
                  </m:rPr>
                  <w:rPr>
                    <w:rFonts w:ascii="Cambria Math" w:hAnsi="Cambria Math"/>
                  </w:rPr>
                  <m:t>=0,980</m:t>
                </m:r>
              </m:oMath>
            </m:oMathPara>
          </w:p>
        </w:tc>
      </w:tr>
      <w:tr w:rsidR="00622B29" w:rsidRPr="00307388" w14:paraId="3DE08F87" w14:textId="77777777" w:rsidTr="009A3359">
        <w:trPr>
          <w:trHeight w:val="373"/>
        </w:trPr>
        <w:tc>
          <w:tcPr>
            <w:tcW w:w="1701" w:type="dxa"/>
            <w:tcBorders>
              <w:top w:val="single" w:sz="4" w:space="0" w:color="auto"/>
              <w:left w:val="single" w:sz="4" w:space="0" w:color="auto"/>
              <w:bottom w:val="single" w:sz="12" w:space="0" w:color="auto"/>
              <w:right w:val="single" w:sz="4" w:space="0" w:color="auto"/>
            </w:tcBorders>
            <w:shd w:val="clear" w:color="auto" w:fill="auto"/>
          </w:tcPr>
          <w:p w14:paraId="59A812E9" w14:textId="77777777" w:rsidR="00622B29" w:rsidRPr="00307388" w:rsidRDefault="00622B29" w:rsidP="00307388">
            <w:pPr>
              <w:spacing w:before="40" w:after="120"/>
              <w:ind w:right="113"/>
              <w:jc w:val="center"/>
              <w:rPr>
                <w:b/>
              </w:rPr>
            </w:pPr>
            <w:r w:rsidRPr="00307388">
              <w:rPr>
                <w:b/>
              </w:rPr>
              <w:t>C2</w:t>
            </w:r>
          </w:p>
        </w:tc>
        <w:tc>
          <w:tcPr>
            <w:tcW w:w="2694" w:type="dxa"/>
            <w:tcBorders>
              <w:top w:val="single" w:sz="4" w:space="0" w:color="auto"/>
              <w:left w:val="single" w:sz="4" w:space="0" w:color="auto"/>
              <w:bottom w:val="single" w:sz="12" w:space="0" w:color="auto"/>
              <w:right w:val="single" w:sz="4" w:space="0" w:color="auto"/>
            </w:tcBorders>
            <w:shd w:val="clear" w:color="auto" w:fill="auto"/>
          </w:tcPr>
          <w:p w14:paraId="1FEA481E" w14:textId="77777777" w:rsidR="00622B29" w:rsidRPr="00307388" w:rsidRDefault="00622B29" w:rsidP="00307388">
            <w:pPr>
              <w:spacing w:before="40" w:after="120"/>
              <w:ind w:right="113"/>
              <w:jc w:val="center"/>
              <w:rPr>
                <w:b/>
              </w:rPr>
            </w:pPr>
            <w:r w:rsidRPr="00307388">
              <w:rPr>
                <w:b/>
              </w:rPr>
              <w:t>SRTT16C</w:t>
            </w: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79DD67B5" w14:textId="77777777" w:rsidR="00622B29" w:rsidRPr="00307388" w:rsidRDefault="00307388" w:rsidP="00307388">
            <w:pPr>
              <w:spacing w:before="40" w:after="120"/>
              <w:ind w:right="113"/>
              <w:jc w:val="center"/>
              <w:rPr>
                <w:b/>
              </w:rPr>
            </w:pPr>
            <m:oMathPara>
              <m:oMath>
                <m:r>
                  <m:rPr>
                    <m:sty m:val="bi"/>
                  </m:rPr>
                  <w:rPr>
                    <w:rFonts w:ascii="Cambria Math" w:hAnsi="Cambria Math"/>
                  </w:rPr>
                  <m:t>f</m:t>
                </m:r>
                <m:r>
                  <m:rPr>
                    <m:sty m:val="b"/>
                  </m:rPr>
                  <w:rPr>
                    <w:rFonts w:ascii="Cambria Math" w:hAnsi="Cambria Math"/>
                  </w:rPr>
                  <m:t>=1,000</m:t>
                </m:r>
              </m:oMath>
            </m:oMathPara>
          </w:p>
        </w:tc>
      </w:tr>
    </w:tbl>
    <w:p w14:paraId="6AEF02C9" w14:textId="77777777" w:rsidR="00622B29" w:rsidRPr="00622B29" w:rsidRDefault="00FB1282" w:rsidP="00622B29">
      <w:pPr>
        <w:pStyle w:val="SingleTxtG"/>
      </w:pPr>
      <w:r>
        <w:t> »</w:t>
      </w:r>
    </w:p>
    <w:p w14:paraId="6E4AC391" w14:textId="77777777" w:rsidR="00622B29" w:rsidRPr="00622B29" w:rsidRDefault="00622B29" w:rsidP="00622B29">
      <w:pPr>
        <w:pStyle w:val="SingleTxtG"/>
      </w:pPr>
      <w:r w:rsidRPr="00622B29">
        <w:rPr>
          <w:i/>
          <w:iCs/>
        </w:rPr>
        <w:t>Paragraphe 3.4.3.1</w:t>
      </w:r>
      <w:r w:rsidRPr="00622B29">
        <w:t>, lire</w:t>
      </w:r>
      <w:r w:rsidR="00FB1282">
        <w:t> </w:t>
      </w:r>
      <w:r w:rsidRPr="00622B29">
        <w:t>:</w:t>
      </w:r>
    </w:p>
    <w:p w14:paraId="453D76E7" w14:textId="77777777" w:rsidR="00622B29" w:rsidRPr="00622B29" w:rsidRDefault="00FB1282" w:rsidP="00FB1282">
      <w:pPr>
        <w:pStyle w:val="SingleTxtG"/>
        <w:ind w:left="2268" w:hanging="1134"/>
      </w:pPr>
      <w:r>
        <w:t>« </w:t>
      </w:r>
      <w:r w:rsidR="00622B29" w:rsidRPr="00622B29">
        <w:t>3.4.3.1</w:t>
      </w:r>
      <w:r w:rsidR="00622B29" w:rsidRPr="00622B29">
        <w:tab/>
        <w:t xml:space="preserve">L’indice d’adhérence sur neige du pneumatique témoin </w:t>
      </w:r>
      <w:r w:rsidR="00622B29" w:rsidRPr="00F64BAE">
        <w:rPr>
          <w:b/>
        </w:rPr>
        <w:t>C</w:t>
      </w:r>
      <w:r w:rsidR="00622B29" w:rsidRPr="00622B29">
        <w:t xml:space="preserve"> par rapport au SRTT (SG1)</w:t>
      </w:r>
      <w:r w:rsidR="00622B29" w:rsidRPr="00F64BAE">
        <w:rPr>
          <w:b/>
        </w:rPr>
        <w:t>, calculé selon la formule</w:t>
      </w:r>
    </w:p>
    <w:p w14:paraId="6207650A" w14:textId="77777777" w:rsidR="00622B29" w:rsidRPr="00622B29" w:rsidRDefault="00622B29" w:rsidP="00622B29">
      <w:pPr>
        <w:pStyle w:val="SingleTxtG"/>
      </w:pPr>
      <m:oMathPara>
        <m:oMath>
          <m:r>
            <m:rPr>
              <m:sty m:val="bi"/>
            </m:rPr>
            <w:rPr>
              <w:rFonts w:ascii="Cambria Math" w:hAnsi="Cambria Math"/>
            </w:rPr>
            <m:t>SG</m:t>
          </m:r>
          <m:r>
            <m:rPr>
              <m:sty m:val="bi"/>
            </m:rPr>
            <w:rPr>
              <w:rFonts w:ascii="Cambria Math" w:hAnsi="Cambria Math"/>
            </w:rPr>
            <m:t>1</m:t>
          </m:r>
          <m:r>
            <w:rPr>
              <w:rFonts w:ascii="Cambria Math" w:hAnsi="Cambria Math"/>
            </w:rPr>
            <m:t>=</m:t>
          </m:r>
          <m:r>
            <m:rPr>
              <m:sty m:val="bi"/>
            </m:rPr>
            <w:rPr>
              <w:rFonts w:ascii="Cambria Math" w:hAnsi="Cambria Math"/>
            </w:rPr>
            <m:t>SG</m:t>
          </m:r>
          <m:d>
            <m:dPr>
              <m:ctrlPr>
                <w:rPr>
                  <w:rFonts w:ascii="Cambria Math" w:hAnsi="Cambria Math"/>
                  <w:i/>
                </w:rPr>
              </m:ctrlPr>
            </m:dPr>
            <m:e>
              <m:r>
                <m:rPr>
                  <m:sty m:val="b"/>
                </m:rPr>
                <w:rPr>
                  <w:rFonts w:ascii="Cambria Math" w:hAnsi="Cambria Math"/>
                </w:rPr>
                <m:t>C</m:t>
              </m:r>
            </m:e>
          </m:d>
          <m:r>
            <w:rPr>
              <w:rFonts w:ascii="Cambria Math" w:hAnsi="Cambria Math"/>
            </w:rPr>
            <m:t>=</m:t>
          </m:r>
          <m:r>
            <m:rPr>
              <m:sty m:val="bi"/>
            </m:rPr>
            <w:rPr>
              <w:rFonts w:ascii="Cambria Math" w:hAnsi="Cambria Math"/>
            </w:rPr>
            <m:t>f</m:t>
          </m:r>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a</m:t>
                      </m:r>
                    </m:e>
                    <m:sub>
                      <m:r>
                        <m:rPr>
                          <m:sty m:val="b"/>
                        </m:rPr>
                        <w:rPr>
                          <w:rFonts w:ascii="Cambria Math" w:hAnsi="Cambria Math"/>
                        </w:rPr>
                        <m:t>C</m:t>
                      </m:r>
                    </m:sub>
                  </m:sSub>
                </m:e>
              </m:acc>
            </m:num>
            <m:den>
              <m:sSub>
                <m:sSubPr>
                  <m:ctrlPr>
                    <w:rPr>
                      <w:rFonts w:ascii="Cambria Math" w:hAnsi="Cambria Math"/>
                      <w:i/>
                    </w:rPr>
                  </m:ctrlPr>
                </m:sSubPr>
                <m:e>
                  <m:r>
                    <m:rPr>
                      <m:sty m:val="bi"/>
                    </m:rPr>
                    <w:rPr>
                      <w:rFonts w:ascii="Cambria Math" w:hAnsi="Cambria Math"/>
                    </w:rPr>
                    <m:t>wa</m:t>
                  </m:r>
                </m:e>
                <m:sub>
                  <m:r>
                    <m:rPr>
                      <m:sty m:val="b"/>
                    </m:rPr>
                    <w:rPr>
                      <w:rFonts w:ascii="Cambria Math" w:hAnsi="Cambria Math"/>
                    </w:rPr>
                    <m:t>SRTT</m:t>
                  </m:r>
                </m:sub>
              </m:sSub>
            </m:den>
          </m:f>
        </m:oMath>
      </m:oMathPara>
    </w:p>
    <w:p w14:paraId="50BC2AC4" w14:textId="77777777" w:rsidR="00622B29" w:rsidRPr="00622B29" w:rsidRDefault="00622B29" w:rsidP="00FB1282">
      <w:pPr>
        <w:pStyle w:val="SingleTxtG"/>
        <w:ind w:left="2268"/>
      </w:pPr>
      <w:r w:rsidRPr="00F64BAE">
        <w:rPr>
          <w:b/>
        </w:rPr>
        <w:t xml:space="preserve">où </w:t>
      </w:r>
      <w:r w:rsidRPr="00F64BAE">
        <w:rPr>
          <w:b/>
          <w:i/>
          <w:iCs/>
        </w:rPr>
        <w:t>f</w:t>
      </w:r>
      <w:r w:rsidRPr="00F64BAE">
        <w:rPr>
          <w:b/>
        </w:rPr>
        <w:t xml:space="preserve"> est donné au paragraphe 3.4.1.3, </w:t>
      </w:r>
      <w:r w:rsidRPr="00622B29">
        <w:t xml:space="preserve">et celui du pneumatique à contrôler </w:t>
      </w:r>
      <w:proofErr w:type="spellStart"/>
      <w:r w:rsidRPr="00F64BAE">
        <w:rPr>
          <w:b/>
        </w:rPr>
        <w:t>Tn</w:t>
      </w:r>
      <w:proofErr w:type="spellEnd"/>
      <w:r w:rsidRPr="00622B29">
        <w:t xml:space="preserve"> par rapport au pneumatique témoin (SG2)</w:t>
      </w:r>
      <w:r w:rsidRPr="00F64BAE">
        <w:rPr>
          <w:b/>
        </w:rPr>
        <w:t>, calculé selon la formule</w:t>
      </w:r>
    </w:p>
    <w:p w14:paraId="5DC17DE3" w14:textId="77777777" w:rsidR="00622B29" w:rsidRPr="00622B29" w:rsidRDefault="00622B29" w:rsidP="00FB1282">
      <w:pPr>
        <w:pStyle w:val="SingleTxtG"/>
        <w:ind w:left="2268"/>
        <w:jc w:val="center"/>
      </w:pPr>
      <m:oMathPara>
        <m:oMath>
          <m:r>
            <m:rPr>
              <m:sty m:val="bi"/>
            </m:rPr>
            <w:rPr>
              <w:rFonts w:ascii="Cambria Math" w:hAnsi="Cambria Math"/>
            </w:rPr>
            <m:t>SG</m:t>
          </m:r>
          <m:r>
            <m:rPr>
              <m:sty m:val="bi"/>
            </m:rPr>
            <w:rPr>
              <w:rFonts w:ascii="Cambria Math" w:hAnsi="Cambria Math"/>
            </w:rPr>
            <m:t>2</m:t>
          </m:r>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i/>
                    </w:rPr>
                  </m:ctrlPr>
                </m:sSubPr>
                <m:e>
                  <m:r>
                    <m:rPr>
                      <m:sty m:val="bi"/>
                    </m:rPr>
                    <w:rPr>
                      <w:rFonts w:ascii="Cambria Math" w:hAnsi="Cambria Math"/>
                    </w:rPr>
                    <m:t>wa</m:t>
                  </m:r>
                </m:e>
                <m:sub>
                  <m:r>
                    <m:rPr>
                      <m:sty m:val="b"/>
                    </m:rPr>
                    <w:rPr>
                      <w:rFonts w:ascii="Cambria Math" w:hAnsi="Cambria Math"/>
                    </w:rPr>
                    <m:t>C</m:t>
                  </m:r>
                </m:sub>
              </m:sSub>
            </m:den>
          </m:f>
        </m:oMath>
      </m:oMathPara>
    </w:p>
    <w:p w14:paraId="630761C0" w14:textId="77777777" w:rsidR="00622B29" w:rsidRPr="00622B29" w:rsidRDefault="00622B29" w:rsidP="00FB1282">
      <w:pPr>
        <w:pStyle w:val="SingleTxtG"/>
        <w:ind w:left="2268"/>
      </w:pPr>
      <w:r w:rsidRPr="00F64BAE">
        <w:rPr>
          <w:b/>
        </w:rPr>
        <w:t xml:space="preserve">où </w:t>
      </w: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oMath>
      <w:r w:rsidRPr="00F64BAE">
        <w:rPr>
          <w:b/>
        </w:rPr>
        <w:t xml:space="preserve"> est la moyenne pondérée applicable du pneumatique témoin,</w:t>
      </w:r>
      <w:r w:rsidRPr="00622B29">
        <w:t xml:space="preserve"> doivent être déterminés au moyen de la procédure décrite aux paragraphes</w:t>
      </w:r>
      <w:r w:rsidR="00FB1282">
        <w:t> </w:t>
      </w:r>
      <w:r w:rsidRPr="00622B29">
        <w:t>3.1 à 3.4.2 ci-dessus.</w:t>
      </w:r>
    </w:p>
    <w:p w14:paraId="2D3DFF5B" w14:textId="77777777" w:rsidR="00622B29" w:rsidRPr="00622B29" w:rsidRDefault="00622B29" w:rsidP="00FB1282">
      <w:pPr>
        <w:pStyle w:val="SingleTxtG"/>
        <w:ind w:left="2268"/>
      </w:pPr>
      <w:r w:rsidRPr="00622B29">
        <w:t xml:space="preserve">L’indice d’adhérence sur neige du pneumatique à éprouver par rapport au SRTT, </w:t>
      </w:r>
      <w:r w:rsidRPr="00B13F30">
        <w:rPr>
          <w:b/>
        </w:rPr>
        <w:t>SG(</w:t>
      </w:r>
      <w:proofErr w:type="spellStart"/>
      <w:r w:rsidRPr="00B13F30">
        <w:rPr>
          <w:b/>
        </w:rPr>
        <w:t>Tn</w:t>
      </w:r>
      <w:proofErr w:type="spellEnd"/>
      <w:r w:rsidRPr="00B13F30">
        <w:rPr>
          <w:b/>
        </w:rPr>
        <w:t>)</w:t>
      </w:r>
      <w:r w:rsidRPr="00622B29">
        <w:t xml:space="preserve">, est </w:t>
      </w:r>
      <w:r w:rsidRPr="00B13F30">
        <w:rPr>
          <w:strike/>
        </w:rPr>
        <w:t>le produit des indices SG1 et SG2 (SG1 × SG2)</w:t>
      </w:r>
      <w:r w:rsidRPr="00622B29">
        <w:t xml:space="preserve">. </w:t>
      </w:r>
      <w:r w:rsidRPr="00B13F30">
        <w:rPr>
          <w:b/>
        </w:rPr>
        <w:t>donné par la formule</w:t>
      </w:r>
    </w:p>
    <w:p w14:paraId="3E7A2285" w14:textId="77777777" w:rsidR="00622B29" w:rsidRPr="00622B29" w:rsidRDefault="00622B29" w:rsidP="00FB1282">
      <w:pPr>
        <w:pStyle w:val="SingleTxtG"/>
        <w:ind w:left="2268"/>
        <w:jc w:val="center"/>
      </w:pPr>
      <m:oMath>
        <m:r>
          <m:rPr>
            <m:sty m:val="bi"/>
          </m:rPr>
          <w:rPr>
            <w:rFonts w:ascii="Cambria Math" w:hAnsi="Cambria Math"/>
          </w:rPr>
          <m:t>SG</m:t>
        </m:r>
        <m:r>
          <w:rPr>
            <w:rFonts w:ascii="Cambria Math" w:hAnsi="Cambria Math"/>
          </w:rPr>
          <m:t>(</m:t>
        </m:r>
        <m:r>
          <m:rPr>
            <m:sty m:val="bi"/>
          </m:rPr>
          <w:rPr>
            <w:rFonts w:ascii="Cambria Math" w:hAnsi="Cambria Math"/>
          </w:rPr>
          <m:t>Tn</m:t>
        </m:r>
        <m:r>
          <w:rPr>
            <w:rFonts w:ascii="Cambria Math" w:hAnsi="Cambria Math"/>
          </w:rPr>
          <m:t>)=</m:t>
        </m:r>
        <m:r>
          <m:rPr>
            <m:sty m:val="bi"/>
          </m:rPr>
          <w:rPr>
            <w:rFonts w:ascii="Cambria Math" w:hAnsi="Cambria Math"/>
          </w:rPr>
          <m:t>SG</m:t>
        </m:r>
        <m:r>
          <m:rPr>
            <m:sty m:val="bi"/>
          </m:rPr>
          <w:rPr>
            <w:rFonts w:ascii="Cambria Math" w:hAnsi="Cambria Math"/>
          </w:rPr>
          <m:t>1</m:t>
        </m:r>
        <m:r>
          <w:rPr>
            <w:rFonts w:ascii="Cambria Math" w:hAnsi="Cambria Math"/>
          </w:rPr>
          <m:t>∙</m:t>
        </m:r>
        <m:r>
          <m:rPr>
            <m:sty m:val="bi"/>
          </m:rPr>
          <w:rPr>
            <w:rFonts w:ascii="Cambria Math" w:hAnsi="Cambria Math"/>
          </w:rPr>
          <m:t>SG</m:t>
        </m:r>
        <m:r>
          <m:rPr>
            <m:sty m:val="bi"/>
          </m:rPr>
          <w:rPr>
            <w:rFonts w:ascii="Cambria Math" w:hAnsi="Cambria Math"/>
          </w:rPr>
          <m:t>2</m:t>
        </m:r>
      </m:oMath>
      <w:r w:rsidRPr="00622B29">
        <w:t>.</w:t>
      </w:r>
      <w:r w:rsidR="00FB1282">
        <w:t> »</w:t>
      </w:r>
      <w:r w:rsidRPr="00622B29">
        <w:t>.</w:t>
      </w:r>
    </w:p>
    <w:p w14:paraId="6E8B27B3" w14:textId="77777777" w:rsidR="00622B29" w:rsidRPr="00622B29" w:rsidRDefault="00622B29" w:rsidP="00FB1282">
      <w:pPr>
        <w:pStyle w:val="SingleTxtG"/>
        <w:keepNext/>
      </w:pPr>
      <w:r w:rsidRPr="00622B29">
        <w:rPr>
          <w:i/>
          <w:iCs/>
        </w:rPr>
        <w:lastRenderedPageBreak/>
        <w:t>Annexe 7, appendice 2, Première partie</w:t>
      </w:r>
      <w:r w:rsidR="00FB1282">
        <w:rPr>
          <w:i/>
          <w:iCs/>
        </w:rPr>
        <w:t> </w:t>
      </w:r>
      <w:r w:rsidRPr="00622B29">
        <w:rPr>
          <w:i/>
          <w:iCs/>
        </w:rPr>
        <w:t>: Procès-verbal</w:t>
      </w:r>
      <w:r w:rsidRPr="00622B29">
        <w:t>, lire</w:t>
      </w:r>
      <w:r w:rsidR="00FB1282">
        <w:t> </w:t>
      </w:r>
      <w:r w:rsidRPr="00622B29">
        <w:t>:</w:t>
      </w:r>
    </w:p>
    <w:p w14:paraId="6B7EE0A1" w14:textId="77777777" w:rsidR="00622B29" w:rsidRPr="00622B29" w:rsidRDefault="00FB1282" w:rsidP="00FB1282">
      <w:pPr>
        <w:pStyle w:val="SingleTxtG"/>
        <w:keepNext/>
      </w:pPr>
      <w:r>
        <w:t>« </w:t>
      </w:r>
      <w:r w:rsidR="00622B29" w:rsidRPr="00622B29">
        <w:t>…</w:t>
      </w:r>
    </w:p>
    <w:p w14:paraId="7D7C8230" w14:textId="77777777" w:rsidR="00622B29" w:rsidRPr="00622B29" w:rsidRDefault="00622B29" w:rsidP="00FB1282">
      <w:pPr>
        <w:pStyle w:val="SingleTxtG"/>
        <w:keepNext/>
      </w:pPr>
      <w:r w:rsidRPr="00622B29">
        <w:t>5.</w:t>
      </w:r>
      <w:r w:rsidRPr="00622B29">
        <w:tab/>
        <w:t>Classe de pneumatique</w:t>
      </w:r>
      <w:r w:rsidR="004F638D">
        <w:t> </w:t>
      </w:r>
      <w:r w:rsidRPr="00622B29">
        <w:t xml:space="preserve">: </w:t>
      </w:r>
      <w:r w:rsidR="00512917">
        <w:rPr>
          <w:rFonts w:eastAsia="Times New Roman"/>
          <w:color w:val="000000"/>
        </w:rPr>
        <w:t>…………………………………………………………</w:t>
      </w:r>
    </w:p>
    <w:p w14:paraId="2C9B5576" w14:textId="77777777" w:rsidR="00622B29" w:rsidRPr="00622B29" w:rsidRDefault="00622B29" w:rsidP="00FB1282">
      <w:pPr>
        <w:pStyle w:val="SingleTxtG"/>
        <w:keepNext/>
      </w:pPr>
      <w:r w:rsidRPr="00622B29">
        <w:t>6.</w:t>
      </w:r>
      <w:r w:rsidRPr="00622B29">
        <w:tab/>
        <w:t>Catégorie d’utilisation</w:t>
      </w:r>
      <w:r w:rsidR="004F638D">
        <w:t> </w:t>
      </w:r>
      <w:r w:rsidRPr="00622B29">
        <w:t>:</w:t>
      </w:r>
      <w:r w:rsidR="00512917">
        <w:t>……………………………………………………………</w:t>
      </w:r>
    </w:p>
    <w:p w14:paraId="5E2A6A9B" w14:textId="77777777" w:rsidR="00622B29" w:rsidRPr="00622B29" w:rsidRDefault="00622B29" w:rsidP="00AF59FF">
      <w:pPr>
        <w:pStyle w:val="SingleTxtG"/>
        <w:keepNext/>
        <w:ind w:left="1701" w:hanging="567"/>
      </w:pPr>
      <w:r w:rsidRPr="00622B29">
        <w:t>7.</w:t>
      </w:r>
      <w:r w:rsidRPr="00622B29">
        <w:tab/>
        <w:t xml:space="preserve">Indice d’adhérence sur neige </w:t>
      </w:r>
      <w:r w:rsidRPr="002C0ACD">
        <w:rPr>
          <w:b/>
        </w:rPr>
        <w:t>SG</w:t>
      </w:r>
      <w:r w:rsidRPr="00622B29">
        <w:t xml:space="preserve"> </w:t>
      </w:r>
      <w:r w:rsidRPr="003420B2">
        <w:rPr>
          <w:strike/>
        </w:rPr>
        <w:t>par rapport au SRTT, déterminé conformément au paragraphe 6.4.1.1</w:t>
      </w:r>
    </w:p>
    <w:p w14:paraId="1C4894E0" w14:textId="77777777" w:rsidR="00622B29" w:rsidRPr="00622B29" w:rsidRDefault="00622B29" w:rsidP="00622B29">
      <w:pPr>
        <w:pStyle w:val="SingleTxtG"/>
      </w:pPr>
      <w:r w:rsidRPr="00622B29">
        <w:t>7.1</w:t>
      </w:r>
      <w:r w:rsidRPr="00622B29">
        <w:tab/>
        <w:t>Procédure d’essai et SRTT utilisés</w:t>
      </w:r>
      <w:r w:rsidR="004F638D">
        <w:t> </w:t>
      </w:r>
      <w:r w:rsidRPr="00622B29">
        <w:t xml:space="preserve">: </w:t>
      </w:r>
      <w:r w:rsidR="00512917">
        <w:t>……………………………………………….</w:t>
      </w:r>
    </w:p>
    <w:p w14:paraId="278423AD" w14:textId="77777777" w:rsidR="00622B29" w:rsidRPr="00622B29" w:rsidRDefault="00622B29" w:rsidP="00622B29">
      <w:pPr>
        <w:pStyle w:val="SingleTxtG"/>
      </w:pPr>
      <w:r w:rsidRPr="00622B29">
        <w:t>8.</w:t>
      </w:r>
      <w:r w:rsidRPr="00622B29">
        <w:tab/>
        <w:t>Commentaires éventuels</w:t>
      </w:r>
      <w:r w:rsidR="004F638D">
        <w:t> </w:t>
      </w:r>
      <w:r w:rsidRPr="00622B29">
        <w:t xml:space="preserve">: </w:t>
      </w:r>
      <w:r w:rsidR="00512917">
        <w:t>………………………………………………………….</w:t>
      </w:r>
    </w:p>
    <w:p w14:paraId="13597692" w14:textId="77777777" w:rsidR="00622B29" w:rsidRPr="00622B29" w:rsidRDefault="00622B29" w:rsidP="00622B29">
      <w:pPr>
        <w:pStyle w:val="SingleTxtG"/>
      </w:pPr>
      <w:r w:rsidRPr="00622B29">
        <w:t>…</w:t>
      </w:r>
      <w:r w:rsidR="004F638D">
        <w:t> »</w:t>
      </w:r>
    </w:p>
    <w:p w14:paraId="6A2686E5" w14:textId="77777777" w:rsidR="00622B29" w:rsidRPr="00622B29" w:rsidRDefault="00622B29" w:rsidP="00622B29">
      <w:pPr>
        <w:pStyle w:val="SingleTxtG"/>
      </w:pPr>
      <w:r w:rsidRPr="00622B29">
        <w:rPr>
          <w:i/>
          <w:iCs/>
        </w:rPr>
        <w:t>Annexe 7, appendice 2, Deuxième partie</w:t>
      </w:r>
      <w:r w:rsidR="00B860FA">
        <w:rPr>
          <w:i/>
          <w:iCs/>
        </w:rPr>
        <w:t> </w:t>
      </w:r>
      <w:r w:rsidRPr="00622B29">
        <w:rPr>
          <w:i/>
          <w:iCs/>
        </w:rPr>
        <w:t>: Données relatives à l’essai</w:t>
      </w:r>
      <w:r w:rsidRPr="00622B29">
        <w:t>, lire</w:t>
      </w:r>
      <w:r w:rsidR="00B860FA">
        <w:t> </w:t>
      </w:r>
      <w:r w:rsidRPr="00622B29">
        <w:t>:</w:t>
      </w:r>
    </w:p>
    <w:p w14:paraId="6311E072" w14:textId="77777777" w:rsidR="00622B29" w:rsidRPr="00622B29" w:rsidRDefault="00AF59FF" w:rsidP="00622B29">
      <w:pPr>
        <w:pStyle w:val="SingleTxtG"/>
      </w:pPr>
      <w:r>
        <w:t>« </w:t>
      </w:r>
      <w:r w:rsidR="00622B29" w:rsidRPr="00622B29">
        <w:t>…</w:t>
      </w:r>
    </w:p>
    <w:p w14:paraId="3FDC6CC6" w14:textId="77777777" w:rsidR="00622B29" w:rsidRPr="00622B29" w:rsidRDefault="00622B29" w:rsidP="00AF59FF">
      <w:pPr>
        <w:pStyle w:val="SingleTxtG"/>
        <w:ind w:left="1701" w:hanging="567"/>
        <w:rPr>
          <w:vertAlign w:val="superscript"/>
        </w:rPr>
      </w:pPr>
      <w:bookmarkStart w:id="12" w:name="_Hlk40263965"/>
      <w:r w:rsidRPr="00622B29">
        <w:t>5.</w:t>
      </w:r>
      <w:r w:rsidRPr="00622B29">
        <w:tab/>
        <w:t>Résultats de l’essai</w:t>
      </w:r>
      <w:r w:rsidR="00AF59FF">
        <w:t> </w:t>
      </w:r>
      <w:r w:rsidRPr="00622B29">
        <w:t>: décélérations moyennes en régime (m ∙ s</w:t>
      </w:r>
      <w:r w:rsidRPr="00D8721B">
        <w:rPr>
          <w:vertAlign w:val="superscript"/>
        </w:rPr>
        <w:t>-</w:t>
      </w:r>
      <w:r w:rsidRPr="00622B29">
        <w:rPr>
          <w:vertAlign w:val="superscript"/>
        </w:rPr>
        <w:t>2</w:t>
      </w:r>
      <w:r w:rsidRPr="00622B29">
        <w:t>)/coefficient de traction</w:t>
      </w:r>
      <w:r w:rsidRPr="00622B29">
        <w:rPr>
          <w:vertAlign w:val="superscript"/>
        </w:rPr>
        <w:t>3</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5"/>
        <w:gridCol w:w="1609"/>
        <w:gridCol w:w="1078"/>
        <w:gridCol w:w="1161"/>
        <w:gridCol w:w="1164"/>
        <w:gridCol w:w="873"/>
      </w:tblGrid>
      <w:tr w:rsidR="00AF59FF" w:rsidRPr="00AF59FF" w14:paraId="2317E071" w14:textId="77777777" w:rsidTr="00EF6F08">
        <w:trPr>
          <w:tblHeader/>
        </w:trPr>
        <w:tc>
          <w:tcPr>
            <w:tcW w:w="1485" w:type="dxa"/>
            <w:tcBorders>
              <w:top w:val="single" w:sz="4" w:space="0" w:color="auto"/>
              <w:left w:val="single" w:sz="4" w:space="0" w:color="auto"/>
              <w:bottom w:val="single" w:sz="12" w:space="0" w:color="auto"/>
              <w:right w:val="single" w:sz="4" w:space="0" w:color="auto"/>
            </w:tcBorders>
            <w:shd w:val="clear" w:color="auto" w:fill="auto"/>
            <w:vAlign w:val="bottom"/>
          </w:tcPr>
          <w:p w14:paraId="0645CF56" w14:textId="77777777" w:rsidR="00622B29" w:rsidRPr="00AF59FF" w:rsidRDefault="00622B29" w:rsidP="00AF59FF">
            <w:pPr>
              <w:suppressAutoHyphens w:val="0"/>
              <w:spacing w:before="80" w:after="80" w:line="200" w:lineRule="exact"/>
              <w:rPr>
                <w:i/>
                <w:sz w:val="16"/>
              </w:rPr>
            </w:pPr>
            <w:r w:rsidRPr="00AF59FF">
              <w:rPr>
                <w:i/>
                <w:sz w:val="16"/>
              </w:rPr>
              <w:t>Numéro de l’essai</w:t>
            </w:r>
          </w:p>
        </w:tc>
        <w:tc>
          <w:tcPr>
            <w:tcW w:w="1609" w:type="dxa"/>
            <w:tcBorders>
              <w:top w:val="single" w:sz="4" w:space="0" w:color="auto"/>
              <w:left w:val="single" w:sz="4" w:space="0" w:color="auto"/>
              <w:bottom w:val="single" w:sz="12" w:space="0" w:color="auto"/>
              <w:right w:val="single" w:sz="4" w:space="0" w:color="auto"/>
            </w:tcBorders>
            <w:shd w:val="clear" w:color="auto" w:fill="auto"/>
            <w:vAlign w:val="bottom"/>
          </w:tcPr>
          <w:p w14:paraId="3F2FBCD5" w14:textId="77777777" w:rsidR="00622B29" w:rsidRPr="00AF59FF" w:rsidRDefault="00622B29" w:rsidP="00AF59FF">
            <w:pPr>
              <w:suppressAutoHyphens w:val="0"/>
              <w:spacing w:before="80" w:after="80" w:line="200" w:lineRule="exact"/>
              <w:rPr>
                <w:i/>
                <w:sz w:val="16"/>
              </w:rPr>
            </w:pPr>
            <w:r w:rsidRPr="00AF59FF">
              <w:rPr>
                <w:i/>
                <w:sz w:val="16"/>
              </w:rPr>
              <w:t>Spécification</w:t>
            </w:r>
          </w:p>
        </w:tc>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14:paraId="256BFFC3" w14:textId="77777777" w:rsidR="00622B29" w:rsidRPr="00AF59FF" w:rsidRDefault="00622B29" w:rsidP="00AF59FF">
            <w:pPr>
              <w:suppressAutoHyphens w:val="0"/>
              <w:spacing w:before="80" w:after="80" w:line="200" w:lineRule="exact"/>
              <w:rPr>
                <w:i/>
                <w:sz w:val="16"/>
              </w:rPr>
            </w:pPr>
            <w:r w:rsidRPr="00AF59FF">
              <w:rPr>
                <w:i/>
                <w:sz w:val="16"/>
              </w:rPr>
              <w:t xml:space="preserve">SRTT </w:t>
            </w:r>
            <w:r w:rsidRPr="00AF59FF">
              <w:rPr>
                <w:i/>
                <w:sz w:val="16"/>
                <w:vertAlign w:val="subscript"/>
              </w:rPr>
              <w:t>(1er essai)</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bottom"/>
          </w:tcPr>
          <w:p w14:paraId="3B3FA126" w14:textId="77777777" w:rsidR="00622B29" w:rsidRPr="00AF59FF" w:rsidRDefault="00622B29" w:rsidP="00AF59FF">
            <w:pPr>
              <w:suppressAutoHyphens w:val="0"/>
              <w:spacing w:before="80" w:after="80" w:line="200" w:lineRule="exact"/>
              <w:rPr>
                <w:i/>
                <w:sz w:val="16"/>
              </w:rPr>
            </w:pPr>
            <w:r w:rsidRPr="00AF59FF">
              <w:rPr>
                <w:i/>
                <w:sz w:val="16"/>
              </w:rPr>
              <w:t>Pneumatique à contrôler 1</w:t>
            </w:r>
          </w:p>
        </w:tc>
        <w:tc>
          <w:tcPr>
            <w:tcW w:w="1164" w:type="dxa"/>
            <w:tcBorders>
              <w:top w:val="single" w:sz="4" w:space="0" w:color="auto"/>
              <w:left w:val="single" w:sz="4" w:space="0" w:color="auto"/>
              <w:bottom w:val="single" w:sz="12" w:space="0" w:color="auto"/>
              <w:right w:val="single" w:sz="4" w:space="0" w:color="auto"/>
            </w:tcBorders>
            <w:shd w:val="clear" w:color="auto" w:fill="auto"/>
            <w:vAlign w:val="bottom"/>
          </w:tcPr>
          <w:p w14:paraId="13160952" w14:textId="77777777" w:rsidR="00622B29" w:rsidRPr="00AF59FF" w:rsidRDefault="00622B29" w:rsidP="00AF59FF">
            <w:pPr>
              <w:suppressAutoHyphens w:val="0"/>
              <w:spacing w:before="80" w:after="80" w:line="200" w:lineRule="exact"/>
              <w:rPr>
                <w:i/>
                <w:sz w:val="16"/>
              </w:rPr>
            </w:pPr>
            <w:r w:rsidRPr="00AF59FF">
              <w:rPr>
                <w:i/>
                <w:sz w:val="16"/>
              </w:rPr>
              <w:t>Pneumatique à contrôler 2</w:t>
            </w:r>
          </w:p>
        </w:tc>
        <w:tc>
          <w:tcPr>
            <w:tcW w:w="873" w:type="dxa"/>
            <w:tcBorders>
              <w:top w:val="single" w:sz="4" w:space="0" w:color="auto"/>
              <w:left w:val="single" w:sz="4" w:space="0" w:color="auto"/>
              <w:bottom w:val="single" w:sz="12" w:space="0" w:color="auto"/>
              <w:right w:val="single" w:sz="4" w:space="0" w:color="auto"/>
            </w:tcBorders>
            <w:shd w:val="clear" w:color="auto" w:fill="auto"/>
            <w:vAlign w:val="bottom"/>
          </w:tcPr>
          <w:p w14:paraId="4F705273" w14:textId="77777777" w:rsidR="00622B29" w:rsidRPr="00AF59FF" w:rsidRDefault="00622B29" w:rsidP="00AF59FF">
            <w:pPr>
              <w:suppressAutoHyphens w:val="0"/>
              <w:spacing w:before="80" w:after="80" w:line="200" w:lineRule="exact"/>
              <w:rPr>
                <w:i/>
                <w:sz w:val="16"/>
              </w:rPr>
            </w:pPr>
            <w:r w:rsidRPr="00AF59FF">
              <w:rPr>
                <w:i/>
                <w:sz w:val="16"/>
              </w:rPr>
              <w:t xml:space="preserve">SRTT </w:t>
            </w:r>
            <w:r w:rsidRPr="00AF59FF">
              <w:rPr>
                <w:i/>
                <w:sz w:val="16"/>
                <w:vertAlign w:val="subscript"/>
              </w:rPr>
              <w:t>(2e essai)</w:t>
            </w:r>
          </w:p>
        </w:tc>
      </w:tr>
      <w:tr w:rsidR="00AF59FF" w:rsidRPr="00AF59FF" w14:paraId="6F93B585" w14:textId="77777777" w:rsidTr="00EF6F08">
        <w:tc>
          <w:tcPr>
            <w:tcW w:w="1485" w:type="dxa"/>
            <w:tcBorders>
              <w:top w:val="single" w:sz="12" w:space="0" w:color="auto"/>
              <w:left w:val="single" w:sz="4" w:space="0" w:color="auto"/>
              <w:bottom w:val="single" w:sz="4" w:space="0" w:color="auto"/>
              <w:right w:val="single" w:sz="4" w:space="0" w:color="auto"/>
            </w:tcBorders>
            <w:shd w:val="clear" w:color="auto" w:fill="auto"/>
          </w:tcPr>
          <w:p w14:paraId="660A20A5" w14:textId="77777777" w:rsidR="00622B29" w:rsidRPr="00AF59FF" w:rsidRDefault="00622B29" w:rsidP="00AF59FF">
            <w:pPr>
              <w:suppressAutoHyphens w:val="0"/>
              <w:spacing w:before="40" w:after="40" w:line="220" w:lineRule="exact"/>
              <w:rPr>
                <w:sz w:val="18"/>
              </w:rPr>
            </w:pPr>
            <w:r w:rsidRPr="00AF59FF">
              <w:rPr>
                <w:sz w:val="18"/>
              </w:rPr>
              <w:t>1</w:t>
            </w:r>
          </w:p>
        </w:tc>
        <w:tc>
          <w:tcPr>
            <w:tcW w:w="1609" w:type="dxa"/>
            <w:tcBorders>
              <w:top w:val="single" w:sz="12" w:space="0" w:color="auto"/>
              <w:left w:val="single" w:sz="4" w:space="0" w:color="auto"/>
              <w:bottom w:val="single" w:sz="4" w:space="0" w:color="auto"/>
              <w:right w:val="single" w:sz="4" w:space="0" w:color="auto"/>
            </w:tcBorders>
            <w:shd w:val="clear" w:color="auto" w:fill="auto"/>
            <w:vAlign w:val="bottom"/>
          </w:tcPr>
          <w:p w14:paraId="2D9352BA" w14:textId="77777777" w:rsidR="00622B29" w:rsidRPr="00AF59FF" w:rsidRDefault="00622B29" w:rsidP="00AF59FF">
            <w:pPr>
              <w:suppressAutoHyphens w:val="0"/>
              <w:spacing w:before="40" w:after="40" w:line="220" w:lineRule="exact"/>
              <w:rPr>
                <w:sz w:val="18"/>
              </w:rPr>
            </w:pPr>
          </w:p>
        </w:tc>
        <w:tc>
          <w:tcPr>
            <w:tcW w:w="1078" w:type="dxa"/>
            <w:tcBorders>
              <w:top w:val="single" w:sz="12" w:space="0" w:color="auto"/>
              <w:left w:val="single" w:sz="4" w:space="0" w:color="auto"/>
              <w:bottom w:val="single" w:sz="4" w:space="0" w:color="auto"/>
              <w:right w:val="single" w:sz="4" w:space="0" w:color="auto"/>
            </w:tcBorders>
            <w:shd w:val="clear" w:color="auto" w:fill="auto"/>
            <w:vAlign w:val="bottom"/>
          </w:tcPr>
          <w:p w14:paraId="07D97BEC" w14:textId="77777777" w:rsidR="00622B29" w:rsidRPr="00AF59FF" w:rsidRDefault="00622B29" w:rsidP="00AF59FF">
            <w:pPr>
              <w:suppressAutoHyphens w:val="0"/>
              <w:spacing w:before="40" w:after="40" w:line="220" w:lineRule="exact"/>
              <w:rPr>
                <w:sz w:val="18"/>
              </w:rPr>
            </w:pPr>
          </w:p>
        </w:tc>
        <w:tc>
          <w:tcPr>
            <w:tcW w:w="1161" w:type="dxa"/>
            <w:tcBorders>
              <w:top w:val="single" w:sz="12" w:space="0" w:color="auto"/>
              <w:left w:val="single" w:sz="4" w:space="0" w:color="auto"/>
              <w:bottom w:val="single" w:sz="4" w:space="0" w:color="auto"/>
              <w:right w:val="single" w:sz="4" w:space="0" w:color="auto"/>
            </w:tcBorders>
            <w:shd w:val="clear" w:color="auto" w:fill="auto"/>
            <w:vAlign w:val="bottom"/>
          </w:tcPr>
          <w:p w14:paraId="3D73B1C0"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12" w:space="0" w:color="auto"/>
              <w:left w:val="single" w:sz="4" w:space="0" w:color="auto"/>
              <w:bottom w:val="single" w:sz="4" w:space="0" w:color="auto"/>
              <w:right w:val="single" w:sz="4" w:space="0" w:color="auto"/>
            </w:tcBorders>
            <w:shd w:val="clear" w:color="auto" w:fill="auto"/>
            <w:vAlign w:val="bottom"/>
          </w:tcPr>
          <w:p w14:paraId="1A76E240" w14:textId="77777777" w:rsidR="00622B29" w:rsidRPr="00AF59FF" w:rsidRDefault="00622B29" w:rsidP="00AF59FF">
            <w:pPr>
              <w:suppressAutoHyphens w:val="0"/>
              <w:spacing w:before="40" w:after="40" w:line="220" w:lineRule="exact"/>
              <w:jc w:val="right"/>
              <w:rPr>
                <w:sz w:val="18"/>
              </w:rPr>
            </w:pPr>
          </w:p>
        </w:tc>
        <w:tc>
          <w:tcPr>
            <w:tcW w:w="873" w:type="dxa"/>
            <w:tcBorders>
              <w:top w:val="single" w:sz="12" w:space="0" w:color="auto"/>
              <w:left w:val="single" w:sz="4" w:space="0" w:color="auto"/>
              <w:bottom w:val="single" w:sz="4" w:space="0" w:color="auto"/>
              <w:right w:val="single" w:sz="4" w:space="0" w:color="auto"/>
            </w:tcBorders>
            <w:shd w:val="clear" w:color="auto" w:fill="auto"/>
            <w:vAlign w:val="bottom"/>
          </w:tcPr>
          <w:p w14:paraId="5DD2805F" w14:textId="77777777" w:rsidR="00622B29" w:rsidRPr="00AF59FF" w:rsidRDefault="00622B29" w:rsidP="00AF59FF">
            <w:pPr>
              <w:suppressAutoHyphens w:val="0"/>
              <w:spacing w:before="40" w:after="40" w:line="220" w:lineRule="exact"/>
              <w:jc w:val="right"/>
              <w:rPr>
                <w:sz w:val="18"/>
              </w:rPr>
            </w:pPr>
          </w:p>
        </w:tc>
      </w:tr>
      <w:tr w:rsidR="00AF59FF" w:rsidRPr="00AF59FF" w14:paraId="2DB6CE9D"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10A79692" w14:textId="77777777" w:rsidR="00622B29" w:rsidRPr="00AF59FF" w:rsidRDefault="00622B29" w:rsidP="00AF59FF">
            <w:pPr>
              <w:suppressAutoHyphens w:val="0"/>
              <w:spacing w:before="40" w:after="40" w:line="220" w:lineRule="exact"/>
              <w:rPr>
                <w:sz w:val="18"/>
              </w:rPr>
            </w:pPr>
            <w:r w:rsidRPr="00AF59FF">
              <w:rPr>
                <w:sz w:val="18"/>
              </w:rPr>
              <w:t>2</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08481E35"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1BB8F73"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237B1176"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435997CF"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5F21C606" w14:textId="77777777" w:rsidR="00622B29" w:rsidRPr="00AF59FF" w:rsidRDefault="00622B29" w:rsidP="00AF59FF">
            <w:pPr>
              <w:suppressAutoHyphens w:val="0"/>
              <w:spacing w:before="40" w:after="40" w:line="220" w:lineRule="exact"/>
              <w:jc w:val="right"/>
              <w:rPr>
                <w:sz w:val="18"/>
              </w:rPr>
            </w:pPr>
          </w:p>
        </w:tc>
      </w:tr>
      <w:tr w:rsidR="00AF59FF" w:rsidRPr="00AF59FF" w14:paraId="54C5B43C"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59212F3B" w14:textId="77777777" w:rsidR="00622B29" w:rsidRPr="00AF59FF" w:rsidRDefault="00622B29" w:rsidP="00AF59FF">
            <w:pPr>
              <w:suppressAutoHyphens w:val="0"/>
              <w:spacing w:before="40" w:after="40" w:line="220" w:lineRule="exact"/>
              <w:rPr>
                <w:sz w:val="18"/>
              </w:rPr>
            </w:pPr>
            <w:r w:rsidRPr="00AF59FF">
              <w:rPr>
                <w:sz w:val="18"/>
              </w:rPr>
              <w:t>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691DCE3C"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77DD1E7"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0EA594A"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9706BEF"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18E99A00" w14:textId="77777777" w:rsidR="00622B29" w:rsidRPr="00AF59FF" w:rsidRDefault="00622B29" w:rsidP="00AF59FF">
            <w:pPr>
              <w:suppressAutoHyphens w:val="0"/>
              <w:spacing w:before="40" w:after="40" w:line="220" w:lineRule="exact"/>
              <w:jc w:val="right"/>
              <w:rPr>
                <w:sz w:val="18"/>
              </w:rPr>
            </w:pPr>
          </w:p>
        </w:tc>
      </w:tr>
      <w:tr w:rsidR="00AF59FF" w:rsidRPr="00AF59FF" w14:paraId="56477844"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3FA05184" w14:textId="77777777" w:rsidR="00622B29" w:rsidRPr="00AF59FF" w:rsidRDefault="00622B29" w:rsidP="00AF59FF">
            <w:pPr>
              <w:suppressAutoHyphens w:val="0"/>
              <w:spacing w:before="40" w:after="40" w:line="220" w:lineRule="exact"/>
              <w:rPr>
                <w:sz w:val="18"/>
              </w:rPr>
            </w:pPr>
            <w:r w:rsidRPr="00AF59FF">
              <w:rPr>
                <w:sz w:val="18"/>
              </w:rPr>
              <w:t>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04640821"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C987EEE"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514A38FE"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7793B85"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0ED2F96" w14:textId="77777777" w:rsidR="00622B29" w:rsidRPr="00AF59FF" w:rsidRDefault="00622B29" w:rsidP="00AF59FF">
            <w:pPr>
              <w:suppressAutoHyphens w:val="0"/>
              <w:spacing w:before="40" w:after="40" w:line="220" w:lineRule="exact"/>
              <w:jc w:val="right"/>
              <w:rPr>
                <w:sz w:val="18"/>
              </w:rPr>
            </w:pPr>
          </w:p>
        </w:tc>
      </w:tr>
      <w:tr w:rsidR="00AF59FF" w:rsidRPr="00AF59FF" w14:paraId="7D1A4B27"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0EDD9C67" w14:textId="77777777" w:rsidR="00622B29" w:rsidRPr="00AF59FF" w:rsidRDefault="00622B29" w:rsidP="00AF59FF">
            <w:pPr>
              <w:suppressAutoHyphens w:val="0"/>
              <w:spacing w:before="40" w:after="40" w:line="220" w:lineRule="exact"/>
              <w:rPr>
                <w:sz w:val="18"/>
              </w:rPr>
            </w:pPr>
            <w:r w:rsidRPr="00AF59FF">
              <w:rPr>
                <w:sz w:val="18"/>
              </w:rPr>
              <w:t>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66C5CAC5"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D00DFFA"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59D4FB0"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6F06F2EB"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8A2155B" w14:textId="77777777" w:rsidR="00622B29" w:rsidRPr="00AF59FF" w:rsidRDefault="00622B29" w:rsidP="00AF59FF">
            <w:pPr>
              <w:suppressAutoHyphens w:val="0"/>
              <w:spacing w:before="40" w:after="40" w:line="220" w:lineRule="exact"/>
              <w:jc w:val="right"/>
              <w:rPr>
                <w:sz w:val="18"/>
              </w:rPr>
            </w:pPr>
          </w:p>
        </w:tc>
      </w:tr>
      <w:tr w:rsidR="00AF59FF" w:rsidRPr="00AF59FF" w14:paraId="58667342"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74C20430" w14:textId="77777777" w:rsidR="00622B29" w:rsidRPr="00AF59FF" w:rsidRDefault="00622B29" w:rsidP="00AF59FF">
            <w:pPr>
              <w:suppressAutoHyphens w:val="0"/>
              <w:spacing w:before="40" w:after="40" w:line="220" w:lineRule="exact"/>
              <w:rPr>
                <w:sz w:val="18"/>
              </w:rPr>
            </w:pPr>
            <w:r w:rsidRPr="00AF59FF">
              <w:rPr>
                <w:sz w:val="18"/>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52278A5D"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1F40566"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97FFE50"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5E4BF7E3"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23719B7B" w14:textId="77777777" w:rsidR="00622B29" w:rsidRPr="00AF59FF" w:rsidRDefault="00622B29" w:rsidP="00AF59FF">
            <w:pPr>
              <w:suppressAutoHyphens w:val="0"/>
              <w:spacing w:before="40" w:after="40" w:line="220" w:lineRule="exact"/>
              <w:jc w:val="right"/>
              <w:rPr>
                <w:sz w:val="18"/>
              </w:rPr>
            </w:pPr>
          </w:p>
        </w:tc>
      </w:tr>
      <w:tr w:rsidR="00AF59FF" w:rsidRPr="00AF59FF" w14:paraId="191ADDFD"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6D607FF1" w14:textId="77777777" w:rsidR="00622B29" w:rsidRPr="00AF59FF" w:rsidRDefault="00622B29" w:rsidP="00AF59F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A194001"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5B93F28"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EB89E5F"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1BA08F3C"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9A3B9C6" w14:textId="77777777" w:rsidR="00622B29" w:rsidRPr="00AF59FF" w:rsidRDefault="00622B29" w:rsidP="00AF59FF">
            <w:pPr>
              <w:suppressAutoHyphens w:val="0"/>
              <w:spacing w:before="40" w:after="40" w:line="220" w:lineRule="exact"/>
              <w:jc w:val="right"/>
              <w:rPr>
                <w:sz w:val="18"/>
              </w:rPr>
            </w:pPr>
          </w:p>
        </w:tc>
      </w:tr>
      <w:tr w:rsidR="00AF59FF" w:rsidRPr="00AF59FF" w14:paraId="656CD4C8"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36C2EC88" w14:textId="77777777" w:rsidR="00622B29" w:rsidRPr="00AF59FF" w:rsidRDefault="00622B29" w:rsidP="00AF59F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6EF8EB08"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E5D72A3"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4203C43C"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58C16A7"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0A4DCAE1" w14:textId="77777777" w:rsidR="00622B29" w:rsidRPr="00AF59FF" w:rsidRDefault="00622B29" w:rsidP="00AF59FF">
            <w:pPr>
              <w:suppressAutoHyphens w:val="0"/>
              <w:spacing w:before="40" w:after="40" w:line="220" w:lineRule="exact"/>
              <w:jc w:val="right"/>
              <w:rPr>
                <w:sz w:val="18"/>
              </w:rPr>
            </w:pPr>
          </w:p>
        </w:tc>
      </w:tr>
      <w:tr w:rsidR="00AF59FF" w:rsidRPr="00AF59FF" w14:paraId="4A2C855A"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1B2BDB98" w14:textId="77777777" w:rsidR="00622B29" w:rsidRPr="00AF59FF" w:rsidRDefault="00622B29" w:rsidP="00AF59FF">
            <w:pPr>
              <w:suppressAutoHyphens w:val="0"/>
              <w:spacing w:before="40" w:after="40" w:line="220" w:lineRule="exact"/>
              <w:rPr>
                <w:sz w:val="18"/>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C940F03"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710DA27"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C8DF1F2"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2C879A58"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6938FC1B" w14:textId="77777777" w:rsidR="00622B29" w:rsidRPr="00AF59FF" w:rsidRDefault="00622B29" w:rsidP="00AF59FF">
            <w:pPr>
              <w:suppressAutoHyphens w:val="0"/>
              <w:spacing w:before="40" w:after="40" w:line="220" w:lineRule="exact"/>
              <w:jc w:val="right"/>
              <w:rPr>
                <w:sz w:val="18"/>
              </w:rPr>
            </w:pPr>
          </w:p>
        </w:tc>
      </w:tr>
      <w:tr w:rsidR="00AF59FF" w:rsidRPr="00AF59FF" w14:paraId="2CC540BF"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2904BCF7" w14:textId="77777777" w:rsidR="00622B29" w:rsidRPr="00AF59FF" w:rsidRDefault="00622B29" w:rsidP="00AF59FF">
            <w:pPr>
              <w:suppressAutoHyphens w:val="0"/>
              <w:spacing w:before="40" w:after="40" w:line="220" w:lineRule="exact"/>
              <w:rPr>
                <w:sz w:val="18"/>
              </w:rPr>
            </w:pPr>
            <w:r w:rsidRPr="00AF59FF">
              <w:rPr>
                <w:sz w:val="18"/>
              </w:rPr>
              <w:t>Moyenne</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5D21F75"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90D892B"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77542344"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71D9D013"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4C106A27" w14:textId="77777777" w:rsidR="00622B29" w:rsidRPr="00AF59FF" w:rsidRDefault="00622B29" w:rsidP="00AF59FF">
            <w:pPr>
              <w:suppressAutoHyphens w:val="0"/>
              <w:spacing w:before="40" w:after="40" w:line="220" w:lineRule="exact"/>
              <w:jc w:val="right"/>
              <w:rPr>
                <w:sz w:val="18"/>
              </w:rPr>
            </w:pPr>
          </w:p>
        </w:tc>
      </w:tr>
      <w:tr w:rsidR="00AF59FF" w:rsidRPr="00AF59FF" w14:paraId="7AD94E63"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2651AC6A" w14:textId="77777777" w:rsidR="00622B29" w:rsidRPr="00AF59FF" w:rsidRDefault="00622B29" w:rsidP="00AF59FF">
            <w:pPr>
              <w:suppressAutoHyphens w:val="0"/>
              <w:spacing w:before="40" w:after="40" w:line="220" w:lineRule="exact"/>
              <w:rPr>
                <w:sz w:val="18"/>
              </w:rPr>
            </w:pPr>
            <w:r w:rsidRPr="00AF59FF">
              <w:rPr>
                <w:sz w:val="18"/>
              </w:rPr>
              <w:t>Écart type</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6502DDC"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CFC121B"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1D4F9710"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11630107"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1E2B3692" w14:textId="77777777" w:rsidR="00622B29" w:rsidRPr="00AF59FF" w:rsidRDefault="00622B29" w:rsidP="00AF59FF">
            <w:pPr>
              <w:suppressAutoHyphens w:val="0"/>
              <w:spacing w:before="40" w:after="40" w:line="220" w:lineRule="exact"/>
              <w:jc w:val="right"/>
              <w:rPr>
                <w:sz w:val="18"/>
              </w:rPr>
            </w:pPr>
          </w:p>
        </w:tc>
      </w:tr>
      <w:tr w:rsidR="00AF59FF" w:rsidRPr="00AF59FF" w14:paraId="048CB2D0"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7DA11383" w14:textId="77777777" w:rsidR="00622B29" w:rsidRPr="00AF59FF" w:rsidRDefault="00622B29" w:rsidP="00AF59FF">
            <w:pPr>
              <w:suppressAutoHyphens w:val="0"/>
              <w:spacing w:before="40" w:after="40" w:line="220" w:lineRule="exact"/>
              <w:rPr>
                <w:sz w:val="18"/>
              </w:rPr>
            </w:pPr>
            <w:r w:rsidRPr="00AF59FF">
              <w:rPr>
                <w:sz w:val="18"/>
              </w:rPr>
              <w:t>Coefficient de variation</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77689FE" w14:textId="77777777" w:rsidR="00622B29" w:rsidRPr="00AF59FF" w:rsidRDefault="00622B29" w:rsidP="00AF59FF">
            <w:pPr>
              <w:suppressAutoHyphens w:val="0"/>
              <w:spacing w:before="40" w:after="40" w:line="220" w:lineRule="exact"/>
              <w:rPr>
                <w:sz w:val="18"/>
              </w:rPr>
            </w:pPr>
            <w:proofErr w:type="spellStart"/>
            <w:r w:rsidRPr="00AF59FF">
              <w:rPr>
                <w:sz w:val="18"/>
              </w:rPr>
              <w:t>CV</w:t>
            </w:r>
            <w:r w:rsidRPr="00AF59FF">
              <w:rPr>
                <w:sz w:val="18"/>
                <w:vertAlign w:val="subscript"/>
              </w:rPr>
              <w:t>a</w:t>
            </w:r>
            <w:proofErr w:type="spellEnd"/>
            <w:r w:rsidRPr="00AF59FF">
              <w:rPr>
                <w:sz w:val="18"/>
              </w:rPr>
              <w:t xml:space="preserve"> ≤ 6</w:t>
            </w:r>
            <w:r w:rsidR="00AF59FF">
              <w:rPr>
                <w:sz w:val="18"/>
              </w:rPr>
              <w:t> </w:t>
            </w:r>
            <w:r w:rsidRPr="00AF59FF">
              <w:rPr>
                <w:sz w:val="18"/>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998A36D"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14:paraId="3FC25162"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cBorders>
            <w:shd w:val="clear" w:color="auto" w:fill="auto"/>
            <w:vAlign w:val="bottom"/>
          </w:tcPr>
          <w:p w14:paraId="1CB8ECB4"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7D5D6F88" w14:textId="77777777" w:rsidR="00622B29" w:rsidRPr="00AF59FF" w:rsidRDefault="00622B29" w:rsidP="00AF59FF">
            <w:pPr>
              <w:suppressAutoHyphens w:val="0"/>
              <w:spacing w:before="40" w:after="40" w:line="220" w:lineRule="exact"/>
              <w:jc w:val="right"/>
              <w:rPr>
                <w:sz w:val="18"/>
              </w:rPr>
            </w:pPr>
          </w:p>
        </w:tc>
      </w:tr>
      <w:tr w:rsidR="00AF59FF" w:rsidRPr="00AF59FF" w14:paraId="60D3AC34"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24B49986" w14:textId="77777777" w:rsidR="00622B29" w:rsidRPr="00AF59FF" w:rsidRDefault="00622B29" w:rsidP="00AF59FF">
            <w:pPr>
              <w:suppressAutoHyphens w:val="0"/>
              <w:spacing w:before="40" w:after="40" w:line="220" w:lineRule="exact"/>
              <w:rPr>
                <w:sz w:val="18"/>
              </w:rPr>
            </w:pPr>
            <w:r w:rsidRPr="00AF59FF">
              <w:rPr>
                <w:sz w:val="18"/>
              </w:rPr>
              <w:t>Coefficient de validation</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F7279DA" w14:textId="77777777" w:rsidR="00622B29" w:rsidRPr="00AF59FF" w:rsidRDefault="00622B29" w:rsidP="00AF59FF">
            <w:pPr>
              <w:suppressAutoHyphens w:val="0"/>
              <w:spacing w:before="40" w:after="40" w:line="220" w:lineRule="exact"/>
              <w:rPr>
                <w:sz w:val="18"/>
              </w:rPr>
            </w:pPr>
            <w:proofErr w:type="spellStart"/>
            <w:r w:rsidRPr="00AF59FF">
              <w:rPr>
                <w:sz w:val="18"/>
              </w:rPr>
              <w:t>CVal</w:t>
            </w:r>
            <w:r w:rsidRPr="00AF59FF">
              <w:rPr>
                <w:sz w:val="18"/>
                <w:vertAlign w:val="subscript"/>
              </w:rPr>
              <w:t>a</w:t>
            </w:r>
            <w:proofErr w:type="spellEnd"/>
            <w:r w:rsidRPr="00AF59FF">
              <w:rPr>
                <w:sz w:val="18"/>
              </w:rPr>
              <w:t>(SRTT) ≤</w:t>
            </w:r>
            <w:r w:rsidR="00AF59FF">
              <w:rPr>
                <w:sz w:val="18"/>
              </w:rPr>
              <w:t> </w:t>
            </w:r>
            <w:r w:rsidRPr="00AF59FF">
              <w:rPr>
                <w:sz w:val="18"/>
              </w:rPr>
              <w:t>5</w:t>
            </w:r>
            <w:r w:rsidR="00AF59FF">
              <w:rPr>
                <w:sz w:val="18"/>
              </w:rPr>
              <w:t> </w:t>
            </w:r>
            <w:r w:rsidRPr="00AF59FF">
              <w:rPr>
                <w:sz w:val="18"/>
              </w:rPr>
              <w:t>%</w:t>
            </w:r>
          </w:p>
        </w:tc>
        <w:tc>
          <w:tcPr>
            <w:tcW w:w="107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25B987AC"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5996A567"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03544B0C"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14:paraId="53CFAAAE" w14:textId="77777777" w:rsidR="00622B29" w:rsidRPr="00AF59FF" w:rsidRDefault="00622B29" w:rsidP="00AF59FF">
            <w:pPr>
              <w:suppressAutoHyphens w:val="0"/>
              <w:spacing w:before="40" w:after="40" w:line="220" w:lineRule="exact"/>
              <w:jc w:val="right"/>
              <w:rPr>
                <w:sz w:val="18"/>
              </w:rPr>
            </w:pPr>
          </w:p>
        </w:tc>
      </w:tr>
      <w:tr w:rsidR="00AF59FF" w:rsidRPr="00AF59FF" w14:paraId="2F6430C2"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33823350" w14:textId="77777777" w:rsidR="00622B29" w:rsidRPr="00AF59FF" w:rsidRDefault="00622B29" w:rsidP="00AF59FF">
            <w:pPr>
              <w:suppressAutoHyphens w:val="0"/>
              <w:spacing w:before="40" w:after="40" w:line="220" w:lineRule="exact"/>
              <w:rPr>
                <w:sz w:val="18"/>
              </w:rPr>
            </w:pPr>
            <w:r w:rsidRPr="00AF59FF">
              <w:rPr>
                <w:sz w:val="18"/>
              </w:rPr>
              <w:t>Moyenne pondérée SRTT</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24F75789"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FE5E395"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7158A989"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716CE7E0"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7A0866FF" w14:textId="77777777" w:rsidR="00622B29" w:rsidRPr="00AF59FF" w:rsidRDefault="00622B29" w:rsidP="00AF59FF">
            <w:pPr>
              <w:suppressAutoHyphens w:val="0"/>
              <w:spacing w:before="40" w:after="40" w:line="220" w:lineRule="exact"/>
              <w:jc w:val="right"/>
              <w:rPr>
                <w:sz w:val="18"/>
              </w:rPr>
            </w:pPr>
          </w:p>
        </w:tc>
      </w:tr>
      <w:tr w:rsidR="00AF59FF" w:rsidRPr="00AF59FF" w14:paraId="6F93E4F4" w14:textId="77777777" w:rsidTr="00EF6F08">
        <w:tc>
          <w:tcPr>
            <w:tcW w:w="1485" w:type="dxa"/>
            <w:tcBorders>
              <w:top w:val="single" w:sz="4" w:space="0" w:color="auto"/>
              <w:left w:val="single" w:sz="4" w:space="0" w:color="auto"/>
              <w:bottom w:val="single" w:sz="4" w:space="0" w:color="auto"/>
              <w:right w:val="single" w:sz="4" w:space="0" w:color="auto"/>
            </w:tcBorders>
            <w:shd w:val="clear" w:color="auto" w:fill="auto"/>
          </w:tcPr>
          <w:p w14:paraId="31AF6083" w14:textId="77777777" w:rsidR="00622B29" w:rsidRPr="00AF59FF" w:rsidRDefault="00622B29" w:rsidP="00AF59FF">
            <w:pPr>
              <w:suppressAutoHyphens w:val="0"/>
              <w:spacing w:before="40" w:after="40" w:line="220" w:lineRule="exact"/>
              <w:rPr>
                <w:b/>
                <w:sz w:val="18"/>
              </w:rPr>
            </w:pPr>
            <w:r w:rsidRPr="00AF59FF">
              <w:rPr>
                <w:b/>
                <w:sz w:val="18"/>
              </w:rPr>
              <w:t>Coefficient f</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01659DB"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481FF59" w14:textId="77777777" w:rsidR="00622B29" w:rsidRPr="00AF59FF" w:rsidRDefault="00622B29" w:rsidP="00AF59FF">
            <w:pPr>
              <w:suppressAutoHyphens w:val="0"/>
              <w:spacing w:before="40" w:after="40" w:line="220" w:lineRule="exact"/>
              <w:rPr>
                <w:sz w:val="18"/>
              </w:rPr>
            </w:pPr>
          </w:p>
        </w:tc>
        <w:tc>
          <w:tcPr>
            <w:tcW w:w="116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6A2DDC89"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7C72607D"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14:paraId="4AEC8AC1" w14:textId="77777777" w:rsidR="00622B29" w:rsidRPr="00AF59FF" w:rsidRDefault="00622B29" w:rsidP="00AF59FF">
            <w:pPr>
              <w:suppressAutoHyphens w:val="0"/>
              <w:spacing w:before="40" w:after="40" w:line="220" w:lineRule="exact"/>
              <w:jc w:val="right"/>
              <w:rPr>
                <w:sz w:val="18"/>
              </w:rPr>
            </w:pPr>
          </w:p>
        </w:tc>
      </w:tr>
      <w:tr w:rsidR="00AF59FF" w:rsidRPr="00AF59FF" w14:paraId="0A000150" w14:textId="77777777" w:rsidTr="00EF6F08">
        <w:tc>
          <w:tcPr>
            <w:tcW w:w="1485" w:type="dxa"/>
            <w:tcBorders>
              <w:top w:val="single" w:sz="4" w:space="0" w:color="auto"/>
              <w:left w:val="single" w:sz="4" w:space="0" w:color="auto"/>
              <w:bottom w:val="single" w:sz="12" w:space="0" w:color="auto"/>
              <w:right w:val="single" w:sz="4" w:space="0" w:color="auto"/>
            </w:tcBorders>
            <w:shd w:val="clear" w:color="auto" w:fill="auto"/>
          </w:tcPr>
          <w:p w14:paraId="17C3527D" w14:textId="77777777" w:rsidR="00622B29" w:rsidRPr="00AF59FF" w:rsidRDefault="00622B29" w:rsidP="00AF59FF">
            <w:pPr>
              <w:suppressAutoHyphens w:val="0"/>
              <w:spacing w:before="40" w:after="40" w:line="220" w:lineRule="exact"/>
              <w:rPr>
                <w:sz w:val="18"/>
              </w:rPr>
            </w:pPr>
            <w:r w:rsidRPr="00AF59FF">
              <w:rPr>
                <w:sz w:val="18"/>
              </w:rPr>
              <w:t>Indice d’adhérence sur neige</w:t>
            </w:r>
          </w:p>
        </w:tc>
        <w:tc>
          <w:tcPr>
            <w:tcW w:w="1609" w:type="dxa"/>
            <w:tcBorders>
              <w:top w:val="single" w:sz="4" w:space="0" w:color="auto"/>
              <w:left w:val="single" w:sz="4" w:space="0" w:color="auto"/>
              <w:bottom w:val="single" w:sz="12" w:space="0" w:color="auto"/>
              <w:right w:val="single" w:sz="4" w:space="0" w:color="auto"/>
            </w:tcBorders>
            <w:shd w:val="clear" w:color="auto" w:fill="auto"/>
            <w:vAlign w:val="bottom"/>
          </w:tcPr>
          <w:p w14:paraId="3B4043FA" w14:textId="77777777" w:rsidR="00622B29" w:rsidRPr="00AF59FF" w:rsidRDefault="00622B29" w:rsidP="00AF59FF">
            <w:pPr>
              <w:suppressAutoHyphens w:val="0"/>
              <w:spacing w:before="40" w:after="40" w:line="220" w:lineRule="exact"/>
              <w:rPr>
                <w:sz w:val="18"/>
              </w:rPr>
            </w:pPr>
          </w:p>
        </w:tc>
        <w:tc>
          <w:tcPr>
            <w:tcW w:w="1078" w:type="dxa"/>
            <w:tcBorders>
              <w:top w:val="single" w:sz="4" w:space="0" w:color="auto"/>
              <w:left w:val="single" w:sz="4" w:space="0" w:color="auto"/>
              <w:bottom w:val="single" w:sz="12" w:space="0" w:color="auto"/>
              <w:right w:val="single" w:sz="4" w:space="0" w:color="auto"/>
            </w:tcBorders>
            <w:shd w:val="clear" w:color="auto" w:fill="auto"/>
            <w:vAlign w:val="bottom"/>
          </w:tcPr>
          <w:p w14:paraId="2B7C9AFF" w14:textId="77777777" w:rsidR="00622B29" w:rsidRPr="00AF59FF" w:rsidRDefault="00622B29" w:rsidP="00AF59FF">
            <w:pPr>
              <w:suppressAutoHyphens w:val="0"/>
              <w:spacing w:before="40" w:after="40" w:line="220" w:lineRule="exact"/>
              <w:rPr>
                <w:sz w:val="18"/>
              </w:rPr>
            </w:pPr>
            <w:r w:rsidRPr="00AF59FF">
              <w:rPr>
                <w:sz w:val="18"/>
              </w:rPr>
              <w:t>1,00</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bottom"/>
          </w:tcPr>
          <w:p w14:paraId="665305EC" w14:textId="77777777" w:rsidR="00622B29" w:rsidRPr="00AF59FF" w:rsidRDefault="00622B29" w:rsidP="00AF59FF">
            <w:pPr>
              <w:suppressAutoHyphens w:val="0"/>
              <w:spacing w:before="40" w:after="40" w:line="220" w:lineRule="exact"/>
              <w:jc w:val="right"/>
              <w:rPr>
                <w:sz w:val="18"/>
              </w:rPr>
            </w:pPr>
          </w:p>
        </w:tc>
        <w:tc>
          <w:tcPr>
            <w:tcW w:w="1164" w:type="dxa"/>
            <w:tcBorders>
              <w:top w:val="single" w:sz="4" w:space="0" w:color="auto"/>
              <w:left w:val="single" w:sz="4" w:space="0" w:color="auto"/>
              <w:bottom w:val="single" w:sz="12" w:space="0" w:color="auto"/>
              <w:right w:val="single" w:sz="4" w:space="0" w:color="auto"/>
            </w:tcBorders>
            <w:shd w:val="clear" w:color="auto" w:fill="auto"/>
            <w:vAlign w:val="bottom"/>
          </w:tcPr>
          <w:p w14:paraId="1A170E0C" w14:textId="77777777" w:rsidR="00622B29" w:rsidRPr="00AF59FF" w:rsidRDefault="00622B29" w:rsidP="00AF59FF">
            <w:pPr>
              <w:suppressAutoHyphens w:val="0"/>
              <w:spacing w:before="40" w:after="40" w:line="220" w:lineRule="exact"/>
              <w:jc w:val="right"/>
              <w:rPr>
                <w:sz w:val="18"/>
              </w:rPr>
            </w:pPr>
          </w:p>
        </w:tc>
        <w:tc>
          <w:tcPr>
            <w:tcW w:w="873"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bottom"/>
          </w:tcPr>
          <w:p w14:paraId="018297A3" w14:textId="77777777" w:rsidR="00622B29" w:rsidRPr="00AF59FF" w:rsidRDefault="00622B29" w:rsidP="00AF59FF">
            <w:pPr>
              <w:suppressAutoHyphens w:val="0"/>
              <w:spacing w:before="40" w:after="40" w:line="220" w:lineRule="exact"/>
              <w:jc w:val="right"/>
              <w:rPr>
                <w:sz w:val="18"/>
              </w:rPr>
            </w:pPr>
          </w:p>
        </w:tc>
      </w:tr>
    </w:tbl>
    <w:p w14:paraId="3D3F1D46" w14:textId="77777777" w:rsidR="00622B29" w:rsidRPr="00622B29" w:rsidRDefault="00622B29" w:rsidP="00AF59FF">
      <w:pPr>
        <w:pStyle w:val="SingleTxtG"/>
        <w:spacing w:before="80"/>
      </w:pPr>
      <w:r w:rsidRPr="00622B29">
        <w:rPr>
          <w:vertAlign w:val="superscript"/>
        </w:rPr>
        <w:t>1</w:t>
      </w:r>
      <w:r w:rsidRPr="00622B29">
        <w:t xml:space="preserve"> </w:t>
      </w:r>
      <w:r w:rsidRPr="00AF59FF">
        <w:rPr>
          <w:sz w:val="18"/>
          <w:szCs w:val="18"/>
        </w:rPr>
        <w:t>Pour les pneumatiques de la classe C2, la pression de gonflage correspond à celle marquée sur le flanc du pneumatique, conformément au paragraphe 4.1 du présent Règlement.</w:t>
      </w:r>
      <w:r w:rsidRPr="00622B29">
        <w:t xml:space="preserve"> </w:t>
      </w:r>
    </w:p>
    <w:p w14:paraId="3952E926" w14:textId="77777777" w:rsidR="00622B29" w:rsidRPr="00622B29" w:rsidRDefault="00622B29" w:rsidP="00622B29">
      <w:pPr>
        <w:pStyle w:val="SingleTxtG"/>
      </w:pPr>
      <w:r w:rsidRPr="00622B29">
        <w:t>…</w:t>
      </w:r>
      <w:r w:rsidR="00AF59FF">
        <w:t> »</w:t>
      </w:r>
      <w:r w:rsidRPr="00622B29">
        <w:t>.</w:t>
      </w:r>
      <w:bookmarkEnd w:id="12"/>
    </w:p>
    <w:p w14:paraId="3CC72960" w14:textId="77777777" w:rsidR="00622B29" w:rsidRPr="00622B29" w:rsidRDefault="003420B2" w:rsidP="003420B2">
      <w:pPr>
        <w:pStyle w:val="HChG"/>
      </w:pPr>
      <w:r>
        <w:tab/>
      </w:r>
      <w:r w:rsidR="00622B29" w:rsidRPr="00622B29">
        <w:t>II.</w:t>
      </w:r>
      <w:r w:rsidR="00622B29" w:rsidRPr="00622B29">
        <w:tab/>
        <w:t>Justification</w:t>
      </w:r>
    </w:p>
    <w:p w14:paraId="3F8B2829" w14:textId="77777777" w:rsidR="00622B29" w:rsidRPr="00622B29" w:rsidRDefault="003420B2" w:rsidP="00622B29">
      <w:pPr>
        <w:pStyle w:val="SingleTxtG"/>
      </w:pPr>
      <w:r>
        <w:t>1.</w:t>
      </w:r>
      <w:r>
        <w:tab/>
      </w:r>
      <w:r w:rsidR="00622B29" w:rsidRPr="00622B29">
        <w:t>Comme précisé dans le document informel GRBP-71-08, l’utilisation du terme « moulé » s’explique par la technologie qui était disponible à l’époque de la publication de la première édition du Règlement, mais elle impose une technique qui n’est plus actuellement qu’une solution parmi d’autres.</w:t>
      </w:r>
    </w:p>
    <w:p w14:paraId="58907007" w14:textId="77777777" w:rsidR="00622B29" w:rsidRPr="00622B29" w:rsidRDefault="003420B2" w:rsidP="00622B29">
      <w:pPr>
        <w:pStyle w:val="SingleTxtG"/>
      </w:pPr>
      <w:r>
        <w:t>2.</w:t>
      </w:r>
      <w:r>
        <w:tab/>
      </w:r>
      <w:r w:rsidR="00622B29" w:rsidRPr="00622B29">
        <w:t>Il serait souhaitable d’éliminer cette limitation technique au nom du principe selon lequel l’innovation technologique ne doit pas être entravée.</w:t>
      </w:r>
      <w:bookmarkStart w:id="13" w:name="_Hlk39670090"/>
      <w:bookmarkEnd w:id="13"/>
    </w:p>
    <w:p w14:paraId="3826B328" w14:textId="77777777" w:rsidR="00622B29" w:rsidRPr="00622B29" w:rsidRDefault="003420B2" w:rsidP="00622B29">
      <w:pPr>
        <w:pStyle w:val="SingleTxtG"/>
      </w:pPr>
      <w:r>
        <w:lastRenderedPageBreak/>
        <w:t>3.</w:t>
      </w:r>
      <w:r>
        <w:tab/>
      </w:r>
      <w:r w:rsidR="00622B29" w:rsidRPr="00622B29">
        <w:t>L’ETRTO propose de modifier le Règlement ONU sur les pneumatiques afin d’autoriser des méthodes de marquage des pneumatiques autres que le moulage, à condition que les critères suivants soient respectés</w:t>
      </w:r>
      <w:r>
        <w:t> </w:t>
      </w:r>
      <w:r w:rsidR="00622B29" w:rsidRPr="00622B29">
        <w:t>:</w:t>
      </w:r>
    </w:p>
    <w:p w14:paraId="3FB3CD9D" w14:textId="77777777" w:rsidR="00622B29" w:rsidRPr="00622B29" w:rsidRDefault="003420B2" w:rsidP="004D3535">
      <w:pPr>
        <w:pStyle w:val="SingleTxtG"/>
        <w:ind w:firstLine="567"/>
      </w:pPr>
      <w:r>
        <w:t>a)</w:t>
      </w:r>
      <w:r>
        <w:tab/>
      </w:r>
      <w:r w:rsidR="00622B29" w:rsidRPr="00622B29">
        <w:t>Toute solution technique autre que le moulage doit garantir que les inscriptions sur le flanc du pneumatique soient clairement lisibles et indélébiles</w:t>
      </w:r>
      <w:r>
        <w:t> </w:t>
      </w:r>
      <w:r w:rsidR="00622B29" w:rsidRPr="00622B29">
        <w:t xml:space="preserve">; </w:t>
      </w:r>
    </w:p>
    <w:p w14:paraId="6FE3CFD5" w14:textId="77777777" w:rsidR="00622B29" w:rsidRPr="00622B29" w:rsidRDefault="003420B2" w:rsidP="004D3535">
      <w:pPr>
        <w:pStyle w:val="SingleTxtG"/>
        <w:ind w:firstLine="567"/>
      </w:pPr>
      <w:r>
        <w:t>b)</w:t>
      </w:r>
      <w:r>
        <w:tab/>
      </w:r>
      <w:r w:rsidR="00622B29" w:rsidRPr="00622B29">
        <w:t>Une fois modifié le Règlement ONU sur les pneumatiques, il sera possible −</w:t>
      </w:r>
      <w:r>
        <w:t> </w:t>
      </w:r>
      <w:r w:rsidR="00622B29" w:rsidRPr="00622B29">
        <w:t>et recommandé</w:t>
      </w:r>
      <w:r>
        <w:t> </w:t>
      </w:r>
      <w:r w:rsidR="00622B29" w:rsidRPr="00622B29">
        <w:t>− de proposer, à l’échelle mondiale, les mêmes prescriptions aux autres grands pays qui ne les appliquent pas (c’est-à-dire les États-Unis d’Amérique, la Chine et l’Inde) en modifiant le Règlement technique mondial (RTM) ONU n</w:t>
      </w:r>
      <w:r w:rsidR="00622B29" w:rsidRPr="00622B29">
        <w:rPr>
          <w:vertAlign w:val="superscript"/>
        </w:rPr>
        <w:t>o</w:t>
      </w:r>
      <w:r>
        <w:t> </w:t>
      </w:r>
      <w:r w:rsidR="00622B29" w:rsidRPr="00622B29">
        <w:t>16.</w:t>
      </w:r>
    </w:p>
    <w:p w14:paraId="11A90961" w14:textId="77777777" w:rsidR="00622B29" w:rsidRPr="00622B29" w:rsidRDefault="003420B2" w:rsidP="00622B29">
      <w:pPr>
        <w:pStyle w:val="SingleTxtG"/>
      </w:pPr>
      <w:r>
        <w:t>4.</w:t>
      </w:r>
      <w:r>
        <w:tab/>
      </w:r>
      <w:r w:rsidR="00622B29" w:rsidRPr="00622B29">
        <w:t>Comme indiqué dans le document informel GRBP-71-06, le SRTT14 sera progressivement supprimé d’ici à la fin octobre 2021 et la proposition est conforme aux amendements concernant l’essai de performance de la neige décrit à l’annexe</w:t>
      </w:r>
      <w:r w:rsidR="004D3535">
        <w:t> </w:t>
      </w:r>
      <w:r w:rsidR="00622B29" w:rsidRPr="00622B29">
        <w:t>7 du présent Règlement, comme décrit dans le document informel.</w:t>
      </w:r>
    </w:p>
    <w:p w14:paraId="1CD99067" w14:textId="77777777" w:rsidR="00622B29" w:rsidRPr="00622B29" w:rsidRDefault="003420B2" w:rsidP="00622B29">
      <w:pPr>
        <w:pStyle w:val="SingleTxtG"/>
      </w:pPr>
      <w:r>
        <w:t>5.</w:t>
      </w:r>
      <w:r>
        <w:tab/>
      </w:r>
      <w:r w:rsidR="00622B29" w:rsidRPr="00622B29">
        <w:t xml:space="preserve">Les dispositions transitoires demandées au paragraphe 12.11 sont nécessaires pour permettre aux services techniques une transition en douceur vers le SRTT16 sans disparition prématurée du SRTT14. </w:t>
      </w:r>
    </w:p>
    <w:p w14:paraId="618581CD" w14:textId="77777777" w:rsidR="00622B29" w:rsidRPr="00622B29" w:rsidRDefault="003420B2" w:rsidP="00622B29">
      <w:pPr>
        <w:pStyle w:val="SingleTxtG"/>
      </w:pPr>
      <w:r>
        <w:t>6.</w:t>
      </w:r>
      <w:r>
        <w:tab/>
      </w:r>
      <w:r w:rsidR="00622B29" w:rsidRPr="00622B29">
        <w:t>Les références sont mises à jour suite à la renumérotation du paragraphe précédent.</w:t>
      </w:r>
    </w:p>
    <w:p w14:paraId="59D19320" w14:textId="77777777" w:rsidR="00622B29" w:rsidRPr="00622B29" w:rsidRDefault="003420B2" w:rsidP="00622B29">
      <w:pPr>
        <w:pStyle w:val="SingleTxtG"/>
      </w:pPr>
      <w:r>
        <w:t>7.</w:t>
      </w:r>
      <w:r>
        <w:tab/>
      </w:r>
      <w:r w:rsidR="00622B29" w:rsidRPr="00622B29">
        <w:t>De nouveaux paragraphes sont ajoutés et les exemples</w:t>
      </w:r>
      <w:r w:rsidR="004D3535">
        <w:t> </w:t>
      </w:r>
      <w:r w:rsidR="00622B29" w:rsidRPr="00622B29">
        <w:t>1 et 2 sont modifiés, dans l’annexe</w:t>
      </w:r>
      <w:r w:rsidR="004D3535">
        <w:t> </w:t>
      </w:r>
      <w:r w:rsidR="00622B29" w:rsidRPr="00622B29">
        <w:t>2, pour mieux expliquer les inscriptions d’homologation autorisées.</w:t>
      </w:r>
    </w:p>
    <w:p w14:paraId="580623EA" w14:textId="77777777" w:rsidR="00622B29" w:rsidRPr="00622B29" w:rsidRDefault="003420B2" w:rsidP="00622B29">
      <w:pPr>
        <w:pStyle w:val="SingleTxtG"/>
      </w:pPr>
      <w:r>
        <w:t>8.</w:t>
      </w:r>
      <w:r>
        <w:tab/>
      </w:r>
      <w:r w:rsidR="00622B29" w:rsidRPr="00622B29">
        <w:t>En raison de la suppression progressive du SRTT14 (voir point</w:t>
      </w:r>
      <w:r w:rsidR="004D3535">
        <w:t> </w:t>
      </w:r>
      <w:r w:rsidR="00622B29" w:rsidRPr="00622B29">
        <w:t xml:space="preserve">4), les caractéristiques de la piste utilisée pour la méthode d’essai d’adhérence sur sol mouillé doivent également être modifiées. Il est proposé de faire concorder les prescriptions relatives au frottement des caractéristiques de la piste pour la méthode d’essai des pneumatiques des classes C2 et C3 avec celles des prescriptions relatives aux caractéristiques de la piste pour la méthode d’essai des pneumatiques de la classe C1 (telles que proposées séparément par l’ETRTO pour cette session de septembre 2020 du Groupe de travail du bruit et des pneumatiques) pour que les essais de ces deux méthodes puissent être effectués sur les mêmes surfaces. </w:t>
      </w:r>
    </w:p>
    <w:p w14:paraId="7E9CBA6B" w14:textId="77777777" w:rsidR="00622B29" w:rsidRPr="00622B29" w:rsidRDefault="003420B2" w:rsidP="00622B29">
      <w:pPr>
        <w:pStyle w:val="SingleTxtG"/>
      </w:pPr>
      <w:r>
        <w:t>9.</w:t>
      </w:r>
      <w:r>
        <w:tab/>
      </w:r>
      <w:r w:rsidR="00622B29" w:rsidRPr="00622B29">
        <w:t>L’apparition des dispositions transitoires</w:t>
      </w:r>
      <w:r w:rsidR="004D3535">
        <w:t> </w:t>
      </w:r>
      <w:r w:rsidR="00622B29" w:rsidRPr="00622B29">
        <w:t>12.12 a pour objectif de permettre aux services techniques d’adapter les pistes d’essai aux nouvelles prescriptions.</w:t>
      </w:r>
    </w:p>
    <w:p w14:paraId="5DA8A915" w14:textId="77777777" w:rsidR="00F9573C" w:rsidRPr="00622B29" w:rsidRDefault="00622B29" w:rsidP="00622B29">
      <w:pPr>
        <w:pStyle w:val="SingleTxtG"/>
        <w:spacing w:before="240" w:after="0"/>
        <w:jc w:val="center"/>
        <w:rPr>
          <w:u w:val="single"/>
        </w:rPr>
      </w:pPr>
      <w:r>
        <w:rPr>
          <w:u w:val="single"/>
        </w:rPr>
        <w:tab/>
      </w:r>
      <w:r>
        <w:rPr>
          <w:u w:val="single"/>
        </w:rPr>
        <w:tab/>
      </w:r>
      <w:r>
        <w:rPr>
          <w:u w:val="single"/>
        </w:rPr>
        <w:tab/>
      </w:r>
    </w:p>
    <w:sectPr w:rsidR="00F9573C" w:rsidRPr="00622B29" w:rsidSect="00EC0E0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7909" w14:textId="77777777" w:rsidR="000F3662" w:rsidRDefault="000F3662" w:rsidP="00F95C08">
      <w:pPr>
        <w:spacing w:line="240" w:lineRule="auto"/>
      </w:pPr>
    </w:p>
  </w:endnote>
  <w:endnote w:type="continuationSeparator" w:id="0">
    <w:p w14:paraId="5C8D39F0" w14:textId="77777777" w:rsidR="000F3662" w:rsidRPr="00AC3823" w:rsidRDefault="000F3662" w:rsidP="00AC3823">
      <w:pPr>
        <w:pStyle w:val="Pieddepage"/>
      </w:pPr>
    </w:p>
  </w:endnote>
  <w:endnote w:type="continuationNotice" w:id="1">
    <w:p w14:paraId="33C8BE0C" w14:textId="77777777" w:rsidR="000F3662" w:rsidRDefault="000F36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7A88" w14:textId="77777777" w:rsidR="000F3662" w:rsidRPr="00EC0E02" w:rsidRDefault="000F3662" w:rsidP="00EC0E02">
    <w:pPr>
      <w:pStyle w:val="Pieddepage"/>
      <w:tabs>
        <w:tab w:val="right" w:pos="9638"/>
      </w:tabs>
    </w:pPr>
    <w:r w:rsidRPr="00EC0E02">
      <w:rPr>
        <w:b/>
        <w:sz w:val="18"/>
      </w:rPr>
      <w:fldChar w:fldCharType="begin"/>
    </w:r>
    <w:r w:rsidRPr="00EC0E02">
      <w:rPr>
        <w:b/>
        <w:sz w:val="18"/>
      </w:rPr>
      <w:instrText xml:space="preserve"> PAGE  \* MERGEFORMAT </w:instrText>
    </w:r>
    <w:r w:rsidRPr="00EC0E02">
      <w:rPr>
        <w:b/>
        <w:sz w:val="18"/>
      </w:rPr>
      <w:fldChar w:fldCharType="separate"/>
    </w:r>
    <w:r w:rsidRPr="00EC0E02">
      <w:rPr>
        <w:b/>
        <w:noProof/>
        <w:sz w:val="18"/>
      </w:rPr>
      <w:t>2</w:t>
    </w:r>
    <w:r w:rsidRPr="00EC0E02">
      <w:rPr>
        <w:b/>
        <w:sz w:val="18"/>
      </w:rPr>
      <w:fldChar w:fldCharType="end"/>
    </w:r>
    <w:r>
      <w:rPr>
        <w:b/>
        <w:sz w:val="18"/>
      </w:rPr>
      <w:tab/>
    </w:r>
    <w:r>
      <w:t>GE.20-08248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F3B0" w14:textId="77777777" w:rsidR="000F3662" w:rsidRPr="00EC0E02" w:rsidRDefault="000F3662" w:rsidP="00EC0E02">
    <w:pPr>
      <w:pStyle w:val="Pieddepage"/>
      <w:tabs>
        <w:tab w:val="right" w:pos="9638"/>
      </w:tabs>
      <w:rPr>
        <w:b/>
        <w:sz w:val="18"/>
      </w:rPr>
    </w:pPr>
    <w:r>
      <w:t>GE.20-08248</w:t>
    </w:r>
    <w:r>
      <w:tab/>
    </w:r>
    <w:r w:rsidRPr="00EC0E02">
      <w:rPr>
        <w:b/>
        <w:sz w:val="18"/>
      </w:rPr>
      <w:fldChar w:fldCharType="begin"/>
    </w:r>
    <w:r w:rsidRPr="00EC0E02">
      <w:rPr>
        <w:b/>
        <w:sz w:val="18"/>
      </w:rPr>
      <w:instrText xml:space="preserve"> PAGE  \* MERGEFORMAT </w:instrText>
    </w:r>
    <w:r w:rsidRPr="00EC0E02">
      <w:rPr>
        <w:b/>
        <w:sz w:val="18"/>
      </w:rPr>
      <w:fldChar w:fldCharType="separate"/>
    </w:r>
    <w:r w:rsidRPr="00EC0E02">
      <w:rPr>
        <w:b/>
        <w:noProof/>
        <w:sz w:val="18"/>
      </w:rPr>
      <w:t>3</w:t>
    </w:r>
    <w:r w:rsidRPr="00EC0E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3DD4" w14:textId="77777777" w:rsidR="000F3662" w:rsidRPr="00EC0E02" w:rsidRDefault="000F3662" w:rsidP="00EC0E0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C78203D" wp14:editId="477975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20-08248  (F)    140720    </w:t>
    </w:r>
    <w:r w:rsidR="003E4E6D">
      <w:rPr>
        <w:sz w:val="20"/>
      </w:rPr>
      <w:t>20</w:t>
    </w:r>
    <w:r>
      <w:rPr>
        <w:sz w:val="20"/>
      </w:rPr>
      <w:t>0720</w:t>
    </w:r>
    <w:r>
      <w:rPr>
        <w:sz w:val="20"/>
      </w:rPr>
      <w:br/>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sidRPr="00EC0E02">
      <w:rPr>
        <w:rFonts w:ascii="C39T30Lfz" w:hAnsi="C39T30Lfz"/>
        <w:sz w:val="56"/>
      </w:rPr>
      <w:t></w:t>
    </w:r>
    <w:r>
      <w:rPr>
        <w:noProof/>
        <w:sz w:val="20"/>
      </w:rPr>
      <w:drawing>
        <wp:anchor distT="0" distB="0" distL="114300" distR="114300" simplePos="0" relativeHeight="251658240" behindDoc="0" locked="0" layoutInCell="1" allowOverlap="1" wp14:anchorId="19AA7CFE" wp14:editId="3C89E57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P/2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BCF3" w14:textId="77777777" w:rsidR="000F3662" w:rsidRPr="00AC3823" w:rsidRDefault="000F3662" w:rsidP="00AC3823">
      <w:pPr>
        <w:pStyle w:val="Pieddepage"/>
        <w:tabs>
          <w:tab w:val="right" w:pos="2155"/>
        </w:tabs>
        <w:spacing w:after="80" w:line="240" w:lineRule="atLeast"/>
        <w:ind w:left="680"/>
        <w:rPr>
          <w:u w:val="single"/>
        </w:rPr>
      </w:pPr>
      <w:r>
        <w:rPr>
          <w:u w:val="single"/>
        </w:rPr>
        <w:tab/>
      </w:r>
    </w:p>
  </w:footnote>
  <w:footnote w:type="continuationSeparator" w:id="0">
    <w:p w14:paraId="3A048CBE" w14:textId="77777777" w:rsidR="000F3662" w:rsidRPr="00AC3823" w:rsidRDefault="000F3662" w:rsidP="00AC3823">
      <w:pPr>
        <w:pStyle w:val="Pieddepage"/>
        <w:tabs>
          <w:tab w:val="right" w:pos="2155"/>
        </w:tabs>
        <w:spacing w:after="80" w:line="240" w:lineRule="atLeast"/>
        <w:ind w:left="680"/>
        <w:rPr>
          <w:u w:val="single"/>
        </w:rPr>
      </w:pPr>
      <w:r>
        <w:rPr>
          <w:u w:val="single"/>
        </w:rPr>
        <w:tab/>
      </w:r>
    </w:p>
  </w:footnote>
  <w:footnote w:type="continuationNotice" w:id="1">
    <w:p w14:paraId="79C8F4C1" w14:textId="77777777" w:rsidR="000F3662" w:rsidRPr="00AC3823" w:rsidRDefault="000F3662">
      <w:pPr>
        <w:spacing w:line="240" w:lineRule="auto"/>
        <w:rPr>
          <w:sz w:val="2"/>
          <w:szCs w:val="2"/>
        </w:rPr>
      </w:pPr>
    </w:p>
  </w:footnote>
  <w:footnote w:id="2">
    <w:p w14:paraId="113564EC" w14:textId="77777777" w:rsidR="000F3662" w:rsidRPr="00622B29" w:rsidRDefault="000F3662">
      <w:pPr>
        <w:pStyle w:val="Notedebasdepage"/>
      </w:pPr>
      <w:r>
        <w:rPr>
          <w:rStyle w:val="Appelnotedebasdep"/>
        </w:rPr>
        <w:tab/>
      </w:r>
      <w:r w:rsidRPr="00622B29">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2A20" w14:textId="5AFCBD8B" w:rsidR="000F3662" w:rsidRPr="00EC0E02" w:rsidRDefault="00D96A55">
    <w:pPr>
      <w:pStyle w:val="En-tte"/>
    </w:pPr>
    <w:r>
      <w:fldChar w:fldCharType="begin"/>
    </w:r>
    <w:r>
      <w:instrText xml:space="preserve"> TITLE  \* MERGEFORMAT </w:instrText>
    </w:r>
    <w:r>
      <w:fldChar w:fldCharType="separate"/>
    </w:r>
    <w:r>
      <w:t>ECE/TRANS/WP.29/GRBP/2020/17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B16" w14:textId="0387A2C2" w:rsidR="000F3662" w:rsidRPr="00EC0E02" w:rsidRDefault="00D96A55" w:rsidP="00EC0E02">
    <w:pPr>
      <w:pStyle w:val="En-tte"/>
      <w:jc w:val="right"/>
    </w:pPr>
    <w:r>
      <w:fldChar w:fldCharType="begin"/>
    </w:r>
    <w:r>
      <w:instrText xml:space="preserve"> TITLE  \* MERGEFORMAT </w:instrText>
    </w:r>
    <w:r>
      <w:fldChar w:fldCharType="separate"/>
    </w:r>
    <w:r>
      <w:t>ECE/TRANS/WP.29/GRBP/2020/17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1BBE743F"/>
    <w:multiLevelType w:val="hybridMultilevel"/>
    <w:tmpl w:val="AB8A37CE"/>
    <w:lvl w:ilvl="0" w:tplc="BEE8785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FED716A"/>
    <w:multiLevelType w:val="hybridMultilevel"/>
    <w:tmpl w:val="EBE68058"/>
    <w:lvl w:ilvl="0" w:tplc="9A3EC562">
      <w:start w:val="4"/>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num w:numId="1">
    <w:abstractNumId w:val="16"/>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0"/>
  </w:num>
  <w:num w:numId="17">
    <w:abstractNumId w:val="15"/>
    <w:lvlOverride w:ilvl="0">
      <w:lvl w:ilvl="0" w:tplc="0410000F">
        <w:start w:val="1"/>
        <w:numFmt w:val="decimal"/>
        <w:lvlText w:val="%1."/>
        <w:lvlJc w:val="left"/>
        <w:pPr>
          <w:ind w:left="1287" w:hanging="360"/>
        </w:pPr>
      </w:lvl>
    </w:lvlOverride>
  </w:num>
  <w:num w:numId="18">
    <w:abstractNumId w:val="11"/>
    <w:lvlOverride w:ilvl="0">
      <w:lvl w:ilvl="0" w:tplc="019E7BA8">
        <w:start w:val="1"/>
        <w:numFmt w:val="lowerLetter"/>
        <w:lvlText w:val="%1."/>
        <w:lvlJc w:val="left"/>
        <w:pPr>
          <w:ind w:left="2628" w:hanging="360"/>
        </w:pPr>
        <w:rPr>
          <w:rFonts w:hint="default"/>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 w:ilvl="0" w:tplc="9A3EC562">
        <w:start w:val="4"/>
        <w:numFmt w:val="decimal"/>
        <w:lvlText w:val="%1."/>
        <w:lvlJc w:val="left"/>
        <w:pPr>
          <w:ind w:left="1287" w:hanging="360"/>
        </w:pPr>
        <w:rPr>
          <w:rFonts w:hint="default"/>
        </w:rPr>
      </w:lvl>
    </w:lvlOverride>
  </w:num>
  <w:num w:numId="21">
    <w:abstractNumId w:val="12"/>
    <w:lvlOverride w:ilvl="0">
      <w:lvl w:ilvl="0" w:tplc="BEE8785E">
        <w:start w:val="1"/>
        <w:numFmt w:val="lowerLetter"/>
        <w:lvlText w:val="%1)"/>
        <w:lvlJc w:val="left"/>
        <w:pPr>
          <w:ind w:left="1778"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59E1"/>
    <w:rsid w:val="00017F94"/>
    <w:rsid w:val="00023842"/>
    <w:rsid w:val="000334F9"/>
    <w:rsid w:val="00045FEB"/>
    <w:rsid w:val="0007796D"/>
    <w:rsid w:val="000B7790"/>
    <w:rsid w:val="000F3662"/>
    <w:rsid w:val="00111F2F"/>
    <w:rsid w:val="0014365E"/>
    <w:rsid w:val="00143C66"/>
    <w:rsid w:val="00145973"/>
    <w:rsid w:val="001701D4"/>
    <w:rsid w:val="00176178"/>
    <w:rsid w:val="001866CF"/>
    <w:rsid w:val="001F525A"/>
    <w:rsid w:val="002130A3"/>
    <w:rsid w:val="00223272"/>
    <w:rsid w:val="0024779E"/>
    <w:rsid w:val="00257168"/>
    <w:rsid w:val="002744B8"/>
    <w:rsid w:val="002812BB"/>
    <w:rsid w:val="002832AC"/>
    <w:rsid w:val="002C0ACD"/>
    <w:rsid w:val="002D7C93"/>
    <w:rsid w:val="00305801"/>
    <w:rsid w:val="00307388"/>
    <w:rsid w:val="003250E4"/>
    <w:rsid w:val="003420B2"/>
    <w:rsid w:val="003916DE"/>
    <w:rsid w:val="003E4E6D"/>
    <w:rsid w:val="00414C31"/>
    <w:rsid w:val="00421996"/>
    <w:rsid w:val="00441C3B"/>
    <w:rsid w:val="00446FE5"/>
    <w:rsid w:val="00452396"/>
    <w:rsid w:val="004837D8"/>
    <w:rsid w:val="00494F58"/>
    <w:rsid w:val="004D3535"/>
    <w:rsid w:val="004E2EED"/>
    <w:rsid w:val="004E468C"/>
    <w:rsid w:val="004E7F3F"/>
    <w:rsid w:val="004F638D"/>
    <w:rsid w:val="00512917"/>
    <w:rsid w:val="005505B7"/>
    <w:rsid w:val="00573BE5"/>
    <w:rsid w:val="00586ED3"/>
    <w:rsid w:val="00587C81"/>
    <w:rsid w:val="00596AA9"/>
    <w:rsid w:val="00622B29"/>
    <w:rsid w:val="00686189"/>
    <w:rsid w:val="007137FC"/>
    <w:rsid w:val="0071601D"/>
    <w:rsid w:val="007636FB"/>
    <w:rsid w:val="007A62E6"/>
    <w:rsid w:val="007B55F2"/>
    <w:rsid w:val="007F20FA"/>
    <w:rsid w:val="0080684C"/>
    <w:rsid w:val="008130E8"/>
    <w:rsid w:val="0082033B"/>
    <w:rsid w:val="0083526B"/>
    <w:rsid w:val="00871C75"/>
    <w:rsid w:val="008776DC"/>
    <w:rsid w:val="008E6AC3"/>
    <w:rsid w:val="009446C0"/>
    <w:rsid w:val="009705C8"/>
    <w:rsid w:val="009A3359"/>
    <w:rsid w:val="009C1CF4"/>
    <w:rsid w:val="009F6B74"/>
    <w:rsid w:val="00A3029F"/>
    <w:rsid w:val="00A30353"/>
    <w:rsid w:val="00AC3823"/>
    <w:rsid w:val="00AD0CAE"/>
    <w:rsid w:val="00AE323C"/>
    <w:rsid w:val="00AF0CB5"/>
    <w:rsid w:val="00AF59FF"/>
    <w:rsid w:val="00B00181"/>
    <w:rsid w:val="00B00B0D"/>
    <w:rsid w:val="00B13F30"/>
    <w:rsid w:val="00B45F2E"/>
    <w:rsid w:val="00B765F7"/>
    <w:rsid w:val="00B860FA"/>
    <w:rsid w:val="00BA0CA9"/>
    <w:rsid w:val="00BD5BA7"/>
    <w:rsid w:val="00C02897"/>
    <w:rsid w:val="00C41EAC"/>
    <w:rsid w:val="00C50E2D"/>
    <w:rsid w:val="00C75AA1"/>
    <w:rsid w:val="00C97039"/>
    <w:rsid w:val="00D3439C"/>
    <w:rsid w:val="00D559E1"/>
    <w:rsid w:val="00D8533B"/>
    <w:rsid w:val="00D8721B"/>
    <w:rsid w:val="00D96A55"/>
    <w:rsid w:val="00DA5D0D"/>
    <w:rsid w:val="00DB1831"/>
    <w:rsid w:val="00DD3BFD"/>
    <w:rsid w:val="00DF6678"/>
    <w:rsid w:val="00E0299A"/>
    <w:rsid w:val="00E36055"/>
    <w:rsid w:val="00E37D59"/>
    <w:rsid w:val="00E85C74"/>
    <w:rsid w:val="00E905CF"/>
    <w:rsid w:val="00EA6547"/>
    <w:rsid w:val="00EC0E02"/>
    <w:rsid w:val="00EF2E22"/>
    <w:rsid w:val="00EF6F08"/>
    <w:rsid w:val="00F35BAF"/>
    <w:rsid w:val="00F5306C"/>
    <w:rsid w:val="00F56714"/>
    <w:rsid w:val="00F64BAE"/>
    <w:rsid w:val="00F660DF"/>
    <w:rsid w:val="00F94664"/>
    <w:rsid w:val="00F9573C"/>
    <w:rsid w:val="00F95C08"/>
    <w:rsid w:val="00FB1282"/>
    <w:rsid w:val="00FC6453"/>
    <w:rsid w:val="00FD4B4C"/>
    <w:rsid w:val="00FE7E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12375"/>
  <w15:docId w15:val="{5E22FA4D-604A-4757-9B3F-EDEE3A5E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AA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75AA1"/>
    <w:pPr>
      <w:keepNext/>
      <w:keepLines/>
      <w:spacing w:after="0" w:line="240" w:lineRule="auto"/>
      <w:ind w:right="0"/>
      <w:jc w:val="left"/>
      <w:outlineLvl w:val="0"/>
    </w:pPr>
  </w:style>
  <w:style w:type="paragraph" w:styleId="Titre2">
    <w:name w:val="heading 2"/>
    <w:basedOn w:val="Normal"/>
    <w:next w:val="Normal"/>
    <w:link w:val="Titre2Car"/>
    <w:semiHidden/>
    <w:qFormat/>
    <w:rsid w:val="00C75AA1"/>
    <w:pPr>
      <w:outlineLvl w:val="1"/>
    </w:pPr>
  </w:style>
  <w:style w:type="paragraph" w:styleId="Titre3">
    <w:name w:val="heading 3"/>
    <w:basedOn w:val="Normal"/>
    <w:next w:val="Normal"/>
    <w:link w:val="Titre3Car"/>
    <w:semiHidden/>
    <w:qFormat/>
    <w:rsid w:val="00C75AA1"/>
    <w:pPr>
      <w:outlineLvl w:val="2"/>
    </w:pPr>
  </w:style>
  <w:style w:type="paragraph" w:styleId="Titre4">
    <w:name w:val="heading 4"/>
    <w:basedOn w:val="Normal"/>
    <w:next w:val="Normal"/>
    <w:link w:val="Titre4Car"/>
    <w:semiHidden/>
    <w:qFormat/>
    <w:rsid w:val="00C75AA1"/>
    <w:pPr>
      <w:outlineLvl w:val="3"/>
    </w:pPr>
  </w:style>
  <w:style w:type="paragraph" w:styleId="Titre5">
    <w:name w:val="heading 5"/>
    <w:basedOn w:val="Normal"/>
    <w:next w:val="Normal"/>
    <w:link w:val="Titre5Car"/>
    <w:semiHidden/>
    <w:qFormat/>
    <w:rsid w:val="00C75AA1"/>
    <w:pPr>
      <w:outlineLvl w:val="4"/>
    </w:pPr>
  </w:style>
  <w:style w:type="paragraph" w:styleId="Titre6">
    <w:name w:val="heading 6"/>
    <w:basedOn w:val="Normal"/>
    <w:next w:val="Normal"/>
    <w:link w:val="Titre6Car"/>
    <w:semiHidden/>
    <w:qFormat/>
    <w:rsid w:val="00C75AA1"/>
    <w:pPr>
      <w:outlineLvl w:val="5"/>
    </w:pPr>
  </w:style>
  <w:style w:type="paragraph" w:styleId="Titre7">
    <w:name w:val="heading 7"/>
    <w:basedOn w:val="Normal"/>
    <w:next w:val="Normal"/>
    <w:link w:val="Titre7Car"/>
    <w:semiHidden/>
    <w:qFormat/>
    <w:rsid w:val="00C75AA1"/>
    <w:pPr>
      <w:outlineLvl w:val="6"/>
    </w:pPr>
  </w:style>
  <w:style w:type="paragraph" w:styleId="Titre8">
    <w:name w:val="heading 8"/>
    <w:basedOn w:val="Normal"/>
    <w:next w:val="Normal"/>
    <w:link w:val="Titre8Car"/>
    <w:semiHidden/>
    <w:qFormat/>
    <w:rsid w:val="00C75AA1"/>
    <w:pPr>
      <w:outlineLvl w:val="7"/>
    </w:pPr>
  </w:style>
  <w:style w:type="paragraph" w:styleId="Titre9">
    <w:name w:val="heading 9"/>
    <w:basedOn w:val="Normal"/>
    <w:next w:val="Normal"/>
    <w:link w:val="Titre9Car"/>
    <w:semiHidden/>
    <w:qFormat/>
    <w:rsid w:val="00C75AA1"/>
    <w:pPr>
      <w:outlineLvl w:val="8"/>
    </w:pPr>
  </w:style>
  <w:style w:type="character" w:default="1" w:styleId="Policepardfaut">
    <w:name w:val="Default Paragraph Font"/>
    <w:uiPriority w:val="1"/>
    <w:semiHidden/>
    <w:unhideWhenUsed/>
    <w:rsid w:val="00C75AA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75AA1"/>
  </w:style>
  <w:style w:type="paragraph" w:styleId="En-tte">
    <w:name w:val="header"/>
    <w:aliases w:val="6_G"/>
    <w:basedOn w:val="Normal"/>
    <w:next w:val="Normal"/>
    <w:link w:val="En-tteCar"/>
    <w:qFormat/>
    <w:rsid w:val="00C75AA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75AA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75AA1"/>
    <w:pPr>
      <w:spacing w:line="240" w:lineRule="auto"/>
    </w:pPr>
    <w:rPr>
      <w:sz w:val="16"/>
    </w:rPr>
  </w:style>
  <w:style w:type="character" w:customStyle="1" w:styleId="PieddepageCar">
    <w:name w:val="Pied de page Car"/>
    <w:aliases w:val="3_G Car"/>
    <w:basedOn w:val="Policepardfaut"/>
    <w:link w:val="Pieddepage"/>
    <w:rsid w:val="00C75AA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75AA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75AA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75AA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75AA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75AA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75AA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75AA1"/>
    <w:pPr>
      <w:spacing w:after="120"/>
      <w:ind w:left="1134" w:right="1134"/>
      <w:jc w:val="both"/>
    </w:pPr>
  </w:style>
  <w:style w:type="paragraph" w:customStyle="1" w:styleId="SLG">
    <w:name w:val="__S_L_G"/>
    <w:basedOn w:val="Normal"/>
    <w:next w:val="Normal"/>
    <w:rsid w:val="00C75AA1"/>
    <w:pPr>
      <w:keepNext/>
      <w:keepLines/>
      <w:spacing w:before="240" w:after="240" w:line="580" w:lineRule="exact"/>
      <w:ind w:left="1134" w:right="1134"/>
    </w:pPr>
    <w:rPr>
      <w:b/>
      <w:sz w:val="56"/>
    </w:rPr>
  </w:style>
  <w:style w:type="paragraph" w:customStyle="1" w:styleId="SMG">
    <w:name w:val="__S_M_G"/>
    <w:basedOn w:val="Normal"/>
    <w:next w:val="Normal"/>
    <w:rsid w:val="00C75AA1"/>
    <w:pPr>
      <w:keepNext/>
      <w:keepLines/>
      <w:spacing w:before="240" w:after="240" w:line="420" w:lineRule="exact"/>
      <w:ind w:left="1134" w:right="1134"/>
    </w:pPr>
    <w:rPr>
      <w:b/>
      <w:sz w:val="40"/>
    </w:rPr>
  </w:style>
  <w:style w:type="paragraph" w:customStyle="1" w:styleId="SSG">
    <w:name w:val="__S_S_G"/>
    <w:basedOn w:val="Normal"/>
    <w:next w:val="Normal"/>
    <w:rsid w:val="00C75AA1"/>
    <w:pPr>
      <w:keepNext/>
      <w:keepLines/>
      <w:spacing w:before="240" w:after="240" w:line="300" w:lineRule="exact"/>
      <w:ind w:left="1134" w:right="1134"/>
    </w:pPr>
    <w:rPr>
      <w:b/>
      <w:sz w:val="28"/>
    </w:rPr>
  </w:style>
  <w:style w:type="paragraph" w:customStyle="1" w:styleId="XLargeG">
    <w:name w:val="__XLarge_G"/>
    <w:basedOn w:val="Normal"/>
    <w:next w:val="Normal"/>
    <w:rsid w:val="00C75AA1"/>
    <w:pPr>
      <w:keepNext/>
      <w:keepLines/>
      <w:spacing w:before="240" w:after="240" w:line="420" w:lineRule="exact"/>
      <w:ind w:left="1134" w:right="1134"/>
    </w:pPr>
    <w:rPr>
      <w:b/>
      <w:sz w:val="40"/>
    </w:rPr>
  </w:style>
  <w:style w:type="paragraph" w:customStyle="1" w:styleId="Bullet1G">
    <w:name w:val="_Bullet 1_G"/>
    <w:basedOn w:val="Normal"/>
    <w:qFormat/>
    <w:rsid w:val="00C75AA1"/>
    <w:pPr>
      <w:numPr>
        <w:numId w:val="1"/>
      </w:numPr>
      <w:spacing w:after="120"/>
      <w:ind w:right="1134"/>
      <w:jc w:val="both"/>
    </w:pPr>
  </w:style>
  <w:style w:type="paragraph" w:customStyle="1" w:styleId="Bullet2G">
    <w:name w:val="_Bullet 2_G"/>
    <w:basedOn w:val="Normal"/>
    <w:qFormat/>
    <w:rsid w:val="00C75AA1"/>
    <w:pPr>
      <w:numPr>
        <w:numId w:val="2"/>
      </w:numPr>
      <w:spacing w:after="120"/>
      <w:ind w:right="1134"/>
      <w:jc w:val="both"/>
    </w:pPr>
  </w:style>
  <w:style w:type="paragraph" w:customStyle="1" w:styleId="ParNoG">
    <w:name w:val="_ParNo_G"/>
    <w:basedOn w:val="Normal"/>
    <w:qFormat/>
    <w:rsid w:val="00C75AA1"/>
    <w:pPr>
      <w:numPr>
        <w:numId w:val="3"/>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Fußnotenzeichen"/>
    <w:basedOn w:val="Policepardfaut"/>
    <w:qFormat/>
    <w:rsid w:val="00C75AA1"/>
    <w:rPr>
      <w:rFonts w:ascii="Times New Roman" w:hAnsi="Times New Roman"/>
      <w:sz w:val="18"/>
      <w:vertAlign w:val="superscript"/>
      <w:lang w:val="fr-CH"/>
    </w:rPr>
  </w:style>
  <w:style w:type="character" w:styleId="Appeldenotedefin">
    <w:name w:val="endnote reference"/>
    <w:aliases w:val="1_G"/>
    <w:basedOn w:val="Appelnotedebasdep"/>
    <w:qFormat/>
    <w:rsid w:val="00C75AA1"/>
    <w:rPr>
      <w:rFonts w:ascii="Times New Roman" w:hAnsi="Times New Roman"/>
      <w:sz w:val="18"/>
      <w:vertAlign w:val="superscript"/>
      <w:lang w:val="fr-CH"/>
    </w:rPr>
  </w:style>
  <w:style w:type="table" w:styleId="Grilledutableau">
    <w:name w:val="Table Grid"/>
    <w:basedOn w:val="TableauNormal"/>
    <w:rsid w:val="00C75AA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75AA1"/>
    <w:rPr>
      <w:color w:val="0000FF"/>
      <w:u w:val="none"/>
    </w:rPr>
  </w:style>
  <w:style w:type="character" w:styleId="Lienhypertextesuivivisit">
    <w:name w:val="FollowedHyperlink"/>
    <w:basedOn w:val="Policepardfaut"/>
    <w:unhideWhenUsed/>
    <w:rsid w:val="00C75AA1"/>
    <w:rPr>
      <w:color w:val="0000FF"/>
      <w:u w:val="none"/>
    </w:rPr>
  </w:style>
  <w:style w:type="paragraph" w:styleId="Notedebasdepage">
    <w:name w:val="footnote text"/>
    <w:aliases w:val="5_G"/>
    <w:basedOn w:val="Normal"/>
    <w:link w:val="NotedebasdepageCar"/>
    <w:qFormat/>
    <w:rsid w:val="00C75AA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75AA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75AA1"/>
  </w:style>
  <w:style w:type="character" w:customStyle="1" w:styleId="NotedefinCar">
    <w:name w:val="Note de fin Car"/>
    <w:aliases w:val="2_G Car"/>
    <w:basedOn w:val="Policepardfaut"/>
    <w:link w:val="Notedefin"/>
    <w:rsid w:val="00C75AA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75AA1"/>
    <w:rPr>
      <w:rFonts w:ascii="Times New Roman" w:hAnsi="Times New Roman"/>
      <w:b/>
      <w:sz w:val="18"/>
      <w:lang w:val="fr-CH"/>
    </w:rPr>
  </w:style>
  <w:style w:type="character" w:customStyle="1" w:styleId="Titre1Car">
    <w:name w:val="Titre 1 Car"/>
    <w:aliases w:val="Table_G Car"/>
    <w:basedOn w:val="Policepardfaut"/>
    <w:link w:val="Titre1"/>
    <w:rsid w:val="00C75AA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C75AA1"/>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C75AA1"/>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C75AA1"/>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C75AA1"/>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C75AA1"/>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C75AA1"/>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C75AA1"/>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C75AA1"/>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C75AA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A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9</Pages>
  <Words>2997</Words>
  <Characters>17089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ECE/TRANS/WP.29/GRBP/2020/17</vt:lpstr>
    </vt:vector>
  </TitlesOfParts>
  <Company>DCM</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ECE/TRANS/WP.29/GRBP/2020/17</dc:title>
  <dc:subject/>
  <dc:creator>Brianne MAGNAT</dc:creator>
  <cp:keywords/>
  <cp:lastModifiedBy>Brianne Magnat</cp:lastModifiedBy>
  <cp:revision>3</cp:revision>
  <cp:lastPrinted>2020-07-20T12:24:00Z</cp:lastPrinted>
  <dcterms:created xsi:type="dcterms:W3CDTF">2020-07-20T12:24:00Z</dcterms:created>
  <dcterms:modified xsi:type="dcterms:W3CDTF">2020-07-20T12:26:00Z</dcterms:modified>
</cp:coreProperties>
</file>