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D00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D00F1" w:rsidP="000D00F1">
            <w:pPr>
              <w:jc w:val="right"/>
            </w:pPr>
            <w:r w:rsidRPr="000D00F1">
              <w:rPr>
                <w:sz w:val="40"/>
              </w:rPr>
              <w:t>ECE</w:t>
            </w:r>
            <w:r>
              <w:t>/TRANS/WP.29/GRBP/2020/8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D00F1" w:rsidP="00C97039">
            <w:pPr>
              <w:spacing w:before="240"/>
            </w:pPr>
            <w:r>
              <w:t>Distr. générale</w:t>
            </w:r>
          </w:p>
          <w:p w:rsidR="000D00F1" w:rsidRDefault="000D00F1" w:rsidP="000D00F1">
            <w:pPr>
              <w:spacing w:line="240" w:lineRule="exact"/>
            </w:pPr>
            <w:r>
              <w:t>19 juin 2020</w:t>
            </w:r>
          </w:p>
          <w:p w:rsidR="000D00F1" w:rsidRDefault="000D00F1" w:rsidP="000D00F1">
            <w:pPr>
              <w:spacing w:line="240" w:lineRule="exact"/>
            </w:pPr>
            <w:r>
              <w:t>Français</w:t>
            </w:r>
          </w:p>
          <w:p w:rsidR="000D00F1" w:rsidRPr="00DB58B5" w:rsidRDefault="000D00F1" w:rsidP="000D00F1">
            <w:pPr>
              <w:spacing w:line="240" w:lineRule="exact"/>
            </w:pPr>
            <w:r>
              <w:t>Original : Anglais et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 xml:space="preserve">Commission </w:t>
      </w:r>
      <w:bookmarkStart w:id="0" w:name="_GoBack"/>
      <w:bookmarkEnd w:id="0"/>
      <w:r w:rsidRPr="000312C0">
        <w:rPr>
          <w:b/>
          <w:sz w:val="28"/>
          <w:szCs w:val="28"/>
        </w:rPr>
        <w:t>économique pour l</w:t>
      </w:r>
      <w:r w:rsidR="000D00F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D00F1" w:rsidRDefault="000D00F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D00F1" w:rsidRDefault="000D00F1" w:rsidP="00F9573C">
      <w:pPr>
        <w:spacing w:before="120" w:after="120" w:line="240" w:lineRule="exact"/>
        <w:rPr>
          <w:b/>
        </w:rPr>
      </w:pPr>
      <w:r>
        <w:rPr>
          <w:b/>
        </w:rPr>
        <w:t xml:space="preserve">Groupe de travail du bruit </w:t>
      </w:r>
      <w:r>
        <w:rPr>
          <w:b/>
          <w:bCs/>
          <w:lang w:val="fr-FR"/>
        </w:rPr>
        <w:t>et des pneumatiques</w:t>
      </w:r>
    </w:p>
    <w:p w:rsidR="000D00F1" w:rsidRPr="004B2BD8" w:rsidRDefault="000D00F1" w:rsidP="000D00F1">
      <w:pPr>
        <w:spacing w:before="120"/>
        <w:rPr>
          <w:rFonts w:eastAsia="Times New Roman"/>
          <w:b/>
          <w:lang w:val="fr-FR"/>
        </w:rPr>
      </w:pPr>
      <w:r>
        <w:rPr>
          <w:b/>
          <w:bCs/>
          <w:lang w:val="fr-FR"/>
        </w:rPr>
        <w:t>Soixante-douzième session</w:t>
      </w:r>
    </w:p>
    <w:p w:rsidR="000D00F1" w:rsidRPr="004B2BD8" w:rsidRDefault="000D00F1" w:rsidP="000D00F1">
      <w:pPr>
        <w:rPr>
          <w:bCs/>
          <w:lang w:val="fr-FR"/>
        </w:rPr>
      </w:pPr>
      <w:r>
        <w:rPr>
          <w:lang w:val="fr-FR"/>
        </w:rPr>
        <w:t xml:space="preserve">Genève, 7-9 septembre 2020 </w:t>
      </w:r>
    </w:p>
    <w:p w:rsidR="000D00F1" w:rsidRPr="004B2BD8" w:rsidRDefault="000D00F1" w:rsidP="000D00F1">
      <w:pPr>
        <w:ind w:right="1134"/>
        <w:rPr>
          <w:bCs/>
          <w:lang w:val="fr-FR"/>
        </w:rPr>
      </w:pPr>
      <w:r>
        <w:rPr>
          <w:lang w:val="fr-FR"/>
        </w:rPr>
        <w:t>Point 5 f)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0D00F1" w:rsidRDefault="000D00F1" w:rsidP="000D00F1">
      <w:pPr>
        <w:spacing w:line="240" w:lineRule="exact"/>
      </w:pPr>
      <w:r>
        <w:rPr>
          <w:b/>
          <w:bCs/>
          <w:lang w:val="fr-FR"/>
        </w:rPr>
        <w:t>Pneumatiques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 Règlement ONU n</w:t>
      </w:r>
      <w:r>
        <w:rPr>
          <w:b/>
          <w:bCs/>
          <w:vertAlign w:val="superscript"/>
          <w:lang w:val="fr-FR"/>
        </w:rPr>
        <w:t>o </w:t>
      </w:r>
      <w:r>
        <w:rPr>
          <w:b/>
          <w:bCs/>
          <w:lang w:val="fr-FR"/>
        </w:rPr>
        <w:t xml:space="preserve">124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(Roues de rechange pour voitures particulières)</w:t>
      </w:r>
    </w:p>
    <w:p w:rsidR="000D00F1" w:rsidRPr="004B2BD8" w:rsidRDefault="000D00F1" w:rsidP="000D00F1">
      <w:pPr>
        <w:pStyle w:val="HChG"/>
        <w:rPr>
          <w:rFonts w:eastAsia="Times New Roman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</w:t>
      </w:r>
      <w:r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124</w:t>
      </w:r>
    </w:p>
    <w:p w:rsidR="000D00F1" w:rsidRPr="004B2BD8" w:rsidRDefault="000D00F1" w:rsidP="000D00F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Communication des experts de la Fédération de Russie</w:t>
      </w:r>
      <w:r w:rsidRPr="000D00F1">
        <w:rPr>
          <w:rFonts w:ascii="Times New Roman Bold" w:hAnsi="Times New Roman Bold"/>
          <w:b w:val="0"/>
          <w:bCs/>
          <w:sz w:val="20"/>
          <w:lang w:val="fr-FR"/>
        </w:rPr>
        <w:footnoteReference w:customMarkFollows="1" w:id="2"/>
        <w:t>*</w:t>
      </w:r>
    </w:p>
    <w:p w:rsidR="000D00F1" w:rsidRPr="004B2BD8" w:rsidRDefault="000D00F1" w:rsidP="000D00F1">
      <w:pPr>
        <w:pStyle w:val="SingleTxtG"/>
        <w:rPr>
          <w:lang w:val="fr-FR"/>
        </w:rPr>
      </w:pPr>
      <w:r>
        <w:rPr>
          <w:lang w:val="fr-FR"/>
        </w:rPr>
        <w:tab/>
        <w:t>Le texte reproduit ci-après a été établi par les experts de la Fédération de Russie.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>apporter au texte actuel du Règlement ONU figurent en caractères gras pour les ajouts et biffés pour les suppressions.</w:t>
      </w:r>
    </w:p>
    <w:p w:rsidR="000D00F1" w:rsidRPr="004B2BD8" w:rsidRDefault="000D00F1" w:rsidP="000D00F1">
      <w:pPr>
        <w:pStyle w:val="HChG"/>
        <w:rPr>
          <w:lang w:val="fr-FR"/>
        </w:rPr>
      </w:pPr>
      <w:r w:rsidRPr="004B2BD8"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:rsidR="000D00F1" w:rsidRPr="004B2BD8" w:rsidRDefault="000D00F1" w:rsidP="000D00F1">
      <w:pPr>
        <w:spacing w:after="120"/>
        <w:ind w:left="1134" w:right="1134"/>
        <w:jc w:val="both"/>
        <w:rPr>
          <w:lang w:val="fr-FR"/>
        </w:rPr>
      </w:pPr>
      <w:r>
        <w:rPr>
          <w:i/>
          <w:iCs/>
          <w:lang w:val="fr-FR"/>
        </w:rPr>
        <w:t>Annexe 8, paragraphe 3, tableau, ligne « Critères d</w:t>
      </w:r>
      <w:r>
        <w:rPr>
          <w:i/>
          <w:iCs/>
          <w:lang w:val="fr-FR"/>
        </w:rPr>
        <w:t>’</w:t>
      </w:r>
      <w:r>
        <w:rPr>
          <w:i/>
          <w:iCs/>
          <w:lang w:val="fr-FR"/>
        </w:rPr>
        <w:t>acceptation »</w:t>
      </w:r>
      <w:r>
        <w:rPr>
          <w:lang w:val="fr-FR"/>
        </w:rPr>
        <w:t>, lire :</w:t>
      </w:r>
    </w:p>
    <w:tbl>
      <w:tblPr>
        <w:tblW w:w="7371" w:type="dxa"/>
        <w:tblInd w:w="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811"/>
      </w:tblGrid>
      <w:tr w:rsidR="000D00F1" w:rsidRPr="004B2BD8" w:rsidTr="000D00F1">
        <w:tc>
          <w:tcPr>
            <w:tcW w:w="1560" w:type="dxa"/>
          </w:tcPr>
          <w:p w:rsidR="000D00F1" w:rsidRDefault="000D00F1" w:rsidP="000D00F1">
            <w:pPr>
              <w:keepNext/>
              <w:spacing w:before="40" w:after="40"/>
              <w:ind w:left="57" w:right="57"/>
            </w:pPr>
            <w:r>
              <w:rPr>
                <w:lang w:val="fr-FR"/>
              </w:rPr>
              <w:t>Critères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acceptation</w:t>
            </w:r>
          </w:p>
        </w:tc>
        <w:tc>
          <w:tcPr>
            <w:tcW w:w="5811" w:type="dxa"/>
          </w:tcPr>
          <w:p w:rsidR="000D00F1" w:rsidRPr="004B2BD8" w:rsidRDefault="000D00F1" w:rsidP="000D00F1">
            <w:pPr>
              <w:suppressAutoHyphens w:val="0"/>
              <w:spacing w:before="40" w:after="40" w:line="240" w:lineRule="auto"/>
              <w:ind w:left="57" w:right="57"/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essai est jugé satisfaisant s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il n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y a aucune fracture visible allant au</w:t>
            </w:r>
            <w:r>
              <w:rPr>
                <w:lang w:val="fr-FR"/>
              </w:rPr>
              <w:noBreakHyphen/>
            </w:r>
            <w:r>
              <w:rPr>
                <w:lang w:val="fr-FR"/>
              </w:rPr>
              <w:t xml:space="preserve">delà de la surface de la roue et si </w:t>
            </w:r>
            <w:r>
              <w:rPr>
                <w:strike/>
                <w:lang w:val="fr-FR"/>
              </w:rPr>
              <w:t xml:space="preserve">aucune baisse de </w:t>
            </w:r>
            <w:r>
              <w:rPr>
                <w:lang w:val="fr-FR"/>
              </w:rPr>
              <w:t xml:space="preserve">la pression de gonflage du pneumatique </w:t>
            </w:r>
            <w:r>
              <w:rPr>
                <w:strike/>
                <w:lang w:val="fr-FR"/>
              </w:rPr>
              <w:t>n</w:t>
            </w:r>
            <w:r>
              <w:rPr>
                <w:strike/>
                <w:lang w:val="fr-FR"/>
              </w:rPr>
              <w:t>’</w:t>
            </w:r>
            <w:r>
              <w:rPr>
                <w:strike/>
                <w:lang w:val="fr-FR"/>
              </w:rPr>
              <w:t xml:space="preserve">apparaît </w:t>
            </w:r>
            <w:r>
              <w:rPr>
                <w:b/>
                <w:bCs/>
                <w:lang w:val="fr-FR"/>
              </w:rPr>
              <w:t>ne tombe pas à zéro par suite d</w:t>
            </w:r>
            <w:r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 xml:space="preserve">une dépressurisation </w:t>
            </w:r>
            <w:r>
              <w:rPr>
                <w:lang w:val="fr-FR"/>
              </w:rPr>
              <w:t>dans la minute qui suit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achèvement de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essai. Les fractures et les indentations causées par le contact direct avec la masse soumise à la chute sont acceptables.</w:t>
            </w:r>
          </w:p>
          <w:p w:rsidR="000D00F1" w:rsidRPr="004B2BD8" w:rsidRDefault="000D00F1" w:rsidP="000D00F1">
            <w:pPr>
              <w:suppressAutoHyphens w:val="0"/>
              <w:spacing w:before="40" w:after="40" w:line="240" w:lineRule="auto"/>
              <w:ind w:left="57" w:right="57"/>
              <w:jc w:val="both"/>
              <w:rPr>
                <w:i/>
                <w:lang w:val="fr-FR"/>
              </w:rPr>
            </w:pPr>
            <w:r>
              <w:rPr>
                <w:lang w:val="fr-FR"/>
              </w:rPr>
              <w:t>Dans le cas où la roue a des jantes amovibles ou d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autres éléments qui peuvent être démantelés, si les éléments de fixation filetés qui sont proches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des rayons ou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des trous de ventilation ne répondent pas aux prescriptions, on considère que la roue n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>a pas subi l</w:t>
            </w:r>
            <w:r>
              <w:rPr>
                <w:lang w:val="fr-FR"/>
              </w:rPr>
              <w:t>’</w:t>
            </w:r>
            <w:r>
              <w:rPr>
                <w:lang w:val="fr-FR"/>
              </w:rPr>
              <w:t xml:space="preserve">essai avec succès. </w:t>
            </w:r>
          </w:p>
        </w:tc>
      </w:tr>
    </w:tbl>
    <w:p w:rsidR="000D00F1" w:rsidRPr="004B2BD8" w:rsidRDefault="000D00F1" w:rsidP="000D00F1">
      <w:pPr>
        <w:pStyle w:val="HChG"/>
        <w:rPr>
          <w:rFonts w:eastAsia="Times New Roman"/>
          <w:i/>
          <w:color w:val="0D0D0D" w:themeColor="text1" w:themeTint="F2"/>
          <w:lang w:val="fr-FR"/>
        </w:rPr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Justification</w:t>
      </w:r>
    </w:p>
    <w:p w:rsidR="000D00F1" w:rsidRPr="004B2BD8" w:rsidRDefault="000D00F1" w:rsidP="000D00F1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La modification proposée dans le présent document vise à harmoniser le critère d</w:t>
      </w:r>
      <w:r>
        <w:rPr>
          <w:lang w:val="fr-FR"/>
        </w:rPr>
        <w:t>’</w:t>
      </w:r>
      <w:r>
        <w:rPr>
          <w:lang w:val="fr-FR"/>
        </w:rPr>
        <w:t>acceptation donné au tableau du paragraphe 3 de l</w:t>
      </w:r>
      <w:r>
        <w:rPr>
          <w:lang w:val="fr-FR"/>
        </w:rPr>
        <w:t>’</w:t>
      </w:r>
      <w:r>
        <w:rPr>
          <w:lang w:val="fr-FR"/>
        </w:rPr>
        <w:t>annexe 8 par rapport au critère de défaillance ajouté au point c) du paragraphe 5, à savoir « La pression de gonflage tombe à zéro dans un délai de 1 min ».</w:t>
      </w:r>
    </w:p>
    <w:p w:rsidR="000D00F1" w:rsidRPr="004B2BD8" w:rsidRDefault="000D00F1" w:rsidP="000D00F1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Cette modification permet de préciser que seul le dégonflage complet du pneumatique par suite d</w:t>
      </w:r>
      <w:r>
        <w:rPr>
          <w:lang w:val="fr-FR"/>
        </w:rPr>
        <w:t>’</w:t>
      </w:r>
      <w:r>
        <w:rPr>
          <w:lang w:val="fr-FR"/>
        </w:rPr>
        <w:t>une dépressurisation constitue un critère d</w:t>
      </w:r>
      <w:r>
        <w:rPr>
          <w:lang w:val="fr-FR"/>
        </w:rPr>
        <w:t>’</w:t>
      </w:r>
      <w:r>
        <w:rPr>
          <w:lang w:val="fr-FR"/>
        </w:rPr>
        <w:t>évaluation négatif lors d</w:t>
      </w:r>
      <w:r>
        <w:rPr>
          <w:lang w:val="fr-FR"/>
        </w:rPr>
        <w:t>’</w:t>
      </w:r>
      <w:r>
        <w:rPr>
          <w:lang w:val="fr-FR"/>
        </w:rPr>
        <w:t>un essai de choc.</w:t>
      </w:r>
    </w:p>
    <w:p w:rsidR="000D00F1" w:rsidRPr="004B2BD8" w:rsidRDefault="000D00F1" w:rsidP="000D00F1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Pour le texte russe uniquement, « приемности » est remplacé par « приемлемости », qui est une traduction plus juste du terme anglais « acceptance ».</w:t>
      </w:r>
    </w:p>
    <w:p w:rsidR="00F9573C" w:rsidRPr="000D00F1" w:rsidRDefault="000D00F1" w:rsidP="000D00F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0D00F1" w:rsidSect="000D00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20" w:rsidRDefault="003F2420" w:rsidP="00F95C08">
      <w:pPr>
        <w:spacing w:line="240" w:lineRule="auto"/>
      </w:pPr>
    </w:p>
  </w:endnote>
  <w:endnote w:type="continuationSeparator" w:id="0">
    <w:p w:rsidR="003F2420" w:rsidRPr="00AC3823" w:rsidRDefault="003F2420" w:rsidP="00AC3823">
      <w:pPr>
        <w:pStyle w:val="Pieddepage"/>
      </w:pPr>
    </w:p>
  </w:endnote>
  <w:endnote w:type="continuationNotice" w:id="1">
    <w:p w:rsidR="003F2420" w:rsidRDefault="003F24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F1" w:rsidRPr="000D00F1" w:rsidRDefault="000D00F1" w:rsidP="000D00F1">
    <w:pPr>
      <w:pStyle w:val="Pieddepage"/>
      <w:tabs>
        <w:tab w:val="right" w:pos="9638"/>
      </w:tabs>
    </w:pPr>
    <w:r w:rsidRPr="000D00F1">
      <w:rPr>
        <w:b/>
        <w:sz w:val="18"/>
      </w:rPr>
      <w:fldChar w:fldCharType="begin"/>
    </w:r>
    <w:r w:rsidRPr="000D00F1">
      <w:rPr>
        <w:b/>
        <w:sz w:val="18"/>
      </w:rPr>
      <w:instrText xml:space="preserve"> PAGE  \* MERGEFORMAT </w:instrText>
    </w:r>
    <w:r w:rsidRPr="000D00F1">
      <w:rPr>
        <w:b/>
        <w:sz w:val="18"/>
      </w:rPr>
      <w:fldChar w:fldCharType="separate"/>
    </w:r>
    <w:r w:rsidRPr="000D00F1">
      <w:rPr>
        <w:b/>
        <w:noProof/>
        <w:sz w:val="18"/>
      </w:rPr>
      <w:t>2</w:t>
    </w:r>
    <w:r w:rsidRPr="000D00F1">
      <w:rPr>
        <w:b/>
        <w:sz w:val="18"/>
      </w:rPr>
      <w:fldChar w:fldCharType="end"/>
    </w:r>
    <w:r>
      <w:rPr>
        <w:b/>
        <w:sz w:val="18"/>
      </w:rPr>
      <w:tab/>
    </w:r>
    <w:r>
      <w:t>GE.20-08112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F1" w:rsidRPr="000D00F1" w:rsidRDefault="000D00F1" w:rsidP="000D00F1">
    <w:pPr>
      <w:pStyle w:val="Pieddepage"/>
      <w:tabs>
        <w:tab w:val="right" w:pos="9638"/>
      </w:tabs>
      <w:rPr>
        <w:b/>
        <w:sz w:val="18"/>
      </w:rPr>
    </w:pPr>
    <w:r>
      <w:t>GE.20-08112</w:t>
    </w:r>
    <w:r>
      <w:tab/>
    </w:r>
    <w:r w:rsidRPr="000D00F1">
      <w:rPr>
        <w:b/>
        <w:sz w:val="18"/>
      </w:rPr>
      <w:fldChar w:fldCharType="begin"/>
    </w:r>
    <w:r w:rsidRPr="000D00F1">
      <w:rPr>
        <w:b/>
        <w:sz w:val="18"/>
      </w:rPr>
      <w:instrText xml:space="preserve"> PAGE  \* MERGEFORMAT </w:instrText>
    </w:r>
    <w:r w:rsidRPr="000D00F1">
      <w:rPr>
        <w:b/>
        <w:sz w:val="18"/>
      </w:rPr>
      <w:fldChar w:fldCharType="separate"/>
    </w:r>
    <w:r w:rsidRPr="000D00F1">
      <w:rPr>
        <w:b/>
        <w:noProof/>
        <w:sz w:val="18"/>
      </w:rPr>
      <w:t>3</w:t>
    </w:r>
    <w:r w:rsidRPr="000D00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D00F1" w:rsidRDefault="000D00F1" w:rsidP="000D00F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20-08112  (F)    090720    090720</w:t>
    </w:r>
    <w:r>
      <w:rPr>
        <w:sz w:val="20"/>
      </w:rPr>
      <w:br/>
    </w:r>
    <w:r w:rsidRPr="000D00F1">
      <w:rPr>
        <w:rFonts w:ascii="C39T30Lfz" w:hAnsi="C39T30Lfz"/>
        <w:sz w:val="56"/>
      </w:rPr>
      <w:t></w:t>
    </w:r>
    <w:r w:rsidRPr="000D00F1">
      <w:rPr>
        <w:rFonts w:ascii="C39T30Lfz" w:hAnsi="C39T30Lfz"/>
        <w:sz w:val="56"/>
      </w:rPr>
      <w:t></w:t>
    </w:r>
    <w:r w:rsidRPr="000D00F1">
      <w:rPr>
        <w:rFonts w:ascii="C39T30Lfz" w:hAnsi="C39T30Lfz"/>
        <w:sz w:val="56"/>
      </w:rPr>
      <w:t></w:t>
    </w:r>
    <w:r w:rsidRPr="000D00F1">
      <w:rPr>
        <w:rFonts w:ascii="C39T30Lfz" w:hAnsi="C39T30Lfz"/>
        <w:sz w:val="56"/>
      </w:rPr>
      <w:t></w:t>
    </w:r>
    <w:r w:rsidRPr="000D00F1">
      <w:rPr>
        <w:rFonts w:ascii="C39T30Lfz" w:hAnsi="C39T30Lfz"/>
        <w:sz w:val="56"/>
      </w:rPr>
      <w:t></w:t>
    </w:r>
    <w:r w:rsidRPr="000D00F1">
      <w:rPr>
        <w:rFonts w:ascii="C39T30Lfz" w:hAnsi="C39T30Lfz"/>
        <w:sz w:val="56"/>
      </w:rPr>
      <w:t></w:t>
    </w:r>
    <w:r w:rsidRPr="000D00F1">
      <w:rPr>
        <w:rFonts w:ascii="C39T30Lfz" w:hAnsi="C39T30Lfz"/>
        <w:sz w:val="56"/>
      </w:rPr>
      <w:t></w:t>
    </w:r>
    <w:r w:rsidRPr="000D00F1">
      <w:rPr>
        <w:rFonts w:ascii="C39T30Lfz" w:hAnsi="C39T30Lfz"/>
        <w:sz w:val="56"/>
      </w:rPr>
      <w:t></w:t>
    </w:r>
    <w:r w:rsidRPr="000D00F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20" w:rsidRPr="00AC3823" w:rsidRDefault="003F242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2420" w:rsidRPr="00AC3823" w:rsidRDefault="003F242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2420" w:rsidRPr="00AC3823" w:rsidRDefault="003F2420">
      <w:pPr>
        <w:spacing w:line="240" w:lineRule="auto"/>
        <w:rPr>
          <w:sz w:val="2"/>
          <w:szCs w:val="2"/>
        </w:rPr>
      </w:pPr>
    </w:p>
  </w:footnote>
  <w:footnote w:id="2">
    <w:p w:rsidR="000D00F1" w:rsidRPr="004B2BD8" w:rsidRDefault="000D00F1" w:rsidP="000D00F1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0D00F1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F1" w:rsidRPr="000D00F1" w:rsidRDefault="000D00F1">
    <w:pPr>
      <w:pStyle w:val="En-tte"/>
    </w:pPr>
    <w:fldSimple w:instr=" TITLE  \* MERGEFORMAT ">
      <w:r>
        <w:t>ECE/TRANS/WP.29/GRBP/2020/8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0F1" w:rsidRPr="000D00F1" w:rsidRDefault="000D00F1" w:rsidP="000D00F1">
    <w:pPr>
      <w:pStyle w:val="En-tte"/>
      <w:jc w:val="right"/>
    </w:pPr>
    <w:fldSimple w:instr=" TITLE  \* MERGEFORMAT ">
      <w:r>
        <w:t>ECE/TRANS/WP.29/GRBP/2020/8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2420"/>
    <w:rsid w:val="00017F94"/>
    <w:rsid w:val="00023842"/>
    <w:rsid w:val="000334F9"/>
    <w:rsid w:val="00033E0D"/>
    <w:rsid w:val="00045FEB"/>
    <w:rsid w:val="0007796D"/>
    <w:rsid w:val="000B7790"/>
    <w:rsid w:val="000D00F1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F2420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B9C12A"/>
  <w15:docId w15:val="{30187A42-DFEB-47A5-B6D8-555EBBA3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D00F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D00F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D00F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366</Words>
  <Characters>1943</Characters>
  <Application>Microsoft Office Word</Application>
  <DocSecurity>0</DocSecurity>
  <Lines>52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ECE/TRANS/WP.29/GRBP/2020/8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2020-07-09T06:51:00Z</dcterms:created>
  <dcterms:modified xsi:type="dcterms:W3CDTF">2020-07-09T06:51:00Z</dcterms:modified>
</cp:coreProperties>
</file>