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DFA0D9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9EC3D34" w14:textId="77777777" w:rsidR="002D5AAC" w:rsidRDefault="002D5AAC" w:rsidP="00674C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6F4D60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9C4623F" w14:textId="77777777" w:rsidR="002D5AAC" w:rsidRDefault="00674C42" w:rsidP="00674C42">
            <w:pPr>
              <w:jc w:val="right"/>
            </w:pPr>
            <w:r w:rsidRPr="00674C42">
              <w:rPr>
                <w:sz w:val="40"/>
              </w:rPr>
              <w:t>ECE</w:t>
            </w:r>
            <w:r>
              <w:t>/TRANS/WP.29/GRBP/2020/4</w:t>
            </w:r>
          </w:p>
        </w:tc>
      </w:tr>
      <w:tr w:rsidR="002D5AAC" w:rsidRPr="002208C6" w14:paraId="40F278B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E71EC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11A75F4" wp14:editId="7F2C022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93E35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984C1E4" w14:textId="77777777" w:rsidR="002D5AAC" w:rsidRDefault="00674C4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50F2078" w14:textId="77777777" w:rsidR="00674C42" w:rsidRDefault="00674C42" w:rsidP="00674C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November 2019</w:t>
            </w:r>
          </w:p>
          <w:p w14:paraId="205D70DD" w14:textId="77777777" w:rsidR="00674C42" w:rsidRDefault="00674C42" w:rsidP="00674C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BBF9CE3" w14:textId="77777777" w:rsidR="00674C42" w:rsidRPr="008D53B6" w:rsidRDefault="00674C42" w:rsidP="00674C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10D2267" w14:textId="77777777" w:rsidR="00674C4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FED85CF" w14:textId="77777777" w:rsidR="00674C42" w:rsidRPr="00674C42" w:rsidRDefault="00674C42" w:rsidP="00674C42">
      <w:pPr>
        <w:spacing w:before="120"/>
        <w:rPr>
          <w:sz w:val="28"/>
          <w:szCs w:val="28"/>
        </w:rPr>
      </w:pPr>
      <w:r w:rsidRPr="00674C42">
        <w:rPr>
          <w:sz w:val="28"/>
          <w:szCs w:val="28"/>
        </w:rPr>
        <w:t>Комитет по внутреннему транспорту</w:t>
      </w:r>
    </w:p>
    <w:p w14:paraId="36333F79" w14:textId="77777777" w:rsidR="00674C42" w:rsidRPr="00674C42" w:rsidRDefault="00674C42" w:rsidP="00674C42">
      <w:pPr>
        <w:spacing w:before="120"/>
        <w:rPr>
          <w:b/>
          <w:sz w:val="24"/>
          <w:szCs w:val="24"/>
        </w:rPr>
      </w:pPr>
      <w:r w:rsidRPr="00674C42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674C42">
        <w:rPr>
          <w:b/>
          <w:bCs/>
          <w:sz w:val="24"/>
          <w:szCs w:val="24"/>
        </w:rPr>
        <w:t>в области транспортных средств</w:t>
      </w:r>
    </w:p>
    <w:p w14:paraId="6716E6A9" w14:textId="77777777" w:rsidR="00674C42" w:rsidRPr="001C7DE7" w:rsidRDefault="00674C42" w:rsidP="00674C42">
      <w:pPr>
        <w:spacing w:before="120"/>
        <w:rPr>
          <w:b/>
        </w:rPr>
      </w:pPr>
      <w:r>
        <w:rPr>
          <w:b/>
          <w:bCs/>
        </w:rPr>
        <w:t>Рабочая группа по вопросам шума и шин</w:t>
      </w:r>
    </w:p>
    <w:p w14:paraId="749BDC33" w14:textId="77777777" w:rsidR="00674C42" w:rsidRPr="001C7DE7" w:rsidRDefault="00674C42" w:rsidP="00674C42">
      <w:pPr>
        <w:spacing w:before="120"/>
        <w:rPr>
          <w:rFonts w:eastAsia="Times New Roman"/>
          <w:b/>
        </w:rPr>
      </w:pPr>
      <w:r>
        <w:rPr>
          <w:b/>
          <w:bCs/>
        </w:rPr>
        <w:t>Семьдесят первая сессия</w:t>
      </w:r>
    </w:p>
    <w:p w14:paraId="1A5B8591" w14:textId="77777777" w:rsidR="00674C42" w:rsidRPr="001C7DE7" w:rsidRDefault="00674C42" w:rsidP="00674C42">
      <w:pPr>
        <w:rPr>
          <w:bCs/>
        </w:rPr>
      </w:pPr>
      <w:r>
        <w:t>Женева, 28</w:t>
      </w:r>
      <w:r w:rsidRPr="002208C6">
        <w:t>–</w:t>
      </w:r>
      <w:r>
        <w:t xml:space="preserve">31 января 2020 года </w:t>
      </w:r>
    </w:p>
    <w:p w14:paraId="441FDB06" w14:textId="77777777" w:rsidR="00674C42" w:rsidRPr="001C7DE7" w:rsidRDefault="00674C42" w:rsidP="00674C42">
      <w:pPr>
        <w:ind w:right="1134"/>
        <w:rPr>
          <w:bCs/>
        </w:rPr>
      </w:pPr>
      <w:r>
        <w:t>Пункт 5 с) предварительной повестки дня</w:t>
      </w:r>
    </w:p>
    <w:p w14:paraId="15225CBC" w14:textId="77777777" w:rsidR="00674C42" w:rsidRPr="001C7DE7" w:rsidRDefault="00674C42" w:rsidP="00674C42">
      <w:r>
        <w:rPr>
          <w:b/>
          <w:bCs/>
        </w:rPr>
        <w:t xml:space="preserve">Шины: Правила № 109 ООН </w:t>
      </w:r>
      <w:r>
        <w:rPr>
          <w:b/>
          <w:bCs/>
        </w:rPr>
        <w:br/>
        <w:t xml:space="preserve">(шины с восстановленным протектором </w:t>
      </w:r>
      <w:r>
        <w:rPr>
          <w:b/>
          <w:bCs/>
        </w:rPr>
        <w:br/>
        <w:t xml:space="preserve">для транспортных средств неиндивидуального </w:t>
      </w:r>
      <w:r>
        <w:rPr>
          <w:b/>
          <w:bCs/>
        </w:rPr>
        <w:br/>
        <w:t>пользования и их прицепов)</w:t>
      </w:r>
    </w:p>
    <w:p w14:paraId="624C4CD2" w14:textId="77777777" w:rsidR="00674C42" w:rsidRPr="001C7DE7" w:rsidRDefault="00674C42" w:rsidP="00674C42">
      <w:pPr>
        <w:pStyle w:val="HChG"/>
      </w:pPr>
      <w:r>
        <w:tab/>
      </w:r>
      <w:r>
        <w:tab/>
      </w:r>
      <w:r>
        <w:rPr>
          <w:bCs/>
        </w:rPr>
        <w:t>Предложение по поправкам к Правилам № 109 ООН</w:t>
      </w:r>
      <w:r>
        <w:t xml:space="preserve"> </w:t>
      </w:r>
    </w:p>
    <w:p w14:paraId="242BFACB" w14:textId="77777777" w:rsidR="00674C42" w:rsidRPr="00674C42" w:rsidRDefault="00674C42" w:rsidP="00674C42">
      <w:pPr>
        <w:pStyle w:val="H1G"/>
        <w:ind w:right="1467" w:firstLine="0"/>
        <w:rPr>
          <w:b w:val="0"/>
        </w:rPr>
      </w:pPr>
      <w:r>
        <w:rPr>
          <w:bCs/>
        </w:rPr>
        <w:t>Представлено экспертами от Европейской технической организации по вопросам пневматических шин и ободьев колес</w:t>
      </w:r>
      <w:r w:rsidRPr="00674C42">
        <w:rPr>
          <w:rFonts w:ascii="Times New Roman Bold" w:hAnsi="Times New Roman Bold"/>
          <w:b w:val="0"/>
          <w:sz w:val="20"/>
        </w:rPr>
        <w:footnoteReference w:customMarkFollows="1" w:id="1"/>
        <w:t>*</w:t>
      </w:r>
    </w:p>
    <w:p w14:paraId="464103CE" w14:textId="77777777" w:rsidR="00674C42" w:rsidRDefault="00674C42" w:rsidP="00674C42">
      <w:pPr>
        <w:pStyle w:val="SingleTxtG"/>
      </w:pPr>
      <w:r>
        <w:tab/>
      </w:r>
      <w:r>
        <w:tab/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(ЕТОПОК). Изменения к существующему тексту Правил выделены жирным шрифтом, а текст, подлежащий исключению, − зачеркнут.</w:t>
      </w:r>
    </w:p>
    <w:p w14:paraId="473BC94E" w14:textId="77777777" w:rsidR="00674C42" w:rsidRPr="001C7DE7" w:rsidRDefault="00674C42" w:rsidP="00674C42">
      <w:pPr>
        <w:suppressAutoHyphens w:val="0"/>
        <w:spacing w:line="240" w:lineRule="auto"/>
        <w:rPr>
          <w:b/>
          <w:sz w:val="28"/>
        </w:rPr>
      </w:pPr>
      <w:r w:rsidRPr="001C7DE7">
        <w:br w:type="page"/>
      </w:r>
    </w:p>
    <w:p w14:paraId="5BA69C83" w14:textId="77777777" w:rsidR="00674C42" w:rsidRPr="001C7DE7" w:rsidRDefault="00674C42" w:rsidP="00674C42">
      <w:pPr>
        <w:pStyle w:val="HChG"/>
      </w:pPr>
      <w:r>
        <w:lastRenderedPageBreak/>
        <w:tab/>
        <w:t xml:space="preserve">I. </w:t>
      </w:r>
      <w:r>
        <w:tab/>
      </w:r>
      <w:r>
        <w:rPr>
          <w:bCs/>
        </w:rPr>
        <w:t>Предложение</w:t>
      </w:r>
    </w:p>
    <w:p w14:paraId="21CF2C00" w14:textId="77777777" w:rsidR="00674C42" w:rsidRPr="001C7DE7" w:rsidRDefault="00674C42" w:rsidP="00674C42">
      <w:pPr>
        <w:spacing w:after="120"/>
        <w:ind w:left="1134" w:right="1134"/>
        <w:jc w:val="both"/>
        <w:rPr>
          <w:rFonts w:asciiTheme="majorBidi" w:hAnsiTheme="majorBidi" w:cstheme="majorBidi"/>
          <w:i/>
        </w:rPr>
      </w:pPr>
      <w:r>
        <w:rPr>
          <w:i/>
          <w:iCs/>
        </w:rPr>
        <w:t>Приложение 10</w:t>
      </w:r>
      <w:r>
        <w:t xml:space="preserve"> </w:t>
      </w:r>
    </w:p>
    <w:p w14:paraId="23D7D0BF" w14:textId="77777777" w:rsidR="00674C42" w:rsidRDefault="00674C42" w:rsidP="00674C42">
      <w:pPr>
        <w:spacing w:after="120"/>
        <w:ind w:left="1134" w:right="1134"/>
        <w:jc w:val="both"/>
      </w:pPr>
      <w:r w:rsidRPr="001C7DE7">
        <w:rPr>
          <w:i/>
          <w:iCs/>
        </w:rPr>
        <w:t>Пункт 3.2.1</w:t>
      </w:r>
      <w:r>
        <w:t xml:space="preserve"> изменить следующим образом:</w:t>
      </w:r>
    </w:p>
    <w:p w14:paraId="296FF393" w14:textId="6C90ADE1" w:rsidR="00674C42" w:rsidRPr="001C7DE7" w:rsidRDefault="00674C42" w:rsidP="002208C6">
      <w:pPr>
        <w:spacing w:after="120"/>
        <w:ind w:left="2552" w:right="1134" w:hanging="1418"/>
        <w:jc w:val="both"/>
        <w:rPr>
          <w:rFonts w:asciiTheme="majorBidi" w:hAnsiTheme="majorBidi" w:cstheme="majorBidi"/>
        </w:rPr>
      </w:pPr>
      <w:r>
        <w:t>«3.2.1</w:t>
      </w:r>
      <w:r w:rsidR="002208C6">
        <w:tab/>
      </w:r>
      <w:r>
        <w:t>Для каждой потенциальной шины и стандартной эталонной шины испытательные пробеги с использованием АБС повторяют не менее 6 раз.</w:t>
      </w:r>
    </w:p>
    <w:p w14:paraId="46E00D1E" w14:textId="7C9086ED" w:rsidR="00674C42" w:rsidRPr="002208C6" w:rsidRDefault="00674C42" w:rsidP="002208C6">
      <w:pPr>
        <w:autoSpaceDE w:val="0"/>
        <w:autoSpaceDN w:val="0"/>
        <w:adjustRightInd w:val="0"/>
        <w:spacing w:after="120"/>
        <w:ind w:left="2552" w:right="1134"/>
        <w:jc w:val="both"/>
        <w:rPr>
          <w:b/>
          <w:bCs/>
        </w:rPr>
      </w:pPr>
      <w:r>
        <w:rPr>
          <w:b/>
          <w:bCs/>
        </w:rPr>
        <w:t>Зоны, в которых полностью применяют торможение с использованием АБС, не должны накладываться друг на друга.</w:t>
      </w:r>
    </w:p>
    <w:p w14:paraId="1C641304" w14:textId="4F95208B" w:rsidR="00674C42" w:rsidRPr="002208C6" w:rsidRDefault="00674C42" w:rsidP="002208C6">
      <w:pPr>
        <w:autoSpaceDE w:val="0"/>
        <w:autoSpaceDN w:val="0"/>
        <w:adjustRightInd w:val="0"/>
        <w:spacing w:after="120"/>
        <w:ind w:left="2552" w:right="1134"/>
        <w:jc w:val="both"/>
        <w:rPr>
          <w:b/>
          <w:bCs/>
        </w:rPr>
      </w:pPr>
      <w:r>
        <w:rPr>
          <w:b/>
          <w:bCs/>
        </w:rPr>
        <w:t>При испытании нового комплекта шин испытательные пробеги выполняют после смещения траектории транспортного средства, с тем чтобы не тормозить по следам предыдущей шины.</w:t>
      </w:r>
    </w:p>
    <w:p w14:paraId="463A2F22" w14:textId="270E4FD6" w:rsidR="00674C42" w:rsidRPr="002208C6" w:rsidRDefault="00674C42" w:rsidP="002208C6">
      <w:pPr>
        <w:autoSpaceDE w:val="0"/>
        <w:autoSpaceDN w:val="0"/>
        <w:adjustRightInd w:val="0"/>
        <w:spacing w:after="120"/>
        <w:ind w:left="2552" w:right="1134"/>
        <w:jc w:val="both"/>
        <w:rPr>
          <w:b/>
          <w:bCs/>
        </w:rPr>
      </w:pPr>
      <w:r>
        <w:rPr>
          <w:b/>
          <w:bCs/>
        </w:rPr>
        <w:t>Когда избежать пересечения зон полного торможения с использованием АБС уже невозможно, испытательную трассу заново приводят в порядок.</w:t>
      </w:r>
    </w:p>
    <w:p w14:paraId="412F0B69" w14:textId="6B198853" w:rsidR="00674C42" w:rsidRPr="002208C6" w:rsidRDefault="00674C42" w:rsidP="002208C6">
      <w:pPr>
        <w:autoSpaceDE w:val="0"/>
        <w:autoSpaceDN w:val="0"/>
        <w:adjustRightInd w:val="0"/>
        <w:spacing w:after="120"/>
        <w:ind w:left="2552" w:right="1134"/>
        <w:jc w:val="both"/>
        <w:rPr>
          <w:b/>
          <w:bCs/>
        </w:rPr>
      </w:pPr>
      <w:r>
        <w:rPr>
          <w:b/>
          <w:bCs/>
        </w:rPr>
        <w:t>Требуемая последовательность:</w:t>
      </w:r>
    </w:p>
    <w:p w14:paraId="44D58FBD" w14:textId="4D8FD236" w:rsidR="00674C42" w:rsidRPr="002208C6" w:rsidRDefault="00674C42" w:rsidP="002208C6">
      <w:pPr>
        <w:autoSpaceDE w:val="0"/>
        <w:autoSpaceDN w:val="0"/>
        <w:adjustRightInd w:val="0"/>
        <w:spacing w:after="120"/>
        <w:ind w:left="2552" w:right="1134"/>
        <w:jc w:val="both"/>
        <w:rPr>
          <w:b/>
          <w:bCs/>
        </w:rPr>
      </w:pPr>
      <w:r>
        <w:rPr>
          <w:b/>
          <w:bCs/>
        </w:rPr>
        <w:t>6 прогонов СЭИШ, затем смещение траектории для испытания следующей шины на свежей поверхности;</w:t>
      </w:r>
    </w:p>
    <w:p w14:paraId="4FF82245" w14:textId="2180376A" w:rsidR="00674C42" w:rsidRPr="002208C6" w:rsidRDefault="00674C42" w:rsidP="002208C6">
      <w:pPr>
        <w:autoSpaceDE w:val="0"/>
        <w:autoSpaceDN w:val="0"/>
        <w:adjustRightInd w:val="0"/>
        <w:spacing w:after="120"/>
        <w:ind w:left="2552" w:right="1134"/>
        <w:jc w:val="both"/>
        <w:rPr>
          <w:b/>
          <w:bCs/>
        </w:rPr>
      </w:pPr>
      <w:r>
        <w:rPr>
          <w:b/>
          <w:bCs/>
        </w:rPr>
        <w:t>6 прогонов потенциальной шины 1, затем смещение траектории;</w:t>
      </w:r>
    </w:p>
    <w:p w14:paraId="7D479E62" w14:textId="4EDA9029" w:rsidR="00674C42" w:rsidRPr="002208C6" w:rsidRDefault="00674C42" w:rsidP="002208C6">
      <w:pPr>
        <w:autoSpaceDE w:val="0"/>
        <w:autoSpaceDN w:val="0"/>
        <w:adjustRightInd w:val="0"/>
        <w:spacing w:after="120"/>
        <w:ind w:left="2552" w:right="1134"/>
        <w:jc w:val="both"/>
        <w:rPr>
          <w:b/>
          <w:bCs/>
        </w:rPr>
      </w:pPr>
      <w:r>
        <w:rPr>
          <w:b/>
          <w:bCs/>
        </w:rPr>
        <w:t>6 прогонов потенциальной шины 2, затем смещение траектории;</w:t>
      </w:r>
    </w:p>
    <w:p w14:paraId="3F941654" w14:textId="4D237E4B" w:rsidR="00674C42" w:rsidRPr="002208C6" w:rsidRDefault="00674C42" w:rsidP="002208C6">
      <w:pPr>
        <w:autoSpaceDE w:val="0"/>
        <w:autoSpaceDN w:val="0"/>
        <w:adjustRightInd w:val="0"/>
        <w:spacing w:after="120"/>
        <w:ind w:left="2552" w:right="1134"/>
        <w:jc w:val="both"/>
        <w:rPr>
          <w:b/>
          <w:bCs/>
        </w:rPr>
      </w:pPr>
      <w:r w:rsidRPr="001C7DE7">
        <w:rPr>
          <w:b/>
          <w:bCs/>
        </w:rPr>
        <w:t>6 прогонов СЭИШ, затем смещение траектории</w:t>
      </w:r>
      <w:r w:rsidR="002208C6" w:rsidRPr="002208C6">
        <w:rPr>
          <w:b/>
          <w:bCs/>
        </w:rPr>
        <w:t>.</w:t>
      </w:r>
      <w:bookmarkStart w:id="0" w:name="_GoBack"/>
      <w:bookmarkEnd w:id="0"/>
      <w:r w:rsidRPr="002208C6">
        <w:rPr>
          <w:bCs/>
        </w:rPr>
        <w:t>».</w:t>
      </w:r>
    </w:p>
    <w:p w14:paraId="2F2970C1" w14:textId="77777777" w:rsidR="00674C42" w:rsidRPr="001C7DE7" w:rsidRDefault="00674C42" w:rsidP="00674C42">
      <w:pPr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i/>
          <w:iCs/>
        </w:rPr>
        <w:t xml:space="preserve">Пункт 4.9.2 </w:t>
      </w:r>
      <w:r>
        <w:t>изменить следующим образом:</w:t>
      </w:r>
    </w:p>
    <w:p w14:paraId="63D76697" w14:textId="77777777" w:rsidR="00674C42" w:rsidRPr="001C7DE7" w:rsidRDefault="00674C42" w:rsidP="00674C42">
      <w:pPr>
        <w:spacing w:after="120"/>
        <w:ind w:left="2552" w:right="1134" w:hanging="1418"/>
        <w:jc w:val="both"/>
        <w:rPr>
          <w:rFonts w:asciiTheme="majorBidi" w:hAnsiTheme="majorBidi" w:cstheme="majorBidi"/>
          <w:bCs/>
          <w:color w:val="000000"/>
        </w:rPr>
      </w:pPr>
      <w:r>
        <w:t>«4.9.2</w:t>
      </w:r>
      <w:r>
        <w:tab/>
        <w:t>Принцип подхода</w:t>
      </w:r>
    </w:p>
    <w:p w14:paraId="59879DD3" w14:textId="77777777" w:rsidR="00674C42" w:rsidRPr="001C7DE7" w:rsidRDefault="00674C42" w:rsidP="00674C42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hAnsiTheme="majorBidi" w:cstheme="majorBidi"/>
          <w:bCs/>
          <w:color w:val="000000"/>
        </w:rPr>
      </w:pPr>
      <w:r>
        <w:t xml:space="preserve">В основу данного принципа положено использование контрольной шины и двух различных транспортных средств для оценки потенциальной шины в сравнении с эталонной шиной. </w:t>
      </w:r>
    </w:p>
    <w:p w14:paraId="42BE81DE" w14:textId="77777777" w:rsidR="00674C42" w:rsidRPr="001C7DE7" w:rsidRDefault="00674C42" w:rsidP="00674C42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hAnsiTheme="majorBidi" w:cstheme="majorBidi"/>
          <w:bCs/>
          <w:color w:val="000000"/>
        </w:rPr>
      </w:pPr>
      <w:r>
        <w:t>Одно транспортное средство может быть оснащено эталонной шиной и контрольной шиной, а другое − контрольной шиной и потенциальной шиной. Все условия соответствуют пункту 4.7 выше.</w:t>
      </w:r>
    </w:p>
    <w:p w14:paraId="2188EFCD" w14:textId="77777777" w:rsidR="00674C42" w:rsidRPr="001C7DE7" w:rsidRDefault="00674C42" w:rsidP="00674C42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hAnsiTheme="majorBidi" w:cstheme="majorBidi"/>
          <w:bCs/>
          <w:color w:val="000000"/>
        </w:rPr>
      </w:pPr>
      <w:r>
        <w:t>В ходе первой оценки контрольную шину сравнивают с эталонной шиной. Полученный результат (индекс сцепления с заснеженным дорожным покрытием 1) представляет собой относительную эффективность контрольной шины по сравнению с эталонной шиной.</w:t>
      </w:r>
    </w:p>
    <w:p w14:paraId="1D645042" w14:textId="77777777" w:rsidR="00674C42" w:rsidRPr="001C7DE7" w:rsidRDefault="00674C42" w:rsidP="00674C42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hAnsiTheme="majorBidi" w:cstheme="majorBidi"/>
          <w:bCs/>
          <w:color w:val="000000"/>
        </w:rPr>
      </w:pPr>
      <w:r>
        <w:t>В ходе второй оценки потенциальную шину сравнивают с контрольной шиной. Полученный результат (индекс сцепления с заснеженным дорожным покрытием 2) представляет собой относительную эффективность потенциальной шины по сравнению с контрольной шиной.</w:t>
      </w:r>
    </w:p>
    <w:p w14:paraId="2C67C414" w14:textId="77777777" w:rsidR="00674C42" w:rsidRPr="001C7DE7" w:rsidRDefault="00674C42" w:rsidP="00674C42">
      <w:pPr>
        <w:autoSpaceDE w:val="0"/>
        <w:autoSpaceDN w:val="0"/>
        <w:adjustRightInd w:val="0"/>
        <w:spacing w:after="120"/>
        <w:ind w:left="2552" w:right="1134"/>
        <w:jc w:val="both"/>
        <w:rPr>
          <w:rFonts w:asciiTheme="majorBidi" w:eastAsia="MS-PGothic" w:hAnsiTheme="majorBidi" w:cstheme="majorBidi"/>
          <w:b/>
          <w:color w:val="000000"/>
        </w:rPr>
      </w:pPr>
      <w:r>
        <w:rPr>
          <w:b/>
          <w:bCs/>
        </w:rPr>
        <w:t>Вторая оценка проводится на том же треке, что и первая.</w:t>
      </w:r>
      <w:r>
        <w:t xml:space="preserve"> </w:t>
      </w:r>
      <w:r>
        <w:rPr>
          <w:b/>
          <w:bCs/>
        </w:rPr>
        <w:t>Температура воздуха должна быть в диапазоне ±5 °С по сравнению с температурой в ходе первой оценки.</w:t>
      </w:r>
      <w:r>
        <w:t xml:space="preserve"> </w:t>
      </w:r>
      <w:r>
        <w:rPr>
          <w:b/>
          <w:bCs/>
        </w:rPr>
        <w:t>Комплект контрольных шин должен быть тем же, что и комплект, использованный для первой оценки.</w:t>
      </w:r>
      <w:r>
        <w:t xml:space="preserve"> </w:t>
      </w:r>
    </w:p>
    <w:p w14:paraId="23D9ED69" w14:textId="77777777" w:rsidR="00674C42" w:rsidRPr="001C7DE7" w:rsidRDefault="00674C42" w:rsidP="00674C42">
      <w:pPr>
        <w:tabs>
          <w:tab w:val="left" w:pos="566"/>
          <w:tab w:val="left" w:pos="1132"/>
          <w:tab w:val="left" w:pos="1699"/>
          <w:tab w:val="left" w:pos="2694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789"/>
          <w:tab w:val="left" w:pos="9062"/>
        </w:tabs>
        <w:spacing w:after="120"/>
        <w:ind w:left="2552" w:right="1134"/>
        <w:jc w:val="both"/>
        <w:rPr>
          <w:rFonts w:asciiTheme="majorBidi" w:hAnsiTheme="majorBidi" w:cstheme="majorBidi"/>
          <w:b/>
        </w:rPr>
      </w:pPr>
      <w:r>
        <w:rPr>
          <w:b/>
          <w:bCs/>
        </w:rPr>
        <w:t>Индекс сцепления с заснеженным дорожным покрытием потенциальной шины по сравнению с эталонной шиной выводят путем умножения значений относительной эффективности, рассчитанных выше:</w:t>
      </w:r>
    </w:p>
    <w:p w14:paraId="7A75AD2F" w14:textId="77777777" w:rsidR="00674C42" w:rsidRPr="001C7DE7" w:rsidRDefault="00674C42" w:rsidP="003F265F">
      <w:pPr>
        <w:tabs>
          <w:tab w:val="left" w:pos="566"/>
          <w:tab w:val="left" w:pos="1132"/>
          <w:tab w:val="left" w:pos="1699"/>
          <w:tab w:val="left" w:pos="2694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789"/>
          <w:tab w:val="left" w:pos="9062"/>
        </w:tabs>
        <w:spacing w:after="120"/>
        <w:ind w:left="2552" w:right="1134"/>
        <w:jc w:val="center"/>
        <w:rPr>
          <w:b/>
          <w:bCs/>
          <w:i/>
        </w:rPr>
      </w:pPr>
      <w:r w:rsidRPr="001C7DE7">
        <w:rPr>
          <w:b/>
          <w:bCs/>
        </w:rPr>
        <w:t xml:space="preserve">Индекс сцепления с заснеженным дорожным </w:t>
      </w:r>
      <w:r w:rsidR="003F265F">
        <w:rPr>
          <w:b/>
          <w:bCs/>
        </w:rPr>
        <w:br/>
      </w:r>
      <w:r w:rsidRPr="001C7DE7">
        <w:rPr>
          <w:b/>
          <w:bCs/>
        </w:rPr>
        <w:t xml:space="preserve">покрытием = SG1 </w:t>
      </w:r>
      <w:r w:rsidR="003F265F" w:rsidRPr="009166EE">
        <w:rPr>
          <w:rFonts w:asciiTheme="majorBidi" w:hAnsiTheme="majorBidi" w:cstheme="majorBidi"/>
          <w:b/>
        </w:rPr>
        <w:t>×</w:t>
      </w:r>
      <w:r w:rsidRPr="001C7DE7">
        <w:rPr>
          <w:b/>
          <w:bCs/>
        </w:rPr>
        <w:t xml:space="preserve"> SG2</w:t>
      </w:r>
      <w:r w:rsidR="003F265F" w:rsidRPr="003F265F">
        <w:rPr>
          <w:bCs/>
        </w:rPr>
        <w:t>»</w:t>
      </w:r>
      <w:r w:rsidRPr="003F265F">
        <w:rPr>
          <w:bCs/>
        </w:rPr>
        <w:t>.</w:t>
      </w:r>
    </w:p>
    <w:p w14:paraId="0F81CE53" w14:textId="77777777" w:rsidR="00674C42" w:rsidRPr="002F5791" w:rsidRDefault="00674C42" w:rsidP="00674C42">
      <w:pPr>
        <w:pStyle w:val="HChG"/>
        <w:rPr>
          <w:i/>
          <w:color w:val="0D0D0D" w:themeColor="text1" w:themeTint="F2"/>
        </w:rPr>
      </w:pPr>
      <w:r>
        <w:lastRenderedPageBreak/>
        <w:tab/>
        <w:t>II.</w:t>
      </w:r>
      <w:r>
        <w:tab/>
      </w:r>
      <w:r>
        <w:rPr>
          <w:bCs/>
        </w:rPr>
        <w:t>Обоснование</w:t>
      </w:r>
    </w:p>
    <w:p w14:paraId="01D50F83" w14:textId="77777777" w:rsidR="00674C42" w:rsidRPr="001C7DE7" w:rsidRDefault="00674C42" w:rsidP="00674C42">
      <w:pPr>
        <w:spacing w:after="120"/>
        <w:ind w:left="1134" w:right="1134"/>
        <w:jc w:val="both"/>
        <w:rPr>
          <w:color w:val="0D0D0D" w:themeColor="text1" w:themeTint="F2"/>
        </w:rPr>
      </w:pPr>
      <w:r>
        <w:t>1.</w:t>
      </w:r>
      <w:r>
        <w:tab/>
        <w:t xml:space="preserve">В документе ECE/TRANS/WP.29/GRRF/2016/40 знак «…», указывающий на то, что данное предложение продолжается далее, в конце исправленного пункта 3.2.1 был опущен. Как следствие, остальная часть пункта </w:t>
      </w:r>
      <w:r w:rsidR="003F265F">
        <w:t xml:space="preserve">также </w:t>
      </w:r>
      <w:r>
        <w:t>была исключена: Эта поправка имеет целью восстановить исключенную часть этого пункта.</w:t>
      </w:r>
    </w:p>
    <w:p w14:paraId="65C0C165" w14:textId="77777777" w:rsidR="00674C42" w:rsidRDefault="00674C42" w:rsidP="00674C42">
      <w:pPr>
        <w:pStyle w:val="SingleTxtG"/>
      </w:pPr>
      <w:r>
        <w:t>2.</w:t>
      </w:r>
      <w:r>
        <w:tab/>
      </w:r>
      <w:r w:rsidRPr="001C7DE7">
        <w:t>В документе ECE/TRANS/WP.29/GRRF/2016/40 после измененного предложения знак «…» был снова добавлен с целью подчеркнуть, что данное предложение продолжается</w:t>
      </w:r>
      <w:r>
        <w:t xml:space="preserve"> и далее</w:t>
      </w:r>
      <w:r w:rsidRPr="001C7DE7">
        <w:t>, однако в документе ECE/TRANS/WP.29/2017/9 этот знак «…», равно как</w:t>
      </w:r>
      <w:r>
        <w:t xml:space="preserve"> и остальная часть пункта 4.9.2, были</w:t>
      </w:r>
      <w:r w:rsidRPr="001C7DE7">
        <w:t>, к сожалению</w:t>
      </w:r>
      <w:r>
        <w:t>,</w:t>
      </w:r>
      <w:r w:rsidRPr="001C7DE7">
        <w:t xml:space="preserve"> исключен</w:t>
      </w:r>
      <w:r>
        <w:t xml:space="preserve">ы. </w:t>
      </w:r>
      <w:r>
        <w:rPr>
          <w:color w:val="333333"/>
          <w:sz w:val="21"/>
          <w:szCs w:val="21"/>
          <w:shd w:val="clear" w:color="auto" w:fill="FFFFFF"/>
        </w:rPr>
        <w:t xml:space="preserve">Данная </w:t>
      </w:r>
      <w:r w:rsidRPr="001C7DE7">
        <w:rPr>
          <w:color w:val="333333"/>
          <w:sz w:val="21"/>
          <w:szCs w:val="21"/>
          <w:shd w:val="clear" w:color="auto" w:fill="FFFFFF"/>
        </w:rPr>
        <w:t>поправка имеет целью восстановить исключенную часть этого пункта</w:t>
      </w:r>
      <w:r>
        <w:t>.</w:t>
      </w:r>
    </w:p>
    <w:p w14:paraId="2EC8315D" w14:textId="77777777" w:rsidR="00E12C5F" w:rsidRPr="003F265F" w:rsidRDefault="003F265F" w:rsidP="003F265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3F265F" w:rsidSect="00674C4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CF226" w14:textId="77777777" w:rsidR="008309EE" w:rsidRPr="00A312BC" w:rsidRDefault="008309EE" w:rsidP="00A312BC"/>
  </w:endnote>
  <w:endnote w:type="continuationSeparator" w:id="0">
    <w:p w14:paraId="6C9B47C1" w14:textId="77777777" w:rsidR="008309EE" w:rsidRPr="00A312BC" w:rsidRDefault="008309E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-P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6F0C3" w14:textId="77777777" w:rsidR="00674C42" w:rsidRPr="00674C42" w:rsidRDefault="00674C42">
    <w:pPr>
      <w:pStyle w:val="a8"/>
    </w:pPr>
    <w:r w:rsidRPr="00674C42">
      <w:rPr>
        <w:b/>
        <w:sz w:val="18"/>
      </w:rPr>
      <w:fldChar w:fldCharType="begin"/>
    </w:r>
    <w:r w:rsidRPr="00674C42">
      <w:rPr>
        <w:b/>
        <w:sz w:val="18"/>
      </w:rPr>
      <w:instrText xml:space="preserve"> PAGE  \* MERGEFORMAT </w:instrText>
    </w:r>
    <w:r w:rsidRPr="00674C42">
      <w:rPr>
        <w:b/>
        <w:sz w:val="18"/>
      </w:rPr>
      <w:fldChar w:fldCharType="separate"/>
    </w:r>
    <w:r w:rsidRPr="00674C42">
      <w:rPr>
        <w:b/>
        <w:noProof/>
        <w:sz w:val="18"/>
      </w:rPr>
      <w:t>2</w:t>
    </w:r>
    <w:r w:rsidRPr="00674C42">
      <w:rPr>
        <w:b/>
        <w:sz w:val="18"/>
      </w:rPr>
      <w:fldChar w:fldCharType="end"/>
    </w:r>
    <w:r>
      <w:rPr>
        <w:b/>
        <w:sz w:val="18"/>
      </w:rPr>
      <w:tab/>
    </w:r>
    <w:r>
      <w:t>GE.19-19440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EF90B" w14:textId="77777777" w:rsidR="00674C42" w:rsidRPr="00674C42" w:rsidRDefault="00674C42" w:rsidP="00674C42">
    <w:pPr>
      <w:pStyle w:val="a8"/>
      <w:tabs>
        <w:tab w:val="clear" w:pos="9639"/>
        <w:tab w:val="right" w:pos="9638"/>
      </w:tabs>
      <w:rPr>
        <w:b/>
        <w:sz w:val="18"/>
      </w:rPr>
    </w:pPr>
    <w:r>
      <w:t>GE.19-19440</w:t>
    </w:r>
    <w:r>
      <w:tab/>
    </w:r>
    <w:r w:rsidRPr="00674C42">
      <w:rPr>
        <w:b/>
        <w:sz w:val="18"/>
      </w:rPr>
      <w:fldChar w:fldCharType="begin"/>
    </w:r>
    <w:r w:rsidRPr="00674C42">
      <w:rPr>
        <w:b/>
        <w:sz w:val="18"/>
      </w:rPr>
      <w:instrText xml:space="preserve"> PAGE  \* MERGEFORMAT </w:instrText>
    </w:r>
    <w:r w:rsidRPr="00674C42">
      <w:rPr>
        <w:b/>
        <w:sz w:val="18"/>
      </w:rPr>
      <w:fldChar w:fldCharType="separate"/>
    </w:r>
    <w:r w:rsidRPr="00674C42">
      <w:rPr>
        <w:b/>
        <w:noProof/>
        <w:sz w:val="18"/>
      </w:rPr>
      <w:t>3</w:t>
    </w:r>
    <w:r w:rsidRPr="00674C4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652B9" w14:textId="77777777" w:rsidR="00042B72" w:rsidRPr="00674C42" w:rsidRDefault="00674C42" w:rsidP="00674C4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19545D1" wp14:editId="66A4395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19-19440  (R)  111119  121119</w:t>
    </w:r>
    <w:r>
      <w:br/>
    </w:r>
    <w:r w:rsidRPr="00674C42">
      <w:rPr>
        <w:rFonts w:ascii="C39T30Lfz" w:hAnsi="C39T30Lfz"/>
        <w:kern w:val="14"/>
        <w:sz w:val="56"/>
      </w:rPr>
      <w:t></w:t>
    </w:r>
    <w:r w:rsidRPr="00674C42">
      <w:rPr>
        <w:rFonts w:ascii="C39T30Lfz" w:hAnsi="C39T30Lfz"/>
        <w:kern w:val="14"/>
        <w:sz w:val="56"/>
      </w:rPr>
      <w:t></w:t>
    </w:r>
    <w:r w:rsidRPr="00674C42">
      <w:rPr>
        <w:rFonts w:ascii="C39T30Lfz" w:hAnsi="C39T30Lfz"/>
        <w:kern w:val="14"/>
        <w:sz w:val="56"/>
      </w:rPr>
      <w:t></w:t>
    </w:r>
    <w:r w:rsidRPr="00674C42">
      <w:rPr>
        <w:rFonts w:ascii="C39T30Lfz" w:hAnsi="C39T30Lfz"/>
        <w:kern w:val="14"/>
        <w:sz w:val="56"/>
      </w:rPr>
      <w:t></w:t>
    </w:r>
    <w:r w:rsidRPr="00674C42">
      <w:rPr>
        <w:rFonts w:ascii="C39T30Lfz" w:hAnsi="C39T30Lfz"/>
        <w:kern w:val="14"/>
        <w:sz w:val="56"/>
      </w:rPr>
      <w:t></w:t>
    </w:r>
    <w:r w:rsidRPr="00674C42">
      <w:rPr>
        <w:rFonts w:ascii="C39T30Lfz" w:hAnsi="C39T30Lfz"/>
        <w:kern w:val="14"/>
        <w:sz w:val="56"/>
      </w:rPr>
      <w:t></w:t>
    </w:r>
    <w:r w:rsidRPr="00674C42">
      <w:rPr>
        <w:rFonts w:ascii="C39T30Lfz" w:hAnsi="C39T30Lfz"/>
        <w:kern w:val="14"/>
        <w:sz w:val="56"/>
      </w:rPr>
      <w:t></w:t>
    </w:r>
    <w:r w:rsidRPr="00674C42">
      <w:rPr>
        <w:rFonts w:ascii="C39T30Lfz" w:hAnsi="C39T30Lfz"/>
        <w:kern w:val="14"/>
        <w:sz w:val="56"/>
      </w:rPr>
      <w:t></w:t>
    </w:r>
    <w:r w:rsidRPr="00674C42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110FE39" wp14:editId="03F5890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P/2020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20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FD805" w14:textId="77777777" w:rsidR="008309EE" w:rsidRPr="001075E9" w:rsidRDefault="008309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4B894D" w14:textId="77777777" w:rsidR="008309EE" w:rsidRDefault="008309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D97A856" w14:textId="77777777" w:rsidR="00674C42" w:rsidRPr="001C7DE7" w:rsidRDefault="00674C42" w:rsidP="00674C42">
      <w:pPr>
        <w:pStyle w:val="ad"/>
        <w:rPr>
          <w:szCs w:val="18"/>
        </w:rPr>
      </w:pPr>
      <w:r>
        <w:tab/>
      </w:r>
      <w:r w:rsidRPr="00674C42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6B9C4" w14:textId="46B53966" w:rsidR="00674C42" w:rsidRPr="00674C42" w:rsidRDefault="005F3BF1">
    <w:pPr>
      <w:pStyle w:val="a5"/>
    </w:pPr>
    <w:fldSimple w:instr=" TITLE  \* MERGEFORMAT ">
      <w:r w:rsidR="0045683A">
        <w:t>ECE/TRANS/WP.29/GRBP/2020/4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35ADF" w14:textId="79872A34" w:rsidR="00674C42" w:rsidRPr="00674C42" w:rsidRDefault="005F3BF1" w:rsidP="00674C42">
    <w:pPr>
      <w:pStyle w:val="a5"/>
      <w:jc w:val="right"/>
    </w:pPr>
    <w:fldSimple w:instr=" TITLE  \* MERGEFORMAT ">
      <w:r w:rsidR="0045683A">
        <w:t>ECE/TRANS/WP.29/GRBP/2020/4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E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08C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265F"/>
    <w:rsid w:val="00407B78"/>
    <w:rsid w:val="00424203"/>
    <w:rsid w:val="00452493"/>
    <w:rsid w:val="00453318"/>
    <w:rsid w:val="00454AF2"/>
    <w:rsid w:val="00454E07"/>
    <w:rsid w:val="0045683A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0A0C"/>
    <w:rsid w:val="005961C8"/>
    <w:rsid w:val="005966F1"/>
    <w:rsid w:val="005D7914"/>
    <w:rsid w:val="005E2B41"/>
    <w:rsid w:val="005F0B42"/>
    <w:rsid w:val="005F3BF1"/>
    <w:rsid w:val="00617A43"/>
    <w:rsid w:val="006345DB"/>
    <w:rsid w:val="00640F49"/>
    <w:rsid w:val="00674C42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09EE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41A0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55B048"/>
  <w15:docId w15:val="{62FF6249-995B-49E0-B8C6-E1F7F18B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74C42"/>
    <w:rPr>
      <w:lang w:val="ru-RU" w:eastAsia="en-US"/>
    </w:rPr>
  </w:style>
  <w:style w:type="character" w:customStyle="1" w:styleId="HChGChar">
    <w:name w:val="_ H _Ch_G Char"/>
    <w:link w:val="HChG"/>
    <w:rsid w:val="00674C42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674C42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517</Words>
  <Characters>3431</Characters>
  <Application>Microsoft Office Word</Application>
  <DocSecurity>0</DocSecurity>
  <Lines>91</Lines>
  <Paragraphs>42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ECE/TRANS/WP.29/GRBP/2020/4</vt:lpstr>
      <vt:lpstr>A/</vt:lpstr>
      <vt:lpstr>A/</vt:lpstr>
    </vt:vector>
  </TitlesOfParts>
  <Company>DCM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ECE/TRANS/WP.29/GRBP/2020/4</dc:title>
  <dc:subject/>
  <dc:creator>Tatiana SHARKINA</dc:creator>
  <cp:keywords/>
  <cp:lastModifiedBy>Ioulia Goussarova</cp:lastModifiedBy>
  <cp:revision>3</cp:revision>
  <cp:lastPrinted>2019-11-12T10:13:00Z</cp:lastPrinted>
  <dcterms:created xsi:type="dcterms:W3CDTF">2019-11-12T10:13:00Z</dcterms:created>
  <dcterms:modified xsi:type="dcterms:W3CDTF">2019-11-12T10:13:00Z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