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5D39" w14:textId="431088FF" w:rsidR="00875FF3" w:rsidRDefault="00875FF3">
      <w:r w:rsidRPr="00875FF3">
        <w:t>Mapping implementation of ITC strategy b</w:t>
      </w:r>
      <w:r>
        <w:t>y WP.29 and GRs</w:t>
      </w:r>
    </w:p>
    <w:p w14:paraId="6C647015" w14:textId="642CC07A" w:rsidR="00875FF3" w:rsidRDefault="00875FF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8E29F9" w14:paraId="37205716" w14:textId="449C61AB" w:rsidTr="008E29F9">
        <w:tc>
          <w:tcPr>
            <w:tcW w:w="3114" w:type="dxa"/>
          </w:tcPr>
          <w:p w14:paraId="09073B4F" w14:textId="17CF8DCD" w:rsidR="008E29F9" w:rsidRDefault="008E29F9">
            <w:r>
              <w:t>Item/subject</w:t>
            </w:r>
          </w:p>
        </w:tc>
        <w:tc>
          <w:tcPr>
            <w:tcW w:w="2693" w:type="dxa"/>
          </w:tcPr>
          <w:p w14:paraId="757B00E4" w14:textId="3886BED3" w:rsidR="008E29F9" w:rsidRDefault="008E29F9">
            <w:r>
              <w:t>WP.29</w:t>
            </w:r>
          </w:p>
        </w:tc>
        <w:tc>
          <w:tcPr>
            <w:tcW w:w="3260" w:type="dxa"/>
          </w:tcPr>
          <w:p w14:paraId="3E5BA8A6" w14:textId="467B21B9" w:rsidR="008E29F9" w:rsidRDefault="008E29F9">
            <w:r>
              <w:t>Comment</w:t>
            </w:r>
          </w:p>
        </w:tc>
      </w:tr>
      <w:tr w:rsidR="008E29F9" w14:paraId="59F27863" w14:textId="5D61C5BD" w:rsidTr="008E29F9">
        <w:tc>
          <w:tcPr>
            <w:tcW w:w="3114" w:type="dxa"/>
          </w:tcPr>
          <w:p w14:paraId="6EB9A70E" w14:textId="0405E8BB" w:rsidR="008E29F9" w:rsidRDefault="008E29F9">
            <w:r>
              <w:t xml:space="preserve">(a) </w:t>
            </w:r>
            <w:r w:rsidRPr="00FF32F6">
              <w:t>Amendments to the legal instruments with geographical and procedural barriers by 2025 (all WPs/SCs and ACs)</w:t>
            </w:r>
          </w:p>
        </w:tc>
        <w:tc>
          <w:tcPr>
            <w:tcW w:w="2693" w:type="dxa"/>
          </w:tcPr>
          <w:p w14:paraId="634AA989" w14:textId="12ACC553" w:rsidR="008E29F9" w:rsidRDefault="008E29F9">
            <w:r>
              <w:t>implemented</w:t>
            </w:r>
          </w:p>
        </w:tc>
        <w:tc>
          <w:tcPr>
            <w:tcW w:w="3260" w:type="dxa"/>
          </w:tcPr>
          <w:p w14:paraId="76ED857C" w14:textId="77777777" w:rsidR="008E29F9" w:rsidRDefault="008E29F9">
            <w:r>
              <w:t>1958, 1997 and 1998 Agreements are globally applicable;</w:t>
            </w:r>
          </w:p>
          <w:p w14:paraId="0AEBD0E9" w14:textId="36364CA0" w:rsidR="008E29F9" w:rsidRDefault="008E29F9">
            <w:r>
              <w:t>Participation open to all countries being member of UN</w:t>
            </w:r>
          </w:p>
        </w:tc>
      </w:tr>
      <w:tr w:rsidR="008E29F9" w14:paraId="4090A4E4" w14:textId="13BA27AE" w:rsidTr="008E29F9">
        <w:tc>
          <w:tcPr>
            <w:tcW w:w="3114" w:type="dxa"/>
          </w:tcPr>
          <w:p w14:paraId="46014ACD" w14:textId="1644CDEE" w:rsidR="008E29F9" w:rsidRDefault="008E29F9">
            <w:r>
              <w:t>(b)</w:t>
            </w:r>
            <w:r w:rsidRPr="00FF32F6">
              <w:t xml:space="preserve"> Amendments to the legal instruments with geographical and procedural barriers by 2025 (all WPs/SCs and ACs)</w:t>
            </w:r>
          </w:p>
        </w:tc>
        <w:tc>
          <w:tcPr>
            <w:tcW w:w="2693" w:type="dxa"/>
          </w:tcPr>
          <w:p w14:paraId="3A9F7656" w14:textId="559E1E0F" w:rsidR="008E29F9" w:rsidRDefault="008E29F9">
            <w:r>
              <w:t>implemented</w:t>
            </w:r>
          </w:p>
        </w:tc>
        <w:tc>
          <w:tcPr>
            <w:tcW w:w="3260" w:type="dxa"/>
          </w:tcPr>
          <w:p w14:paraId="6790F80E" w14:textId="73CFDA2C" w:rsidR="008E29F9" w:rsidRDefault="008E29F9">
            <w:r>
              <w:t>1958, 1997 and 1998 Agreements address safety and environment. They support cross-border use of vehicles and international trade</w:t>
            </w:r>
          </w:p>
        </w:tc>
      </w:tr>
      <w:tr w:rsidR="008E29F9" w14:paraId="09C31A8C" w14:textId="3F89139E" w:rsidTr="008E29F9">
        <w:tc>
          <w:tcPr>
            <w:tcW w:w="3114" w:type="dxa"/>
          </w:tcPr>
          <w:p w14:paraId="0812A748" w14:textId="648F7F9D" w:rsidR="008E29F9" w:rsidRDefault="008E29F9">
            <w:r>
              <w:t>(</w:t>
            </w:r>
            <w:r w:rsidRPr="00FF32F6">
              <w:t>c</w:t>
            </w:r>
            <w:r>
              <w:t>)</w:t>
            </w:r>
            <w:r w:rsidRPr="00FF32F6">
              <w:t xml:space="preserve"> Identification of additional necessary legal instruments (Based on the review, all WPs/SCs and ACs to identify gaps of the legal instruments fully meet the needs for safety, cross-border efficiency, environment and connectivity)</w:t>
            </w:r>
          </w:p>
        </w:tc>
        <w:tc>
          <w:tcPr>
            <w:tcW w:w="2693" w:type="dxa"/>
          </w:tcPr>
          <w:p w14:paraId="4EA83093" w14:textId="70C7C8EF" w:rsidR="008E29F9" w:rsidRDefault="008E29F9">
            <w:r>
              <w:t>ongoing</w:t>
            </w:r>
          </w:p>
        </w:tc>
        <w:tc>
          <w:tcPr>
            <w:tcW w:w="3260" w:type="dxa"/>
          </w:tcPr>
          <w:p w14:paraId="63668221" w14:textId="77777777" w:rsidR="008E29F9" w:rsidRDefault="008E29F9">
            <w:r>
              <w:t>1958, 1997 and 1998 Agreements address whole live-cycle of vehicles from design till recycling.</w:t>
            </w:r>
          </w:p>
          <w:p w14:paraId="08C268C5" w14:textId="232666C3" w:rsidR="008E29F9" w:rsidRDefault="008E29F9">
            <w:r>
              <w:t>International transfer of used vehicles might be subject of a new legal instrument stemming from the outcome of the UNRSF project 'safer and greener used cars for Africa'</w:t>
            </w:r>
          </w:p>
        </w:tc>
      </w:tr>
      <w:tr w:rsidR="008E29F9" w:rsidRPr="00A26D72" w14:paraId="0249FF77" w14:textId="253A1546" w:rsidTr="008E29F9">
        <w:tc>
          <w:tcPr>
            <w:tcW w:w="3114" w:type="dxa"/>
          </w:tcPr>
          <w:p w14:paraId="1CDE28E1" w14:textId="4DDF1165" w:rsidR="008E29F9" w:rsidRDefault="008E29F9">
            <w:r>
              <w:t>(</w:t>
            </w:r>
            <w:r w:rsidRPr="00FF32F6">
              <w:t>e</w:t>
            </w:r>
            <w:r>
              <w:t>)</w:t>
            </w:r>
            <w:r w:rsidRPr="00FF32F6">
              <w:t>Exploring possible new legal instruments from 2020 (all WPs/SCs and ACs based on the above item c)</w:t>
            </w:r>
          </w:p>
        </w:tc>
        <w:tc>
          <w:tcPr>
            <w:tcW w:w="2693" w:type="dxa"/>
          </w:tcPr>
          <w:p w14:paraId="11D3062D" w14:textId="53FBC9D5" w:rsidR="008E29F9" w:rsidRDefault="008E29F9">
            <w:r>
              <w:t>ongoing</w:t>
            </w:r>
          </w:p>
        </w:tc>
        <w:tc>
          <w:tcPr>
            <w:tcW w:w="3260" w:type="dxa"/>
          </w:tcPr>
          <w:p w14:paraId="057204F8" w14:textId="77777777" w:rsidR="008E29F9" w:rsidRDefault="008E29F9" w:rsidP="00A26D72">
            <w:pPr>
              <w:pStyle w:val="ListParagraph"/>
              <w:numPr>
                <w:ilvl w:val="0"/>
                <w:numId w:val="2"/>
              </w:numPr>
              <w:ind w:left="159" w:hanging="174"/>
            </w:pPr>
            <w:r>
              <w:t>See above</w:t>
            </w:r>
          </w:p>
          <w:p w14:paraId="5302BA26" w14:textId="77777777" w:rsidR="008E29F9" w:rsidRDefault="008E29F9" w:rsidP="00A26D72">
            <w:pPr>
              <w:pStyle w:val="ListParagraph"/>
              <w:ind w:left="159"/>
            </w:pPr>
          </w:p>
          <w:p w14:paraId="404EF1C0" w14:textId="166E0913" w:rsidR="008E29F9" w:rsidRPr="00A26D72" w:rsidRDefault="008E29F9" w:rsidP="00A26D72">
            <w:pPr>
              <w:pStyle w:val="ListParagraph"/>
              <w:ind w:left="17"/>
            </w:pPr>
            <w:r w:rsidRPr="00A26D72">
              <w:t>b)  A future Convention on Intelligent Transport Systems could be established as a horizontal instrument lin</w:t>
            </w:r>
            <w:r>
              <w:t>king activities at different bodies/WPs subsidiary to ITC</w:t>
            </w:r>
          </w:p>
        </w:tc>
      </w:tr>
      <w:tr w:rsidR="008E29F9" w:rsidRPr="00A26D72" w14:paraId="5909F860" w14:textId="2F9D2BFE" w:rsidTr="008E29F9">
        <w:tc>
          <w:tcPr>
            <w:tcW w:w="3114" w:type="dxa"/>
          </w:tcPr>
          <w:p w14:paraId="6BDA3CDD" w14:textId="7CAC1717" w:rsidR="008E29F9" w:rsidRPr="00A26D72" w:rsidRDefault="008E29F9">
            <w:r>
              <w:t>(</w:t>
            </w:r>
            <w:r w:rsidRPr="00FF32F6">
              <w:t>f</w:t>
            </w:r>
            <w:r>
              <w:t>)</w:t>
            </w:r>
            <w:r>
              <w:tab/>
            </w:r>
            <w:r w:rsidRPr="00FF32F6">
              <w:t>Further expand global participation in, and cooperation between, WP.1 and WP.29</w:t>
            </w:r>
          </w:p>
        </w:tc>
        <w:tc>
          <w:tcPr>
            <w:tcW w:w="2693" w:type="dxa"/>
          </w:tcPr>
          <w:p w14:paraId="2E5DD2D0" w14:textId="7CB0D0BA" w:rsidR="008E29F9" w:rsidRPr="00A26D72" w:rsidRDefault="008E29F9">
            <w:r>
              <w:t>ongoing</w:t>
            </w:r>
          </w:p>
        </w:tc>
        <w:tc>
          <w:tcPr>
            <w:tcW w:w="3260" w:type="dxa"/>
          </w:tcPr>
          <w:p w14:paraId="523D04BE" w14:textId="77777777" w:rsidR="008E29F9" w:rsidRDefault="008E29F9" w:rsidP="008E29F9">
            <w:r>
              <w:t>- Executive Task Force has been established</w:t>
            </w:r>
          </w:p>
          <w:p w14:paraId="3BAD6F90" w14:textId="09EBD75A" w:rsidR="008E29F9" w:rsidRPr="00A26D72" w:rsidRDefault="008E29F9" w:rsidP="008E29F9">
            <w:r>
              <w:t>- Joint events organized</w:t>
            </w:r>
          </w:p>
        </w:tc>
      </w:tr>
      <w:tr w:rsidR="008E29F9" w:rsidRPr="00A26D72" w14:paraId="3C89D5DB" w14:textId="079DBB50" w:rsidTr="008E29F9">
        <w:tc>
          <w:tcPr>
            <w:tcW w:w="3114" w:type="dxa"/>
          </w:tcPr>
          <w:p w14:paraId="6E8A6C50" w14:textId="6987B22B" w:rsidR="008E29F9" w:rsidRPr="00A26D72" w:rsidRDefault="008E29F9">
            <w:r>
              <w:t>(</w:t>
            </w:r>
            <w:r w:rsidRPr="00FF32F6">
              <w:t>g</w:t>
            </w:r>
            <w:r>
              <w:t>)</w:t>
            </w:r>
            <w:r>
              <w:tab/>
            </w:r>
            <w:r w:rsidRPr="00FF32F6">
              <w:t>Update DETA and host it at ECE from 2022 onwards (WP.29)</w:t>
            </w:r>
          </w:p>
        </w:tc>
        <w:tc>
          <w:tcPr>
            <w:tcW w:w="2693" w:type="dxa"/>
          </w:tcPr>
          <w:p w14:paraId="4F6A396A" w14:textId="5D00B8CA" w:rsidR="008E29F9" w:rsidRPr="00A26D72" w:rsidRDefault="008E29F9">
            <w:r>
              <w:t>DETA is operational and updates with additional modules financed by different key-stakeholders ongoing. RB funding of hosting blocked at 5</w:t>
            </w:r>
            <w:r w:rsidRPr="004607EE">
              <w:rPr>
                <w:vertAlign w:val="superscript"/>
              </w:rPr>
              <w:t>th</w:t>
            </w:r>
            <w:r>
              <w:t xml:space="preserve"> Committee</w:t>
            </w:r>
          </w:p>
        </w:tc>
        <w:tc>
          <w:tcPr>
            <w:tcW w:w="3260" w:type="dxa"/>
          </w:tcPr>
          <w:p w14:paraId="6189E9DA" w14:textId="77777777" w:rsidR="008E29F9" w:rsidRDefault="008E29F9">
            <w:r>
              <w:t>DETA currently hosted by Germany</w:t>
            </w:r>
          </w:p>
          <w:p w14:paraId="7C06B164" w14:textId="77777777" w:rsidR="008E29F9" w:rsidRDefault="008E29F9"/>
          <w:p w14:paraId="492790ED" w14:textId="1C0325DF" w:rsidR="008E29F9" w:rsidRPr="00A26D72" w:rsidRDefault="008E29F9">
            <w:r>
              <w:t>XB funding possibilities for hosting currently under discussion</w:t>
            </w:r>
          </w:p>
        </w:tc>
      </w:tr>
      <w:tr w:rsidR="008E29F9" w:rsidRPr="00A26D72" w14:paraId="0649BDA1" w14:textId="77777777" w:rsidTr="008E29F9">
        <w:tc>
          <w:tcPr>
            <w:tcW w:w="3114" w:type="dxa"/>
          </w:tcPr>
          <w:p w14:paraId="5A1BDF29" w14:textId="22253001" w:rsidR="008E29F9" w:rsidRPr="00A26D72" w:rsidRDefault="008E29F9" w:rsidP="008E29F9">
            <w:r>
              <w:t>(</w:t>
            </w:r>
            <w:r w:rsidRPr="00FF32F6">
              <w:t>j</w:t>
            </w:r>
            <w:r>
              <w:t>)</w:t>
            </w:r>
            <w:r w:rsidRPr="00FF32F6">
              <w:t>Identify, foster and facilitate the introduction of new technologies in the rail, road, road-based mobility, inland waterway, logistics, intermodal transport until 2030 (all WPs/SCs and ACs)</w:t>
            </w:r>
          </w:p>
        </w:tc>
        <w:tc>
          <w:tcPr>
            <w:tcW w:w="2693" w:type="dxa"/>
          </w:tcPr>
          <w:p w14:paraId="7A4CFE49" w14:textId="1289DFE5" w:rsidR="008E29F9" w:rsidRPr="00A26D72" w:rsidRDefault="008E29F9" w:rsidP="008E29F9">
            <w:r>
              <w:t>ongoing</w:t>
            </w:r>
          </w:p>
        </w:tc>
        <w:tc>
          <w:tcPr>
            <w:tcW w:w="3260" w:type="dxa"/>
          </w:tcPr>
          <w:p w14:paraId="299CFAAE" w14:textId="2DAF5DCA" w:rsidR="008E29F9" w:rsidRPr="00A26D72" w:rsidRDefault="008E29F9" w:rsidP="008E29F9">
            <w:r>
              <w:t>Introduction of new technologies is continuous ongoing process in WP.29 and subsidiary working parties (GRs)</w:t>
            </w:r>
          </w:p>
        </w:tc>
      </w:tr>
      <w:tr w:rsidR="008E29F9" w:rsidRPr="00A26D72" w14:paraId="75A4B837" w14:textId="77777777" w:rsidTr="008E29F9">
        <w:tc>
          <w:tcPr>
            <w:tcW w:w="3114" w:type="dxa"/>
          </w:tcPr>
          <w:p w14:paraId="4324630D" w14:textId="04D74E60" w:rsidR="008E29F9" w:rsidRPr="00A26D72" w:rsidRDefault="008E29F9" w:rsidP="008E29F9">
            <w:r>
              <w:t xml:space="preserve">(k)Enhance support to automated vehicles from 2019, </w:t>
            </w:r>
            <w:r>
              <w:lastRenderedPageBreak/>
              <w:t>including continuation of amendments to the existing legal instruments and standards, and possible development of new agreement(s), both if necessary (WP.1 and WP.29)</w:t>
            </w:r>
          </w:p>
        </w:tc>
        <w:tc>
          <w:tcPr>
            <w:tcW w:w="2693" w:type="dxa"/>
          </w:tcPr>
          <w:p w14:paraId="65F8CE33" w14:textId="1DC39977" w:rsidR="008E29F9" w:rsidRPr="00A26D72" w:rsidRDefault="008E29F9" w:rsidP="008E29F9">
            <w:r>
              <w:lastRenderedPageBreak/>
              <w:t>ongoing</w:t>
            </w:r>
          </w:p>
        </w:tc>
        <w:tc>
          <w:tcPr>
            <w:tcW w:w="3260" w:type="dxa"/>
          </w:tcPr>
          <w:p w14:paraId="6B429D98" w14:textId="3BADDF88" w:rsidR="008E29F9" w:rsidRPr="00A26D72" w:rsidRDefault="008E29F9" w:rsidP="008E29F9">
            <w:r>
              <w:t xml:space="preserve">Numerous new UN Regulations for automated vehicles (level 3 </w:t>
            </w:r>
            <w:r>
              <w:lastRenderedPageBreak/>
              <w:t>and higher) and related components/systems as well as for Advanced Driving Assistance Systems (ADAS) (levels 1 and 2) are under development /adopted</w:t>
            </w:r>
          </w:p>
        </w:tc>
      </w:tr>
      <w:tr w:rsidR="008E29F9" w:rsidRPr="00A26D72" w14:paraId="5338DBCC" w14:textId="77777777" w:rsidTr="008E29F9">
        <w:tc>
          <w:tcPr>
            <w:tcW w:w="3114" w:type="dxa"/>
          </w:tcPr>
          <w:p w14:paraId="25C9C3D2" w14:textId="38ECA72D" w:rsidR="008E29F9" w:rsidRPr="00A26D72" w:rsidRDefault="008E29F9" w:rsidP="008E29F9">
            <w:r>
              <w:lastRenderedPageBreak/>
              <w:t>(l)New training standards and competency criteria from 2022 (all WPs/SCs and ACs with legal instruments)</w:t>
            </w:r>
          </w:p>
        </w:tc>
        <w:tc>
          <w:tcPr>
            <w:tcW w:w="2693" w:type="dxa"/>
          </w:tcPr>
          <w:p w14:paraId="486A13D9" w14:textId="0E9C4DB7" w:rsidR="008E29F9" w:rsidRPr="00A26D72" w:rsidRDefault="008E29F9" w:rsidP="008E29F9">
            <w:r>
              <w:t>ongoing</w:t>
            </w:r>
          </w:p>
        </w:tc>
        <w:tc>
          <w:tcPr>
            <w:tcW w:w="3260" w:type="dxa"/>
          </w:tcPr>
          <w:p w14:paraId="0FB94FD8" w14:textId="0F7BD3AA" w:rsidR="008E29F9" w:rsidRPr="00A26D72" w:rsidRDefault="008E29F9" w:rsidP="008E29F9">
            <w:r>
              <w:t xml:space="preserve">1958 and 1997 Agreements and related Resolutions R.E.3 and R.E.6 cover already training and competency criteria for persons active in their application. </w:t>
            </w:r>
          </w:p>
        </w:tc>
      </w:tr>
      <w:tr w:rsidR="008E29F9" w:rsidRPr="00A26D72" w14:paraId="3E45DB2F" w14:textId="77777777" w:rsidTr="008E29F9">
        <w:tc>
          <w:tcPr>
            <w:tcW w:w="3114" w:type="dxa"/>
          </w:tcPr>
          <w:p w14:paraId="51800862" w14:textId="254D1B57" w:rsidR="008E29F9" w:rsidRDefault="008E29F9" w:rsidP="008E29F9">
            <w:r>
              <w:t>(q)New tools and activities from 2019, e.g. - THE PEP; further development of local pollutant module of ForFITS; reviews on green transport and mobility (WP. 5, WP.29)</w:t>
            </w:r>
          </w:p>
        </w:tc>
        <w:tc>
          <w:tcPr>
            <w:tcW w:w="2693" w:type="dxa"/>
          </w:tcPr>
          <w:p w14:paraId="37CE6E38" w14:textId="22F6E5BB" w:rsidR="008E29F9" w:rsidRPr="00A26D72" w:rsidRDefault="008E29F9" w:rsidP="008E29F9">
            <w:r>
              <w:t>WP.29 is not overseeing ForFITS activities</w:t>
            </w:r>
          </w:p>
        </w:tc>
        <w:tc>
          <w:tcPr>
            <w:tcW w:w="3260" w:type="dxa"/>
          </w:tcPr>
          <w:p w14:paraId="58BF4EFB" w14:textId="3F9B494E" w:rsidR="008E29F9" w:rsidRDefault="008E29F9" w:rsidP="008E29F9">
            <w:r>
              <w:t>Further development of new modules for ForFITS is subject to availability of resources. Cooperation with other organizations (OECD IEA) is endeavoured.</w:t>
            </w:r>
          </w:p>
        </w:tc>
      </w:tr>
    </w:tbl>
    <w:p w14:paraId="23E0E30F" w14:textId="4F21947F" w:rsidR="00875FF3" w:rsidRDefault="00875FF3"/>
    <w:p w14:paraId="564AADEB" w14:textId="4FC8EA1D" w:rsidR="00013917" w:rsidRPr="00A26D72" w:rsidRDefault="00013917" w:rsidP="00013917">
      <w:pPr>
        <w:jc w:val="center"/>
      </w:pPr>
      <w:r>
        <w:t>___________</w:t>
      </w:r>
      <w:bookmarkStart w:id="0" w:name="_GoBack"/>
      <w:bookmarkEnd w:id="0"/>
    </w:p>
    <w:sectPr w:rsidR="00013917" w:rsidRPr="00A26D72" w:rsidSect="008E29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CCBE" w14:textId="77777777" w:rsidR="0083179F" w:rsidRDefault="0083179F" w:rsidP="008E29F9">
      <w:pPr>
        <w:spacing w:after="0" w:line="240" w:lineRule="auto"/>
      </w:pPr>
      <w:r>
        <w:separator/>
      </w:r>
    </w:p>
  </w:endnote>
  <w:endnote w:type="continuationSeparator" w:id="0">
    <w:p w14:paraId="2783AFFD" w14:textId="77777777" w:rsidR="0083179F" w:rsidRDefault="0083179F" w:rsidP="008E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B2E7" w14:textId="77777777" w:rsidR="0083179F" w:rsidRDefault="0083179F" w:rsidP="008E29F9">
      <w:pPr>
        <w:spacing w:after="0" w:line="240" w:lineRule="auto"/>
      </w:pPr>
      <w:r>
        <w:separator/>
      </w:r>
    </w:p>
  </w:footnote>
  <w:footnote w:type="continuationSeparator" w:id="0">
    <w:p w14:paraId="16FBE76A" w14:textId="77777777" w:rsidR="0083179F" w:rsidRDefault="0083179F" w:rsidP="008E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000" w:firstRow="0" w:lastRow="0" w:firstColumn="0" w:lastColumn="0" w:noHBand="0" w:noVBand="0"/>
    </w:tblPr>
    <w:tblGrid>
      <w:gridCol w:w="5103"/>
      <w:gridCol w:w="4253"/>
    </w:tblGrid>
    <w:tr w:rsidR="004B1907" w14:paraId="74ED3ADB" w14:textId="77777777" w:rsidTr="00801612">
      <w:tc>
        <w:tcPr>
          <w:tcW w:w="5103" w:type="dxa"/>
          <w:tcBorders>
            <w:left w:val="nil"/>
          </w:tcBorders>
        </w:tcPr>
        <w:p w14:paraId="15ADD957" w14:textId="77777777" w:rsidR="004B1907" w:rsidRDefault="004B1907" w:rsidP="00E078E9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Note by the secretariat</w:t>
          </w:r>
        </w:p>
        <w:p w14:paraId="4977AE7B" w14:textId="77E5AF3D" w:rsidR="004B1907" w:rsidRDefault="004B1907" w:rsidP="004B1907">
          <w:pPr>
            <w:ind w:left="120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53" w:type="dxa"/>
          <w:tcBorders>
            <w:left w:val="nil"/>
          </w:tcBorders>
        </w:tcPr>
        <w:p w14:paraId="747984EC" w14:textId="3E2AF6E7" w:rsidR="004B1907" w:rsidRPr="00E22E50" w:rsidRDefault="004B1907" w:rsidP="00807F62">
          <w:pPr>
            <w:ind w:left="175"/>
            <w:jc w:val="right"/>
            <w:rPr>
              <w:rFonts w:ascii="Times New Roman" w:hAnsi="Times New Roman"/>
              <w:sz w:val="20"/>
              <w:szCs w:val="20"/>
            </w:rPr>
          </w:pPr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>Informal</w:t>
          </w:r>
          <w:r w:rsidRPr="00C20AEF">
            <w:rPr>
              <w:rFonts w:ascii="Times New Roman" w:hAnsi="Times New Roman"/>
              <w:sz w:val="20"/>
              <w:szCs w:val="20"/>
              <w:u w:val="single"/>
            </w:rPr>
            <w:t xml:space="preserve"> document</w:t>
          </w:r>
          <w:r w:rsidRPr="00BE2359">
            <w:rPr>
              <w:rFonts w:ascii="Times New Roman" w:hAnsi="Times New Roman"/>
              <w:sz w:val="20"/>
              <w:szCs w:val="20"/>
              <w:lang w:val="pt-BR"/>
            </w:rPr>
            <w:t xml:space="preserve"> </w:t>
          </w:r>
          <w:r w:rsidR="00375982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WP.29-182-16</w:t>
          </w: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br/>
          </w:r>
          <w:r w:rsidRPr="00BE2359">
            <w:rPr>
              <w:rFonts w:ascii="Times New Roman" w:hAnsi="Times New Roman"/>
              <w:sz w:val="20"/>
              <w:szCs w:val="20"/>
            </w:rPr>
            <w:t>1</w:t>
          </w:r>
          <w:r w:rsidR="00375982">
            <w:rPr>
              <w:rFonts w:ascii="Times New Roman" w:hAnsi="Times New Roman"/>
              <w:sz w:val="20"/>
              <w:szCs w:val="20"/>
            </w:rPr>
            <w:t>82nd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BE2359">
            <w:rPr>
              <w:rFonts w:ascii="Times New Roman" w:hAnsi="Times New Roman"/>
              <w:sz w:val="20"/>
              <w:szCs w:val="20"/>
            </w:rPr>
            <w:t>WP.29</w:t>
          </w:r>
          <w:r w:rsidR="00375982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session, </w:t>
          </w:r>
          <w:r w:rsidR="00375982">
            <w:rPr>
              <w:rFonts w:ascii="Times New Roman" w:hAnsi="Times New Roman"/>
              <w:sz w:val="20"/>
              <w:szCs w:val="20"/>
            </w:rPr>
            <w:t>10-12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="00807F62">
            <w:rPr>
              <w:rFonts w:ascii="Times New Roman" w:hAnsi="Times New Roman"/>
              <w:sz w:val="20"/>
              <w:szCs w:val="20"/>
            </w:rPr>
            <w:t>November</w:t>
          </w:r>
          <w:r>
            <w:rPr>
              <w:rFonts w:ascii="Times New Roman" w:hAnsi="Times New Roman"/>
              <w:sz w:val="20"/>
              <w:szCs w:val="20"/>
            </w:rPr>
            <w:t xml:space="preserve"> 2020,</w:t>
          </w:r>
          <w:r>
            <w:rPr>
              <w:rFonts w:ascii="Times New Roman" w:hAnsi="Times New Roman"/>
              <w:sz w:val="20"/>
              <w:szCs w:val="20"/>
            </w:rPr>
            <w:br/>
            <w:t>agenda item 2.</w:t>
          </w:r>
          <w:r w:rsidR="00C20AEF">
            <w:rPr>
              <w:rFonts w:ascii="Times New Roman" w:hAnsi="Times New Roman"/>
              <w:sz w:val="20"/>
              <w:szCs w:val="20"/>
            </w:rPr>
            <w:t>2</w:t>
          </w:r>
        </w:p>
      </w:tc>
    </w:tr>
  </w:tbl>
  <w:p w14:paraId="164AA749" w14:textId="1C376F19" w:rsidR="00C51D93" w:rsidRPr="004B1907" w:rsidRDefault="00C51D93" w:rsidP="004B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6C5"/>
    <w:multiLevelType w:val="hybridMultilevel"/>
    <w:tmpl w:val="9A52D2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6D18"/>
    <w:multiLevelType w:val="hybridMultilevel"/>
    <w:tmpl w:val="82E05B06"/>
    <w:lvl w:ilvl="0" w:tplc="9508E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F3"/>
    <w:rsid w:val="00013917"/>
    <w:rsid w:val="00233255"/>
    <w:rsid w:val="00375982"/>
    <w:rsid w:val="004607EE"/>
    <w:rsid w:val="004B1907"/>
    <w:rsid w:val="00552F64"/>
    <w:rsid w:val="005A6FBC"/>
    <w:rsid w:val="00807F62"/>
    <w:rsid w:val="0083179F"/>
    <w:rsid w:val="00875FF3"/>
    <w:rsid w:val="008E29F9"/>
    <w:rsid w:val="00A26D72"/>
    <w:rsid w:val="00C20AEF"/>
    <w:rsid w:val="00C51D93"/>
    <w:rsid w:val="00E078E9"/>
    <w:rsid w:val="00EA512C"/>
    <w:rsid w:val="00F0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8F1A1"/>
  <w15:chartTrackingRefBased/>
  <w15:docId w15:val="{230A9457-6545-4028-94C6-2BE0669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F9"/>
  </w:style>
  <w:style w:type="paragraph" w:styleId="Footer">
    <w:name w:val="footer"/>
    <w:basedOn w:val="Normal"/>
    <w:link w:val="FooterChar"/>
    <w:uiPriority w:val="99"/>
    <w:unhideWhenUsed/>
    <w:rsid w:val="008E2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6068E-2A2C-46E1-8589-40D8AF159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F73A6-07FD-4971-ADAD-11D125E59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8B5A1-CA2E-4EE8-B83E-035A5711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3</cp:revision>
  <dcterms:created xsi:type="dcterms:W3CDTF">2020-11-09T16:52:00Z</dcterms:created>
  <dcterms:modified xsi:type="dcterms:W3CDTF">2020-11-09T17:17:00Z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