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77777777" w:rsidR="009E6CB7" w:rsidRPr="00D47EEA" w:rsidRDefault="00772D17" w:rsidP="00772D17">
            <w:pPr>
              <w:jc w:val="right"/>
            </w:pPr>
            <w:r w:rsidRPr="00772D17">
              <w:rPr>
                <w:sz w:val="40"/>
              </w:rPr>
              <w:t>ECE</w:t>
            </w:r>
            <w:r>
              <w:t>/TRANS/WP.29/2020/</w:t>
            </w:r>
            <w:r w:rsidR="00261508">
              <w:t>5</w:t>
            </w:r>
            <w:r w:rsidR="00CC5D75">
              <w:t>3</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77777777" w:rsidR="009E6CB7" w:rsidRDefault="00772D17" w:rsidP="00772D17">
            <w:pPr>
              <w:spacing w:before="240" w:line="240" w:lineRule="exact"/>
            </w:pPr>
            <w:r>
              <w:t>Distr.: Genera</w:t>
            </w:r>
            <w:r w:rsidR="0011067B">
              <w:t>l</w:t>
            </w:r>
          </w:p>
          <w:p w14:paraId="3D98D36E" w14:textId="50D8F6EA" w:rsidR="00772D17" w:rsidRDefault="00981FFE" w:rsidP="00772D17">
            <w:pPr>
              <w:spacing w:line="240" w:lineRule="exact"/>
            </w:pPr>
            <w:r>
              <w:t>2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77777777" w:rsidR="00772D17" w:rsidRDefault="00772D17" w:rsidP="00772D17">
      <w:r>
        <w:t>Item 4</w:t>
      </w:r>
      <w:r w:rsidRPr="00261508">
        <w:t>.</w:t>
      </w:r>
      <w:r w:rsidR="00261508" w:rsidRPr="00261508">
        <w:t>6</w:t>
      </w:r>
      <w:r w:rsidRPr="00261508">
        <w:t>.</w:t>
      </w:r>
      <w:r w:rsidR="00CC5D75">
        <w:t>4</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77777777" w:rsidR="00772D17" w:rsidRDefault="00772D17" w:rsidP="00772D17">
      <w:pPr>
        <w:pStyle w:val="HChG"/>
      </w:pPr>
      <w:r>
        <w:tab/>
      </w:r>
      <w:r>
        <w:tab/>
      </w:r>
      <w:r w:rsidR="00553697">
        <w:t xml:space="preserve">Proposal Supplement 18 to the 04 series of amendments </w:t>
      </w:r>
      <w:r w:rsidR="00553697" w:rsidRPr="00E5628A">
        <w:t>to UN</w:t>
      </w:r>
      <w:r w:rsidR="00553697">
        <w:t xml:space="preserve"> Regulation No. 44 (Child restraint systems</w:t>
      </w:r>
      <w:r w:rsidR="00553697" w:rsidRPr="00E5628A">
        <w:t>)</w:t>
      </w:r>
    </w:p>
    <w:p w14:paraId="176BFDED"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24F934F5" w14:textId="77777777"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7025BC">
        <w:rPr>
          <w:lang w:val="en-US"/>
        </w:rPr>
        <w:t>2</w:t>
      </w:r>
      <w:r w:rsidR="00553697">
        <w:rPr>
          <w:lang w:val="en-US"/>
        </w:rPr>
        <w:t>6</w:t>
      </w:r>
      <w:r>
        <w:rPr>
          <w:lang w:val="en-US"/>
        </w:rPr>
        <w:t xml:space="preserve">). It is </w:t>
      </w:r>
      <w:r w:rsidRPr="00EE7C07">
        <w:rPr>
          <w:lang w:val="en-US"/>
        </w:rPr>
        <w:t>based on</w:t>
      </w:r>
      <w:r>
        <w:rPr>
          <w:lang w:val="en-US"/>
        </w:rPr>
        <w:t xml:space="preserve"> </w:t>
      </w:r>
      <w:r w:rsidR="0011067B">
        <w:t>ECE/TRANS/WP.29/GRSP/2019/</w:t>
      </w:r>
      <w:r w:rsidR="00553697">
        <w:t>2</w:t>
      </w:r>
      <w:r w:rsidR="0011067B">
        <w:t>3 as amended by Annex V to th</w:t>
      </w:r>
      <w:r w:rsidR="00553697">
        <w:t>e</w:t>
      </w:r>
      <w:r w:rsidR="0011067B">
        <w:t xml:space="preserve"> report</w:t>
      </w:r>
      <w:r w:rsidR="00553697">
        <w:t xml:space="preserve"> and </w:t>
      </w:r>
      <w:r w:rsidR="00553697" w:rsidRPr="00E75AF3">
        <w:t>ECE/TRANS/WP.29/GRSP/2019/28</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6EBBED9F" w14:textId="77777777" w:rsidR="00394C9F" w:rsidRPr="009C6569" w:rsidRDefault="00394C9F" w:rsidP="00394C9F">
      <w:pPr>
        <w:autoSpaceDE w:val="0"/>
        <w:autoSpaceDN w:val="0"/>
        <w:adjustRightInd w:val="0"/>
        <w:spacing w:before="240"/>
        <w:ind w:left="2268" w:right="1134" w:hanging="1134"/>
        <w:jc w:val="both"/>
      </w:pPr>
      <w:r w:rsidRPr="009C6569">
        <w:rPr>
          <w:i/>
        </w:rPr>
        <w:lastRenderedPageBreak/>
        <w:t>Insert a new paragraph 1.2.</w:t>
      </w:r>
      <w:r w:rsidRPr="009C6569">
        <w:t>, to read:</w:t>
      </w:r>
    </w:p>
    <w:p w14:paraId="3A97E014" w14:textId="77777777" w:rsidR="00394C9F" w:rsidRPr="00394C9F" w:rsidRDefault="00394C9F" w:rsidP="00394C9F">
      <w:pPr>
        <w:autoSpaceDE w:val="0"/>
        <w:autoSpaceDN w:val="0"/>
        <w:adjustRightInd w:val="0"/>
        <w:spacing w:before="240"/>
        <w:ind w:left="2268" w:right="1134" w:hanging="1134"/>
        <w:jc w:val="both"/>
      </w:pPr>
      <w:r w:rsidRPr="00394C9F">
        <w:t>"1.2.</w:t>
      </w:r>
      <w:r w:rsidRPr="00394C9F">
        <w:tab/>
        <w:t>This Regulation explicitly forbids child restraint systems in the form of belt guides and other sitting devices that are dangerous and can harm children in the event of a vehicle collision, irrespective of any test results obtained in accordance with paragraph 8.</w:t>
      </w:r>
    </w:p>
    <w:p w14:paraId="6F7C27B8" w14:textId="77777777" w:rsidR="00394C9F" w:rsidRPr="00394C9F" w:rsidRDefault="00394C9F" w:rsidP="00394C9F">
      <w:pPr>
        <w:autoSpaceDE w:val="0"/>
        <w:autoSpaceDN w:val="0"/>
        <w:adjustRightInd w:val="0"/>
        <w:spacing w:before="240"/>
        <w:ind w:left="2268" w:right="1134"/>
        <w:jc w:val="both"/>
      </w:pPr>
      <w:r w:rsidRPr="00394C9F">
        <w:t>In particular, it concerns belt guides and sitting devices meant for children of a mass from 15 kg to 36 kg that connect to or attach onto the lap belt portion as well as the torso belt portion of a 3-point adult safety belt system with the aim to alter the adult safety belt routing by for example pulling down the torso belt portion or squeezing together the torso belt portion and lap belt portion. Examples of such non-compliant devices are shown below.</w:t>
      </w:r>
    </w:p>
    <w:p w14:paraId="090CB07D" w14:textId="77777777" w:rsidR="00394C9F" w:rsidRPr="009C6569" w:rsidRDefault="00394C9F" w:rsidP="00394C9F">
      <w:pPr>
        <w:autoSpaceDE w:val="0"/>
        <w:autoSpaceDN w:val="0"/>
        <w:adjustRightInd w:val="0"/>
        <w:spacing w:before="240"/>
        <w:ind w:left="2268" w:right="1134"/>
        <w:jc w:val="both"/>
        <w:rPr>
          <w:b/>
        </w:rPr>
      </w:pPr>
      <w:r w:rsidRPr="009C6569">
        <w:rPr>
          <w:noProof/>
          <w:lang w:eastAsia="zh-CN"/>
        </w:rPr>
        <w:drawing>
          <wp:inline distT="0" distB="0" distL="0" distR="0" wp14:anchorId="672F7B2E" wp14:editId="23958049">
            <wp:extent cx="1560647" cy="2169034"/>
            <wp:effectExtent l="0" t="0" r="1905" b="3175"/>
            <wp:docPr id="13" name="Image 13" descr="C:\Users\fbendjellal\AppData\Local\Microsoft\Windows\INetCache\Content.Outlook\LW62YJH6\190911_Smart Kid Belt_01_posit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endjellal\AppData\Local\Microsoft\Windows\INetCache\Content.Outlook\LW62YJH6\190911_Smart Kid Belt_01_positon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924" cy="2194436"/>
                    </a:xfrm>
                    <a:prstGeom prst="rect">
                      <a:avLst/>
                    </a:prstGeom>
                    <a:noFill/>
                    <a:ln>
                      <a:noFill/>
                    </a:ln>
                  </pic:spPr>
                </pic:pic>
              </a:graphicData>
            </a:graphic>
          </wp:inline>
        </w:drawing>
      </w:r>
      <w:r w:rsidRPr="009C6569">
        <w:rPr>
          <w:b/>
        </w:rPr>
        <w:t xml:space="preserve"> </w:t>
      </w:r>
      <w:r w:rsidRPr="009C6569">
        <w:rPr>
          <w:noProof/>
          <w:lang w:eastAsia="zh-CN"/>
        </w:rPr>
        <w:drawing>
          <wp:inline distT="0" distB="0" distL="0" distR="0" wp14:anchorId="39672B90" wp14:editId="45FF123F">
            <wp:extent cx="1654175" cy="1677035"/>
            <wp:effectExtent l="0" t="0" r="317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381"/>
                    <a:stretch/>
                  </pic:blipFill>
                  <pic:spPr bwMode="auto">
                    <a:xfrm>
                      <a:off x="0" y="0"/>
                      <a:ext cx="1654175" cy="1677035"/>
                    </a:xfrm>
                    <a:prstGeom prst="rect">
                      <a:avLst/>
                    </a:prstGeom>
                    <a:noFill/>
                    <a:ln>
                      <a:noFill/>
                    </a:ln>
                    <a:extLst>
                      <a:ext uri="{53640926-AAD7-44D8-BBD7-CCE9431645EC}">
                        <a14:shadowObscured xmlns:a14="http://schemas.microsoft.com/office/drawing/2010/main"/>
                      </a:ext>
                    </a:extLst>
                  </pic:spPr>
                </pic:pic>
              </a:graphicData>
            </a:graphic>
          </wp:inline>
        </w:drawing>
      </w:r>
    </w:p>
    <w:p w14:paraId="46DB5B97" w14:textId="77777777" w:rsidR="0002596C" w:rsidRPr="00394C9F" w:rsidRDefault="00394C9F" w:rsidP="00394C9F">
      <w:pPr>
        <w:autoSpaceDE w:val="0"/>
        <w:autoSpaceDN w:val="0"/>
        <w:adjustRightInd w:val="0"/>
        <w:spacing w:before="120" w:after="120"/>
        <w:ind w:left="2268" w:right="1134"/>
        <w:jc w:val="both"/>
        <w:rPr>
          <w:bCs/>
        </w:rPr>
      </w:pPr>
      <w:r w:rsidRPr="00394C9F">
        <w:rPr>
          <w:bCs/>
        </w:rPr>
        <w:t>It also concerns sitting devices that are unusable by a child unless they are properly inflated or other compact sitting devices that attempt to guide the lap belt portion by keeping it down or forward, just above the seat cushion, rather than to significantly elevate the child in relation to the vehicle’s normal seating position and the corresponding adult safety belt effective lower anchorages."</w:t>
      </w:r>
    </w:p>
    <w:p w14:paraId="685581D3" w14:textId="77777777" w:rsidR="00394C9F" w:rsidRDefault="00394C9F" w:rsidP="00553697">
      <w:pPr>
        <w:pStyle w:val="SingleTxtG"/>
        <w:rPr>
          <w:i/>
        </w:rPr>
      </w:pPr>
      <w:r>
        <w:rPr>
          <w:i/>
        </w:rPr>
        <w:br w:type="page"/>
      </w:r>
    </w:p>
    <w:p w14:paraId="336270EB" w14:textId="77777777" w:rsidR="00553697" w:rsidRPr="00E073B0" w:rsidRDefault="00553697" w:rsidP="00553697">
      <w:pPr>
        <w:pStyle w:val="SingleTxtG"/>
      </w:pPr>
      <w:r w:rsidRPr="00E073B0">
        <w:rPr>
          <w:i/>
        </w:rPr>
        <w:lastRenderedPageBreak/>
        <w:t>Paragraph 6.1.3.</w:t>
      </w:r>
      <w:r w:rsidRPr="00E073B0">
        <w:t>, amend to read:</w:t>
      </w:r>
    </w:p>
    <w:p w14:paraId="6292A51C" w14:textId="77777777" w:rsidR="00553697" w:rsidRPr="00E073B0" w:rsidRDefault="00553697" w:rsidP="00553697">
      <w:pPr>
        <w:pStyle w:val="para"/>
        <w:rPr>
          <w:lang w:val="en-GB"/>
        </w:rPr>
      </w:pPr>
      <w:r w:rsidRPr="00E073B0">
        <w:rPr>
          <w:lang w:val="en-GB"/>
        </w:rPr>
        <w:t>"6.1.3.</w:t>
      </w:r>
      <w:r w:rsidRPr="00E073B0">
        <w:rPr>
          <w:lang w:val="en-GB"/>
        </w:rPr>
        <w:tab/>
        <w:t>According to the category which it belongs to, the child restraint shall be secured to the vehicle structure or to the seat structure.</w:t>
      </w:r>
    </w:p>
    <w:p w14:paraId="2ED516CA" w14:textId="77777777" w:rsidR="00553697" w:rsidRPr="00BB7BB2" w:rsidRDefault="00553697" w:rsidP="00553697">
      <w:pPr>
        <w:pStyle w:val="Heading1"/>
        <w:spacing w:after="120"/>
        <w:rPr>
          <w:b/>
        </w:rPr>
      </w:pPr>
      <w:r w:rsidRPr="00E073B0">
        <w:rPr>
          <w:b/>
        </w:rPr>
        <w:t>Possible configurations for approval</w:t>
      </w:r>
      <w:r>
        <w:rPr>
          <w:b/>
        </w:rPr>
        <w:t xml:space="preserve"> </w:t>
      </w:r>
      <w:r w:rsidRPr="00BB7BB2">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553697" w:rsidRPr="00E073B0" w14:paraId="06A362AD" w14:textId="77777777" w:rsidTr="00B429ED">
        <w:trPr>
          <w:cantSplit/>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3FD80146" w14:textId="77777777" w:rsidR="00553697" w:rsidRPr="00BB7BB2" w:rsidRDefault="00553697" w:rsidP="00B429ED">
            <w:pPr>
              <w:suppressAutoHyphens w:val="0"/>
              <w:autoSpaceDE w:val="0"/>
              <w:autoSpaceDN w:val="0"/>
              <w:adjustRightInd w:val="0"/>
              <w:snapToGrid w:val="0"/>
              <w:spacing w:before="80" w:after="80" w:line="200" w:lineRule="exact"/>
              <w:ind w:left="57" w:right="113"/>
              <w:rPr>
                <w:i/>
                <w:sz w:val="16"/>
                <w:szCs w:val="16"/>
              </w:rPr>
            </w:pPr>
            <w:r w:rsidRPr="00BB7BB2">
              <w:rPr>
                <w:i/>
                <w:sz w:val="16"/>
                <w:szCs w:val="16"/>
              </w:rPr>
              <w:t>Group category</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5CB5B59E"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42054A69" w14:textId="77777777" w:rsidR="00553697" w:rsidRPr="00E073B0" w:rsidRDefault="00553697" w:rsidP="00B429ED">
            <w:pPr>
              <w:suppressAutoHyphens w:val="0"/>
              <w:autoSpaceDE w:val="0"/>
              <w:autoSpaceDN w:val="0"/>
              <w:adjustRightInd w:val="0"/>
              <w:snapToGrid w:val="0"/>
              <w:spacing w:before="80" w:after="80" w:line="200" w:lineRule="exact"/>
              <w:ind w:left="57" w:right="57"/>
              <w:rPr>
                <w:i/>
                <w:spacing w:val="-2"/>
                <w:sz w:val="16"/>
                <w:szCs w:val="16"/>
              </w:rPr>
            </w:pPr>
            <w:r w:rsidRPr="00E073B0">
              <w:rPr>
                <w:i/>
                <w:spacing w:val="-2"/>
                <w:sz w:val="16"/>
                <w:szCs w:val="16"/>
              </w:rPr>
              <w:t>Semi-universal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60047A14"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Restricted</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26CC4C99"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Specific vehicle</w:t>
            </w:r>
          </w:p>
        </w:tc>
      </w:tr>
      <w:tr w:rsidR="00553697" w:rsidRPr="00E073B0" w14:paraId="17D1C8DF" w14:textId="77777777" w:rsidTr="00981FFE">
        <w:trPr>
          <w:cantSplit/>
          <w:tblHeader/>
        </w:trPr>
        <w:tc>
          <w:tcPr>
            <w:tcW w:w="2360" w:type="dxa"/>
            <w:gridSpan w:val="2"/>
            <w:vMerge/>
            <w:tcBorders>
              <w:top w:val="single" w:sz="2" w:space="0" w:color="auto"/>
              <w:left w:val="single" w:sz="2" w:space="0" w:color="auto"/>
              <w:bottom w:val="single" w:sz="12" w:space="0" w:color="auto"/>
              <w:right w:val="single" w:sz="2" w:space="0" w:color="auto"/>
            </w:tcBorders>
            <w:vAlign w:val="center"/>
            <w:hideMark/>
          </w:tcPr>
          <w:p w14:paraId="450D3933" w14:textId="77777777" w:rsidR="00553697" w:rsidRPr="00E073B0" w:rsidRDefault="00553697" w:rsidP="00B429ED">
            <w:pPr>
              <w:suppressAutoHyphens w:val="0"/>
              <w:snapToGrid w:val="0"/>
              <w:spacing w:before="80" w:after="80" w:line="200" w:lineRule="exact"/>
              <w:rPr>
                <w:i/>
                <w:sz w:val="16"/>
                <w:szCs w:val="16"/>
              </w:rPr>
            </w:pPr>
          </w:p>
        </w:tc>
        <w:tc>
          <w:tcPr>
            <w:tcW w:w="524" w:type="dxa"/>
            <w:tcBorders>
              <w:top w:val="single" w:sz="2" w:space="0" w:color="auto"/>
              <w:left w:val="single" w:sz="2" w:space="0" w:color="auto"/>
              <w:bottom w:val="single" w:sz="12" w:space="0" w:color="auto"/>
              <w:right w:val="single" w:sz="2" w:space="0" w:color="auto"/>
            </w:tcBorders>
            <w:hideMark/>
          </w:tcPr>
          <w:p w14:paraId="275835C4"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7E136AAE"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49F0842E"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2B0BB300"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7ADEDC1E"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52AF51ED"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2AE6C1A6"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719FBAE5" w14:textId="77777777"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r>
      <w:tr w:rsidR="00553697" w:rsidRPr="00E073B0" w14:paraId="45EB898C" w14:textId="77777777" w:rsidTr="00981FFE">
        <w:trPr>
          <w:trHeight w:hRule="exact" w:val="400"/>
        </w:trPr>
        <w:tc>
          <w:tcPr>
            <w:tcW w:w="348" w:type="dxa"/>
            <w:vMerge w:val="restart"/>
            <w:tcBorders>
              <w:top w:val="single" w:sz="12" w:space="0" w:color="auto"/>
              <w:left w:val="single" w:sz="2" w:space="0" w:color="auto"/>
              <w:bottom w:val="single" w:sz="2" w:space="0" w:color="auto"/>
              <w:right w:val="single" w:sz="4" w:space="0" w:color="auto"/>
            </w:tcBorders>
            <w:vAlign w:val="center"/>
            <w:hideMark/>
          </w:tcPr>
          <w:p w14:paraId="6613D938" w14:textId="77777777" w:rsidR="00553697" w:rsidRPr="004E3561" w:rsidRDefault="00553697" w:rsidP="00981FFE">
            <w:pPr>
              <w:suppressAutoHyphens w:val="0"/>
              <w:autoSpaceDE w:val="0"/>
              <w:autoSpaceDN w:val="0"/>
              <w:adjustRightInd w:val="0"/>
              <w:spacing w:before="40" w:after="40" w:line="220" w:lineRule="exact"/>
              <w:ind w:right="113"/>
              <w:jc w:val="center"/>
              <w:rPr>
                <w:sz w:val="18"/>
                <w:szCs w:val="18"/>
              </w:rPr>
            </w:pPr>
            <w:r w:rsidRPr="004E3561">
              <w:rPr>
                <w:sz w:val="18"/>
                <w:szCs w:val="18"/>
              </w:rPr>
              <w:t>0</w:t>
            </w:r>
          </w:p>
        </w:tc>
        <w:tc>
          <w:tcPr>
            <w:tcW w:w="2012" w:type="dxa"/>
            <w:tcBorders>
              <w:top w:val="single" w:sz="4" w:space="0" w:color="auto"/>
              <w:left w:val="single" w:sz="4" w:space="0" w:color="auto"/>
              <w:bottom w:val="single" w:sz="4" w:space="0" w:color="auto"/>
              <w:right w:val="single" w:sz="4" w:space="0" w:color="auto"/>
            </w:tcBorders>
            <w:hideMark/>
          </w:tcPr>
          <w:p w14:paraId="22811AC1"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Carry-cot</w:t>
            </w:r>
          </w:p>
        </w:tc>
        <w:tc>
          <w:tcPr>
            <w:tcW w:w="524" w:type="dxa"/>
            <w:tcBorders>
              <w:top w:val="single" w:sz="4" w:space="0" w:color="auto"/>
              <w:left w:val="single" w:sz="4" w:space="0" w:color="auto"/>
              <w:bottom w:val="single" w:sz="4" w:space="0" w:color="auto"/>
              <w:right w:val="single" w:sz="4" w:space="0" w:color="auto"/>
            </w:tcBorders>
            <w:hideMark/>
          </w:tcPr>
          <w:p w14:paraId="4DEC16AF"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4" w:space="0" w:color="auto"/>
              <w:left w:val="single" w:sz="4" w:space="0" w:color="auto"/>
              <w:bottom w:val="single" w:sz="4" w:space="0" w:color="auto"/>
              <w:right w:val="single" w:sz="4" w:space="0" w:color="auto"/>
            </w:tcBorders>
            <w:hideMark/>
          </w:tcPr>
          <w:p w14:paraId="752F16B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4" w:space="0" w:color="auto"/>
              <w:left w:val="single" w:sz="4" w:space="0" w:color="auto"/>
              <w:bottom w:val="single" w:sz="4" w:space="0" w:color="auto"/>
              <w:right w:val="single" w:sz="4" w:space="0" w:color="auto"/>
            </w:tcBorders>
            <w:hideMark/>
          </w:tcPr>
          <w:p w14:paraId="2A87F800"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4" w:space="0" w:color="auto"/>
              <w:left w:val="single" w:sz="4" w:space="0" w:color="auto"/>
              <w:bottom w:val="single" w:sz="4" w:space="0" w:color="auto"/>
              <w:right w:val="single" w:sz="4" w:space="0" w:color="auto"/>
            </w:tcBorders>
            <w:hideMark/>
          </w:tcPr>
          <w:p w14:paraId="3D41D96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524" w:type="dxa"/>
            <w:tcBorders>
              <w:top w:val="single" w:sz="4" w:space="0" w:color="auto"/>
              <w:left w:val="single" w:sz="4" w:space="0" w:color="auto"/>
              <w:bottom w:val="single" w:sz="4" w:space="0" w:color="auto"/>
              <w:right w:val="single" w:sz="4" w:space="0" w:color="auto"/>
            </w:tcBorders>
            <w:hideMark/>
          </w:tcPr>
          <w:p w14:paraId="223E80F1"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4" w:space="0" w:color="auto"/>
              <w:left w:val="single" w:sz="4" w:space="0" w:color="auto"/>
              <w:bottom w:val="single" w:sz="4" w:space="0" w:color="auto"/>
              <w:right w:val="single" w:sz="4" w:space="0" w:color="auto"/>
            </w:tcBorders>
            <w:hideMark/>
          </w:tcPr>
          <w:p w14:paraId="52E55153"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4" w:space="0" w:color="auto"/>
              <w:left w:val="single" w:sz="4" w:space="0" w:color="auto"/>
              <w:bottom w:val="single" w:sz="4" w:space="0" w:color="auto"/>
              <w:right w:val="single" w:sz="4" w:space="0" w:color="auto"/>
            </w:tcBorders>
            <w:hideMark/>
          </w:tcPr>
          <w:p w14:paraId="426DCAB3"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4" w:space="0" w:color="auto"/>
              <w:left w:val="single" w:sz="4" w:space="0" w:color="auto"/>
              <w:bottom w:val="single" w:sz="4" w:space="0" w:color="auto"/>
              <w:right w:val="single" w:sz="4" w:space="0" w:color="auto"/>
            </w:tcBorders>
            <w:hideMark/>
          </w:tcPr>
          <w:p w14:paraId="0905FDF0"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4867FFAF" w14:textId="77777777" w:rsidTr="00981FFE">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14:paraId="7808A3E3" w14:textId="77777777" w:rsidR="00553697" w:rsidRPr="004E3561" w:rsidRDefault="00553697" w:rsidP="00981FFE">
            <w:pPr>
              <w:suppressAutoHyphens w:val="0"/>
              <w:spacing w:before="40" w:after="40" w:line="220" w:lineRule="exact"/>
              <w:rPr>
                <w:sz w:val="18"/>
                <w:szCs w:val="18"/>
              </w:rPr>
            </w:pPr>
          </w:p>
        </w:tc>
        <w:tc>
          <w:tcPr>
            <w:tcW w:w="2012" w:type="dxa"/>
            <w:tcBorders>
              <w:top w:val="single" w:sz="4" w:space="0" w:color="auto"/>
              <w:left w:val="single" w:sz="2" w:space="0" w:color="auto"/>
              <w:bottom w:val="single" w:sz="2" w:space="0" w:color="auto"/>
              <w:right w:val="single" w:sz="2" w:space="0" w:color="auto"/>
            </w:tcBorders>
          </w:tcPr>
          <w:p w14:paraId="7E84281B"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2F03A2B3"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39856F7D"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4F12ECAB" w14:textId="77777777" w:rsidR="00553697" w:rsidRPr="004E3561" w:rsidRDefault="00553697" w:rsidP="00981FFE">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240E494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531E8EAC" w14:textId="77777777" w:rsidR="00553697" w:rsidRPr="004E3561" w:rsidRDefault="00553697" w:rsidP="00981FFE">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565440D0"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79474DB7" w14:textId="77777777" w:rsidR="00553697" w:rsidRPr="004E3561" w:rsidRDefault="00553697" w:rsidP="00981FFE">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3F7D63BC"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r>
      <w:tr w:rsidR="00553697" w:rsidRPr="00E073B0" w14:paraId="7ED5BF99" w14:textId="77777777" w:rsidTr="00B429ED">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14:paraId="58C8B4FD" w14:textId="77777777"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26D434A4"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35F42C2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34FA7D1"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1E5E53A"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B97B5E9"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 (3)</w:t>
            </w:r>
          </w:p>
        </w:tc>
        <w:tc>
          <w:tcPr>
            <w:tcW w:w="524" w:type="dxa"/>
            <w:tcBorders>
              <w:top w:val="single" w:sz="2" w:space="0" w:color="auto"/>
              <w:left w:val="single" w:sz="2" w:space="0" w:color="auto"/>
              <w:bottom w:val="single" w:sz="2" w:space="0" w:color="auto"/>
              <w:right w:val="single" w:sz="2" w:space="0" w:color="auto"/>
            </w:tcBorders>
            <w:hideMark/>
          </w:tcPr>
          <w:p w14:paraId="062AB5AB"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2F8804B7"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0299EAD"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27B8FD2F"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07521EF1" w14:textId="77777777" w:rsidTr="00B429ED">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69245461" w14:textId="77777777" w:rsidR="00553697" w:rsidRPr="004E3561" w:rsidRDefault="00553697" w:rsidP="00981FFE">
            <w:pPr>
              <w:suppressAutoHyphens w:val="0"/>
              <w:autoSpaceDE w:val="0"/>
              <w:autoSpaceDN w:val="0"/>
              <w:adjustRightInd w:val="0"/>
              <w:spacing w:before="40" w:after="40" w:line="220" w:lineRule="exact"/>
              <w:ind w:right="113"/>
              <w:jc w:val="center"/>
              <w:rPr>
                <w:sz w:val="18"/>
                <w:szCs w:val="18"/>
              </w:rPr>
            </w:pPr>
            <w:r w:rsidRPr="004E3561">
              <w:rPr>
                <w:sz w:val="18"/>
                <w:szCs w:val="18"/>
              </w:rPr>
              <w:t>0+</w:t>
            </w:r>
          </w:p>
        </w:tc>
        <w:tc>
          <w:tcPr>
            <w:tcW w:w="2012" w:type="dxa"/>
            <w:tcBorders>
              <w:top w:val="single" w:sz="2" w:space="0" w:color="auto"/>
              <w:left w:val="single" w:sz="2" w:space="0" w:color="auto"/>
              <w:bottom w:val="single" w:sz="2" w:space="0" w:color="auto"/>
              <w:right w:val="single" w:sz="2" w:space="0" w:color="auto"/>
            </w:tcBorders>
            <w:hideMark/>
          </w:tcPr>
          <w:p w14:paraId="31C5FA8F"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132A1A51"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1404B26"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A8FD3B6"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6AB9BDF6"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524" w:type="dxa"/>
            <w:tcBorders>
              <w:top w:val="single" w:sz="2" w:space="0" w:color="auto"/>
              <w:left w:val="single" w:sz="2" w:space="0" w:color="auto"/>
              <w:bottom w:val="single" w:sz="2" w:space="0" w:color="auto"/>
              <w:right w:val="single" w:sz="2" w:space="0" w:color="auto"/>
            </w:tcBorders>
            <w:hideMark/>
          </w:tcPr>
          <w:p w14:paraId="72B98631"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25E015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B66EE20"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6CA3B4F"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6640C8A2" w14:textId="77777777" w:rsidTr="00B429ED">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7479C3D6" w14:textId="77777777" w:rsidR="00553697" w:rsidRPr="004E3561" w:rsidRDefault="00553697" w:rsidP="00981FFE">
            <w:pPr>
              <w:suppressAutoHyphens w:val="0"/>
              <w:autoSpaceDE w:val="0"/>
              <w:autoSpaceDN w:val="0"/>
              <w:adjustRightInd w:val="0"/>
              <w:spacing w:before="40" w:after="40" w:line="220" w:lineRule="exact"/>
              <w:ind w:right="113"/>
              <w:jc w:val="center"/>
              <w:rPr>
                <w:sz w:val="18"/>
                <w:szCs w:val="18"/>
              </w:rPr>
            </w:pPr>
            <w:r w:rsidRPr="004E3561">
              <w:rPr>
                <w:sz w:val="18"/>
                <w:szCs w:val="18"/>
              </w:rPr>
              <w:t>I</w:t>
            </w:r>
          </w:p>
        </w:tc>
        <w:tc>
          <w:tcPr>
            <w:tcW w:w="2012" w:type="dxa"/>
            <w:tcBorders>
              <w:top w:val="single" w:sz="2" w:space="0" w:color="auto"/>
              <w:left w:val="single" w:sz="2" w:space="0" w:color="auto"/>
              <w:bottom w:val="single" w:sz="2" w:space="0" w:color="auto"/>
              <w:right w:val="single" w:sz="2" w:space="0" w:color="auto"/>
            </w:tcBorders>
            <w:hideMark/>
          </w:tcPr>
          <w:p w14:paraId="7E5AE319"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7FC727BF"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164CB95C"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86FB25A"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1019D574"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524" w:type="dxa"/>
            <w:tcBorders>
              <w:top w:val="single" w:sz="2" w:space="0" w:color="auto"/>
              <w:left w:val="single" w:sz="2" w:space="0" w:color="auto"/>
              <w:bottom w:val="single" w:sz="2" w:space="0" w:color="auto"/>
              <w:right w:val="single" w:sz="2" w:space="0" w:color="auto"/>
            </w:tcBorders>
            <w:hideMark/>
          </w:tcPr>
          <w:p w14:paraId="4A1E83CE"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FB34650"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B9D21AF"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6222060"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1AD0070C" w14:textId="77777777" w:rsidTr="00B429ED">
        <w:trPr>
          <w:trHeight w:val="56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5E5DCCCF" w14:textId="77777777"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4F8718DC"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0CD18CD6"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E14AA35"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524" w:type="dxa"/>
            <w:tcBorders>
              <w:top w:val="single" w:sz="2" w:space="0" w:color="auto"/>
              <w:left w:val="single" w:sz="2" w:space="0" w:color="auto"/>
              <w:bottom w:val="single" w:sz="2" w:space="0" w:color="auto"/>
              <w:right w:val="single" w:sz="2" w:space="0" w:color="auto"/>
            </w:tcBorders>
            <w:hideMark/>
          </w:tcPr>
          <w:p w14:paraId="59D2A37F"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0D71CB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524" w:type="dxa"/>
            <w:tcBorders>
              <w:top w:val="single" w:sz="2" w:space="0" w:color="auto"/>
              <w:left w:val="single" w:sz="2" w:space="0" w:color="auto"/>
              <w:bottom w:val="single" w:sz="2" w:space="0" w:color="auto"/>
              <w:right w:val="single" w:sz="2" w:space="0" w:color="auto"/>
            </w:tcBorders>
            <w:hideMark/>
          </w:tcPr>
          <w:p w14:paraId="5775BA06"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A6E69B2"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8D9BE16"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45E2577"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3DD5E843" w14:textId="77777777" w:rsidTr="00B429ED">
        <w:trPr>
          <w:trHeight w:val="57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9AB0F68" w14:textId="77777777"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727ADD86"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6E91483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568CBE4C"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06D52B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2D0BCA11"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853CB03"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01A00DF5"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44417A3"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734BCBC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r>
      <w:tr w:rsidR="00553697" w:rsidRPr="00E073B0" w14:paraId="4A5DB9C3" w14:textId="77777777"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523C3120" w14:textId="77777777"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6A3569D8"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br/>
            </w:r>
            <w:r w:rsidRPr="004E3561">
              <w:rPr>
                <w:sz w:val="18"/>
                <w:szCs w:val="18"/>
              </w:rP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14:paraId="1E2A7FC7"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F74B5E1"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B72689C"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F23E36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ED842EE"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98C941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11A9C2A"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14E5AE55"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3CB344E1" w14:textId="77777777" w:rsidTr="00B429ED">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8AC413D" w14:textId="77777777" w:rsidR="00553697" w:rsidRPr="004E3561" w:rsidRDefault="00553697" w:rsidP="00981FFE">
            <w:pPr>
              <w:suppressAutoHyphens w:val="0"/>
              <w:autoSpaceDE w:val="0"/>
              <w:autoSpaceDN w:val="0"/>
              <w:adjustRightInd w:val="0"/>
              <w:spacing w:before="40" w:after="40" w:line="220" w:lineRule="exact"/>
              <w:ind w:right="113"/>
              <w:jc w:val="center"/>
              <w:rPr>
                <w:sz w:val="18"/>
                <w:szCs w:val="18"/>
                <w:u w:val="single"/>
              </w:rPr>
            </w:pPr>
            <w:r w:rsidRPr="004E3561">
              <w:rPr>
                <w:sz w:val="18"/>
                <w:szCs w:val="18"/>
              </w:rPr>
              <w:t>II</w:t>
            </w:r>
          </w:p>
        </w:tc>
        <w:tc>
          <w:tcPr>
            <w:tcW w:w="2012" w:type="dxa"/>
            <w:tcBorders>
              <w:top w:val="single" w:sz="2" w:space="0" w:color="auto"/>
              <w:left w:val="single" w:sz="2" w:space="0" w:color="auto"/>
              <w:bottom w:val="single" w:sz="2" w:space="0" w:color="auto"/>
              <w:right w:val="single" w:sz="2" w:space="0" w:color="auto"/>
            </w:tcBorders>
            <w:hideMark/>
          </w:tcPr>
          <w:p w14:paraId="534F7B01"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2B2EB7E5" w14:textId="77777777" w:rsidR="00553697" w:rsidRPr="004E3561" w:rsidRDefault="00553697" w:rsidP="00981FFE">
            <w:pPr>
              <w:suppressAutoHyphens w:val="0"/>
              <w:autoSpaceDE w:val="0"/>
              <w:autoSpaceDN w:val="0"/>
              <w:adjustRightInd w:val="0"/>
              <w:spacing w:before="40" w:after="40" w:line="220" w:lineRule="exact"/>
              <w:ind w:right="57"/>
              <w:rPr>
                <w:sz w:val="18"/>
                <w:szCs w:val="18"/>
              </w:rPr>
            </w:pPr>
            <w:r w:rsidRPr="004E3561">
              <w:rPr>
                <w:sz w:val="18"/>
                <w:szCs w:val="18"/>
              </w:rPr>
              <w:t xml:space="preserve"> </w:t>
            </w: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A51A090"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8897C04"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D679F22"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B50DAF5"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7ECA95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D2A561D"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2C365DA5"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5A75800C" w14:textId="77777777"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44663F95" w14:textId="77777777" w:rsidR="00553697" w:rsidRPr="004E3561" w:rsidRDefault="00553697" w:rsidP="00981FFE">
            <w:pPr>
              <w:suppressAutoHyphens w:val="0"/>
              <w:spacing w:before="40" w:after="40" w:line="220" w:lineRule="exact"/>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21A21AC9"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br/>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62EA5AD2"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3AB2745"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80E5B01"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9C62682"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1C00758"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EE684B4"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C7D96AD"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90A47E9"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651414EA" w14:textId="77777777"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8BE345C" w14:textId="77777777" w:rsidR="00553697" w:rsidRPr="004E3561" w:rsidRDefault="00553697" w:rsidP="00981FFE">
            <w:pPr>
              <w:suppressAutoHyphens w:val="0"/>
              <w:spacing w:before="40" w:after="40" w:line="220" w:lineRule="exact"/>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63EB8BC1"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t xml:space="preserve"> </w:t>
            </w:r>
            <w:r>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5E5D5F40"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F1C08E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18F0413"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69C2B89"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03F106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4E65B70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F2C7A4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85C396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00E26BD1" w14:textId="77777777" w:rsidTr="00B429ED">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4E733AAF" w14:textId="77777777" w:rsidR="00553697" w:rsidRPr="004E3561" w:rsidRDefault="00553697" w:rsidP="00981FFE">
            <w:pPr>
              <w:suppressAutoHyphens w:val="0"/>
              <w:autoSpaceDE w:val="0"/>
              <w:autoSpaceDN w:val="0"/>
              <w:adjustRightInd w:val="0"/>
              <w:spacing w:before="40" w:after="40" w:line="220" w:lineRule="exact"/>
              <w:ind w:right="113"/>
              <w:jc w:val="center"/>
              <w:rPr>
                <w:b/>
                <w:bCs/>
                <w:sz w:val="18"/>
                <w:szCs w:val="18"/>
                <w:u w:val="single"/>
              </w:rPr>
            </w:pPr>
            <w:r w:rsidRPr="004E3561">
              <w:rPr>
                <w:sz w:val="18"/>
                <w:szCs w:val="18"/>
              </w:rPr>
              <w:t>III</w:t>
            </w:r>
          </w:p>
        </w:tc>
        <w:tc>
          <w:tcPr>
            <w:tcW w:w="2012" w:type="dxa"/>
            <w:tcBorders>
              <w:top w:val="single" w:sz="2" w:space="0" w:color="auto"/>
              <w:left w:val="single" w:sz="2" w:space="0" w:color="auto"/>
              <w:bottom w:val="single" w:sz="2" w:space="0" w:color="auto"/>
              <w:right w:val="single" w:sz="2" w:space="0" w:color="auto"/>
            </w:tcBorders>
            <w:hideMark/>
          </w:tcPr>
          <w:p w14:paraId="359F3812"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3836E4FA"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2CFB2DE1"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B1BC929"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400FB1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4AE83D8"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604B60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DC926F5"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8E83FBF"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5EBB2C26" w14:textId="77777777"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094ED3EC" w14:textId="77777777" w:rsidR="00553697" w:rsidRPr="004E3561" w:rsidRDefault="00553697" w:rsidP="00981FFE">
            <w:pPr>
              <w:suppressAutoHyphens w:val="0"/>
              <w:spacing w:before="40" w:after="40" w:line="220" w:lineRule="exact"/>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3024B18B" w14:textId="77777777"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0ABBF84E"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68317926"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D01A0D3"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5283A41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F3B7767"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47606ADB" w14:textId="77777777"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8F0357D"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1240E5C3" w14:textId="77777777" w:rsidR="00553697" w:rsidRPr="004E3561" w:rsidRDefault="00553697" w:rsidP="00981FFE">
            <w:pPr>
              <w:spacing w:before="40" w:after="40" w:line="220" w:lineRule="exact"/>
              <w:ind w:left="57" w:right="57"/>
              <w:rPr>
                <w:sz w:val="18"/>
                <w:szCs w:val="18"/>
              </w:rPr>
            </w:pPr>
            <w:proofErr w:type="gramStart"/>
            <w:r w:rsidRPr="004E3561">
              <w:rPr>
                <w:sz w:val="18"/>
                <w:szCs w:val="18"/>
              </w:rPr>
              <w:t>A(</w:t>
            </w:r>
            <w:proofErr w:type="gramEnd"/>
            <w:r w:rsidRPr="004E3561">
              <w:rPr>
                <w:sz w:val="18"/>
                <w:szCs w:val="18"/>
              </w:rPr>
              <w:t>3)</w:t>
            </w:r>
          </w:p>
        </w:tc>
      </w:tr>
      <w:tr w:rsidR="00553697" w:rsidRPr="00E073B0" w14:paraId="677B8F85" w14:textId="77777777"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4D99A47E" w14:textId="77777777" w:rsidR="00553697" w:rsidRPr="004E3561" w:rsidRDefault="00553697" w:rsidP="00981FFE">
            <w:pPr>
              <w:suppressAutoHyphens w:val="0"/>
              <w:spacing w:before="40" w:after="40" w:line="220" w:lineRule="exact"/>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1A4844D3" w14:textId="77777777" w:rsidR="00553697" w:rsidRPr="00F60735" w:rsidRDefault="00553697" w:rsidP="00981FFE">
            <w:pPr>
              <w:suppressAutoHyphens w:val="0"/>
              <w:autoSpaceDE w:val="0"/>
              <w:autoSpaceDN w:val="0"/>
              <w:adjustRightInd w:val="0"/>
              <w:spacing w:before="40" w:after="40" w:line="220" w:lineRule="exact"/>
              <w:ind w:left="113" w:right="113"/>
              <w:rPr>
                <w:sz w:val="18"/>
                <w:szCs w:val="18"/>
              </w:rPr>
            </w:pPr>
            <w:r w:rsidRPr="00F60735">
              <w:rPr>
                <w:sz w:val="18"/>
                <w:szCs w:val="18"/>
              </w:rPr>
              <w:t xml:space="preserve">Forward facing </w:t>
            </w:r>
            <w:r w:rsidRPr="00F60735">
              <w:rPr>
                <w:sz w:val="18"/>
                <w:szCs w:val="18"/>
              </w:rPr>
              <w:br/>
              <w:t>(non-integral)</w:t>
            </w:r>
          </w:p>
        </w:tc>
        <w:tc>
          <w:tcPr>
            <w:tcW w:w="524" w:type="dxa"/>
            <w:tcBorders>
              <w:top w:val="single" w:sz="2" w:space="0" w:color="auto"/>
              <w:left w:val="single" w:sz="2" w:space="0" w:color="auto"/>
              <w:bottom w:val="single" w:sz="2" w:space="0" w:color="auto"/>
              <w:right w:val="single" w:sz="2" w:space="0" w:color="auto"/>
            </w:tcBorders>
            <w:hideMark/>
          </w:tcPr>
          <w:p w14:paraId="61851E54"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F60735">
              <w:rPr>
                <w:sz w:val="18"/>
                <w:szCs w:val="18"/>
              </w:rPr>
              <w:t>A(</w:t>
            </w:r>
            <w:proofErr w:type="gramEnd"/>
            <w:r w:rsidRPr="00F60735">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4AE967E3"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7435477"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F60735">
              <w:rPr>
                <w:sz w:val="18"/>
                <w:szCs w:val="18"/>
              </w:rPr>
              <w:t>A(</w:t>
            </w:r>
            <w:proofErr w:type="gramEnd"/>
            <w:r w:rsidRPr="00F60735">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6D0C53BC"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CF552E7"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F60735">
              <w:rPr>
                <w:sz w:val="18"/>
                <w:szCs w:val="18"/>
              </w:rPr>
              <w:t>A(</w:t>
            </w:r>
            <w:proofErr w:type="gramEnd"/>
            <w:r w:rsidRPr="00F60735">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3A7A2848"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B682D1E"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F60735">
              <w:rPr>
                <w:sz w:val="18"/>
                <w:szCs w:val="18"/>
              </w:rPr>
              <w:t>A(</w:t>
            </w:r>
            <w:proofErr w:type="gramEnd"/>
            <w:r w:rsidRPr="00F60735">
              <w:rPr>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6697C55E" w14:textId="77777777" w:rsidR="00553697" w:rsidRPr="00F60735" w:rsidRDefault="00553697" w:rsidP="00981FFE">
            <w:pPr>
              <w:suppressAutoHyphens w:val="0"/>
              <w:autoSpaceDE w:val="0"/>
              <w:autoSpaceDN w:val="0"/>
              <w:adjustRightInd w:val="0"/>
              <w:spacing w:before="40" w:after="40" w:line="220" w:lineRule="exact"/>
              <w:ind w:left="57" w:right="57"/>
              <w:rPr>
                <w:sz w:val="18"/>
                <w:szCs w:val="18"/>
              </w:rPr>
            </w:pPr>
            <w:proofErr w:type="gramStart"/>
            <w:r w:rsidRPr="00F60735">
              <w:rPr>
                <w:sz w:val="18"/>
                <w:szCs w:val="18"/>
              </w:rPr>
              <w:t>A(</w:t>
            </w:r>
            <w:proofErr w:type="gramEnd"/>
            <w:r w:rsidRPr="00F60735">
              <w:rPr>
                <w:sz w:val="18"/>
                <w:szCs w:val="18"/>
              </w:rPr>
              <w:t>3)</w:t>
            </w:r>
          </w:p>
        </w:tc>
      </w:tr>
      <w:tr w:rsidR="00553697" w:rsidRPr="00E073B0" w14:paraId="12EDEC0E" w14:textId="77777777" w:rsidTr="00B429ED">
        <w:trPr>
          <w:trHeight w:val="465"/>
        </w:trPr>
        <w:tc>
          <w:tcPr>
            <w:tcW w:w="8496" w:type="dxa"/>
            <w:gridSpan w:val="10"/>
            <w:tcBorders>
              <w:top w:val="single" w:sz="2" w:space="0" w:color="auto"/>
              <w:left w:val="single" w:sz="2" w:space="0" w:color="auto"/>
              <w:bottom w:val="single" w:sz="2" w:space="0" w:color="auto"/>
              <w:right w:val="single" w:sz="2" w:space="0" w:color="auto"/>
            </w:tcBorders>
          </w:tcPr>
          <w:p w14:paraId="0A3DE27F" w14:textId="77777777" w:rsidR="00553697" w:rsidRPr="004E3561" w:rsidRDefault="00553697" w:rsidP="00B429ED">
            <w:pPr>
              <w:widowControl w:val="0"/>
              <w:suppressAutoHyphens w:val="0"/>
              <w:autoSpaceDE w:val="0"/>
              <w:autoSpaceDN w:val="0"/>
              <w:adjustRightInd w:val="0"/>
              <w:spacing w:before="40" w:line="240" w:lineRule="auto"/>
              <w:ind w:left="113" w:right="113"/>
              <w:rPr>
                <w:i/>
                <w:sz w:val="18"/>
                <w:szCs w:val="18"/>
              </w:rPr>
            </w:pPr>
            <w:r w:rsidRPr="004E3561">
              <w:rPr>
                <w:i/>
                <w:sz w:val="18"/>
                <w:szCs w:val="18"/>
              </w:rPr>
              <w:t xml:space="preserve">With: </w:t>
            </w:r>
          </w:p>
          <w:p w14:paraId="0326DB50" w14:textId="77777777" w:rsidR="00553697" w:rsidRPr="00E073B0" w:rsidRDefault="00553697" w:rsidP="00B429ED">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CRS: </w:t>
            </w:r>
            <w:r w:rsidRPr="00E073B0">
              <w:rPr>
                <w:sz w:val="18"/>
                <w:szCs w:val="18"/>
              </w:rPr>
              <w:tab/>
              <w:t>Child restraint system</w:t>
            </w:r>
          </w:p>
          <w:p w14:paraId="04B82FE2" w14:textId="77777777" w:rsidR="00553697" w:rsidRPr="00E073B0" w:rsidRDefault="00553697" w:rsidP="00B429ED">
            <w:pPr>
              <w:widowControl w:val="0"/>
              <w:suppressAutoHyphens w:val="0"/>
              <w:autoSpaceDE w:val="0"/>
              <w:autoSpaceDN w:val="0"/>
              <w:adjustRightInd w:val="0"/>
              <w:spacing w:line="240" w:lineRule="auto"/>
              <w:ind w:left="113" w:right="283"/>
              <w:rPr>
                <w:sz w:val="18"/>
                <w:szCs w:val="18"/>
              </w:rPr>
            </w:pPr>
            <w:r w:rsidRPr="00E073B0">
              <w:rPr>
                <w:sz w:val="18"/>
                <w:szCs w:val="18"/>
              </w:rPr>
              <w:t xml:space="preserve">A: </w:t>
            </w:r>
            <w:r w:rsidRPr="00E073B0">
              <w:rPr>
                <w:sz w:val="18"/>
                <w:szCs w:val="18"/>
              </w:rPr>
              <w:tab/>
              <w:t>Applicable</w:t>
            </w:r>
          </w:p>
          <w:p w14:paraId="29119DD6" w14:textId="77777777" w:rsidR="00553697" w:rsidRPr="00E073B0" w:rsidRDefault="00553697" w:rsidP="00B429ED">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NA: </w:t>
            </w:r>
            <w:r w:rsidRPr="00E073B0">
              <w:rPr>
                <w:sz w:val="18"/>
                <w:szCs w:val="18"/>
              </w:rPr>
              <w:tab/>
              <w:t>Not Applicable</w:t>
            </w:r>
          </w:p>
          <w:p w14:paraId="23E0F613" w14:textId="77777777" w:rsidR="00553697" w:rsidRPr="00E073B0" w:rsidRDefault="00553697" w:rsidP="00B429ED">
            <w:pPr>
              <w:widowControl w:val="0"/>
              <w:suppressAutoHyphens w:val="0"/>
              <w:autoSpaceDE w:val="0"/>
              <w:autoSpaceDN w:val="0"/>
              <w:adjustRightInd w:val="0"/>
              <w:spacing w:line="240" w:lineRule="auto"/>
              <w:ind w:left="113" w:right="113"/>
              <w:rPr>
                <w:sz w:val="18"/>
                <w:szCs w:val="18"/>
              </w:rPr>
            </w:pPr>
            <w:r w:rsidRPr="00E073B0">
              <w:rPr>
                <w:sz w:val="18"/>
                <w:szCs w:val="18"/>
              </w:rPr>
              <w:t>______________________</w:t>
            </w:r>
          </w:p>
          <w:p w14:paraId="084CEB3E" w14:textId="77777777" w:rsidR="00553697" w:rsidRPr="00E073B0" w:rsidRDefault="00553697" w:rsidP="00B429ED">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(1)</w:t>
            </w:r>
            <w:r w:rsidRPr="00E073B0">
              <w:rPr>
                <w:sz w:val="18"/>
                <w:szCs w:val="18"/>
              </w:rPr>
              <w:tab/>
              <w:t>ISOFIX universal CRS means forward facing restraints for use in vehicles with positions equipped with ISOFIX anchorages system and a top tether anchorage.</w:t>
            </w:r>
          </w:p>
          <w:p w14:paraId="09E96B6D" w14:textId="77777777" w:rsidR="00553697" w:rsidRPr="00E073B0" w:rsidRDefault="00553697" w:rsidP="00B429ED">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(2)</w:t>
            </w:r>
            <w:r w:rsidRPr="00E073B0">
              <w:rPr>
                <w:sz w:val="18"/>
                <w:szCs w:val="18"/>
              </w:rPr>
              <w:tab/>
              <w:t>ISOFIX semi universal CRS means:</w:t>
            </w:r>
          </w:p>
          <w:p w14:paraId="5ACAF1C6" w14:textId="77777777" w:rsidR="00553697" w:rsidRPr="00E073B0" w:rsidRDefault="00553697" w:rsidP="00AD38AA">
            <w:pPr>
              <w:widowControl w:val="0"/>
              <w:suppressAutoHyphens w:val="0"/>
              <w:autoSpaceDE w:val="0"/>
              <w:autoSpaceDN w:val="0"/>
              <w:adjustRightInd w:val="0"/>
              <w:spacing w:line="240" w:lineRule="auto"/>
              <w:ind w:left="844" w:right="113" w:hanging="284"/>
              <w:rPr>
                <w:sz w:val="18"/>
                <w:szCs w:val="18"/>
              </w:rPr>
            </w:pPr>
            <w:r w:rsidRPr="00E073B0">
              <w:rPr>
                <w:rFonts w:ascii="Symbol" w:hAnsi="Symbol"/>
                <w:sz w:val="18"/>
                <w:szCs w:val="18"/>
              </w:rPr>
              <w:t></w:t>
            </w:r>
            <w:r w:rsidRPr="00E073B0">
              <w:rPr>
                <w:rFonts w:ascii="Symbol" w:hAnsi="Symbol"/>
                <w:sz w:val="18"/>
                <w:szCs w:val="18"/>
              </w:rPr>
              <w:tab/>
            </w:r>
            <w:r w:rsidRPr="00E073B0">
              <w:rPr>
                <w:sz w:val="18"/>
                <w:szCs w:val="18"/>
              </w:rPr>
              <w:t xml:space="preserve">Forward facing restraints equipped with support leg or </w:t>
            </w:r>
          </w:p>
          <w:p w14:paraId="36AA31D4" w14:textId="774607A4" w:rsidR="00553697" w:rsidRPr="00E073B0" w:rsidRDefault="00553697" w:rsidP="00AD38AA">
            <w:pPr>
              <w:widowControl w:val="0"/>
              <w:tabs>
                <w:tab w:val="left" w:pos="284"/>
              </w:tabs>
              <w:suppressAutoHyphens w:val="0"/>
              <w:autoSpaceDE w:val="0"/>
              <w:autoSpaceDN w:val="0"/>
              <w:adjustRightInd w:val="0"/>
              <w:spacing w:line="240" w:lineRule="auto"/>
              <w:ind w:left="844" w:right="113" w:hanging="284"/>
              <w:rPr>
                <w:spacing w:val="-2"/>
                <w:sz w:val="18"/>
                <w:szCs w:val="18"/>
              </w:rPr>
            </w:pPr>
            <w:r w:rsidRPr="00E073B0">
              <w:rPr>
                <w:rFonts w:ascii="Symbol" w:hAnsi="Symbol"/>
                <w:spacing w:val="-2"/>
                <w:sz w:val="18"/>
                <w:szCs w:val="18"/>
              </w:rPr>
              <w:t></w:t>
            </w:r>
            <w:r w:rsidRPr="00E073B0">
              <w:rPr>
                <w:rFonts w:ascii="Symbol" w:hAnsi="Symbol"/>
                <w:spacing w:val="-2"/>
                <w:sz w:val="18"/>
                <w:szCs w:val="18"/>
              </w:rPr>
              <w:tab/>
            </w:r>
            <w:r w:rsidRPr="00E073B0">
              <w:rPr>
                <w:spacing w:val="-2"/>
                <w:sz w:val="18"/>
                <w:szCs w:val="18"/>
              </w:rPr>
              <w:t>Rearward facing restraints equipped with a support leg or a top tether strap for use in vehicles with positions equipped with ISOFIX anchorages system and a top tether anchorage if needed</w:t>
            </w:r>
          </w:p>
          <w:p w14:paraId="3A465B99" w14:textId="54A01FD4" w:rsidR="00553697" w:rsidRPr="004E3561" w:rsidRDefault="00553697" w:rsidP="00AD38AA">
            <w:pPr>
              <w:widowControl w:val="0"/>
              <w:tabs>
                <w:tab w:val="left" w:pos="284"/>
              </w:tabs>
              <w:suppressAutoHyphens w:val="0"/>
              <w:autoSpaceDE w:val="0"/>
              <w:autoSpaceDN w:val="0"/>
              <w:adjustRightInd w:val="0"/>
              <w:spacing w:line="240" w:lineRule="auto"/>
              <w:ind w:left="844" w:right="113" w:hanging="284"/>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 xml:space="preserve">Or rearward facing restraints, supported by the vehicle dashboard, for use in the front passenger seat equipped with ISOFIX anchorages system, </w:t>
            </w:r>
          </w:p>
          <w:p w14:paraId="3834BE4C" w14:textId="1DF1EE98" w:rsidR="00553697" w:rsidRPr="004E3561" w:rsidRDefault="00553697" w:rsidP="00AD38AA">
            <w:pPr>
              <w:widowControl w:val="0"/>
              <w:tabs>
                <w:tab w:val="left" w:pos="284"/>
              </w:tabs>
              <w:suppressAutoHyphens w:val="0"/>
              <w:autoSpaceDE w:val="0"/>
              <w:autoSpaceDN w:val="0"/>
              <w:adjustRightInd w:val="0"/>
              <w:spacing w:line="240" w:lineRule="auto"/>
              <w:ind w:left="844" w:hanging="284"/>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 xml:space="preserve">Or </w:t>
            </w:r>
            <w:r w:rsidRPr="004E3561">
              <w:rPr>
                <w:sz w:val="18"/>
                <w:szCs w:val="18"/>
              </w:rPr>
              <w:t>lateral facing position restraint equipped if needed with an anti-rotation device for use in vehicles with positions equipped with ISOFIX anchorages system and top tether anchorage if needed.</w:t>
            </w:r>
          </w:p>
          <w:p w14:paraId="5A75288C" w14:textId="77777777" w:rsidR="00553697" w:rsidRPr="00BB7BB2" w:rsidRDefault="00553697" w:rsidP="00AD38AA">
            <w:pPr>
              <w:widowControl w:val="0"/>
              <w:tabs>
                <w:tab w:val="left" w:pos="284"/>
              </w:tabs>
              <w:suppressAutoHyphens w:val="0"/>
              <w:autoSpaceDE w:val="0"/>
              <w:autoSpaceDN w:val="0"/>
              <w:adjustRightInd w:val="0"/>
              <w:spacing w:line="240" w:lineRule="auto"/>
              <w:ind w:left="567" w:hanging="7"/>
              <w:rPr>
                <w:sz w:val="18"/>
                <w:szCs w:val="18"/>
              </w:rPr>
            </w:pPr>
            <w:r w:rsidRPr="00BB7BB2">
              <w:rPr>
                <w:sz w:val="18"/>
                <w:szCs w:val="18"/>
                <w:vertAlign w:val="superscript"/>
              </w:rPr>
              <w:t>…</w:t>
            </w:r>
          </w:p>
          <w:p w14:paraId="5BC0EA6B" w14:textId="68050C2F" w:rsidR="00553697" w:rsidRPr="00E073B0" w:rsidRDefault="00553697" w:rsidP="006578F6">
            <w:pPr>
              <w:widowControl w:val="0"/>
              <w:suppressAutoHyphens w:val="0"/>
              <w:autoSpaceDE w:val="0"/>
              <w:autoSpaceDN w:val="0"/>
              <w:adjustRightInd w:val="0"/>
              <w:spacing w:after="120" w:line="240" w:lineRule="auto"/>
              <w:ind w:left="142"/>
              <w:rPr>
                <w:b/>
                <w:sz w:val="18"/>
                <w:szCs w:val="18"/>
              </w:rPr>
            </w:pPr>
            <w:r w:rsidRPr="00AD38AA">
              <w:rPr>
                <w:bCs/>
                <w:sz w:val="18"/>
                <w:szCs w:val="18"/>
                <w:vertAlign w:val="superscript"/>
              </w:rPr>
              <w:t>(3)</w:t>
            </w:r>
            <w:r w:rsidRPr="00E073B0">
              <w:rPr>
                <w:b/>
                <w:sz w:val="18"/>
                <w:szCs w:val="18"/>
              </w:rPr>
              <w:tab/>
            </w:r>
            <w:r w:rsidRPr="00E073B0">
              <w:rPr>
                <w:sz w:val="18"/>
                <w:szCs w:val="18"/>
              </w:rPr>
              <w:t>New approvals and extensions will be granted in accordance with paragraphs 17.</w:t>
            </w:r>
            <w:r w:rsidRPr="008E2D8C">
              <w:rPr>
                <w:sz w:val="18"/>
                <w:szCs w:val="18"/>
              </w:rPr>
              <w:t>16 to 17.23.</w:t>
            </w:r>
          </w:p>
        </w:tc>
      </w:tr>
    </w:tbl>
    <w:p w14:paraId="5CB99706" w14:textId="760CE6F4" w:rsidR="00394C9F" w:rsidRPr="006578F6" w:rsidRDefault="006578F6" w:rsidP="006578F6">
      <w:pPr>
        <w:pStyle w:val="para"/>
        <w:jc w:val="right"/>
        <w:rPr>
          <w:lang w:val="en-GB"/>
        </w:rPr>
      </w:pPr>
      <w:r w:rsidRPr="00E073B0">
        <w:rPr>
          <w:lang w:val="en-GB"/>
        </w:rPr>
        <w:t>"</w:t>
      </w:r>
    </w:p>
    <w:p w14:paraId="56E3B372" w14:textId="77777777" w:rsidR="0002596C" w:rsidRPr="009C6569" w:rsidRDefault="0002596C" w:rsidP="0002596C">
      <w:pPr>
        <w:autoSpaceDE w:val="0"/>
        <w:autoSpaceDN w:val="0"/>
        <w:adjustRightInd w:val="0"/>
        <w:spacing w:before="240"/>
        <w:ind w:left="2268" w:right="1134" w:hanging="1134"/>
        <w:jc w:val="both"/>
      </w:pPr>
      <w:r w:rsidRPr="009C6569">
        <w:rPr>
          <w:i/>
        </w:rPr>
        <w:lastRenderedPageBreak/>
        <w:t>Amend paragraph 17.15.</w:t>
      </w:r>
      <w:r w:rsidRPr="009C6569">
        <w:t>, to read:</w:t>
      </w:r>
    </w:p>
    <w:p w14:paraId="7867F653" w14:textId="70A4E23C" w:rsidR="0002596C" w:rsidRPr="00394C9F" w:rsidRDefault="0002596C" w:rsidP="0002596C">
      <w:pPr>
        <w:spacing w:before="120" w:after="120" w:line="240" w:lineRule="auto"/>
        <w:ind w:left="2262" w:right="1134" w:hanging="1128"/>
        <w:jc w:val="both"/>
        <w:rPr>
          <w:bCs/>
        </w:rPr>
      </w:pPr>
      <w:r w:rsidRPr="009C6569">
        <w:t xml:space="preserve">"17.15. </w:t>
      </w:r>
      <w:r w:rsidRPr="009C6569">
        <w:tab/>
      </w:r>
      <w:r w:rsidRPr="00394C9F">
        <w:rPr>
          <w:bCs/>
        </w:rPr>
        <w:t xml:space="preserve">As from the official date of entry into force of Supplement 18 to the 04 series of Amendments </w:t>
      </w:r>
      <w:bookmarkStart w:id="0" w:name="_GoBack"/>
      <w:bookmarkEnd w:id="0"/>
      <w:r w:rsidRPr="00394C9F">
        <w:rPr>
          <w:bCs/>
        </w:rPr>
        <w:t>of this Regulation, Contracting Parties applying this Regulation may prohibit the placing on the market of non-compliant devices and child restraint systems which do not meet the requirements of the 04 series of Amendments of this Regulation."</w:t>
      </w:r>
    </w:p>
    <w:p w14:paraId="4761CD28" w14:textId="77777777" w:rsidR="00553697" w:rsidRPr="00AD38AA" w:rsidRDefault="00553697" w:rsidP="00553697">
      <w:pPr>
        <w:pStyle w:val="para"/>
        <w:rPr>
          <w:lang w:val="en-GB"/>
        </w:rPr>
      </w:pPr>
      <w:r w:rsidRPr="00AD38AA">
        <w:rPr>
          <w:i/>
          <w:lang w:val="en-GB"/>
        </w:rPr>
        <w:t>Insert new paragraphs 17.22. to 17.25.</w:t>
      </w:r>
      <w:r w:rsidRPr="00AD38AA">
        <w:rPr>
          <w:lang w:val="en-GB"/>
        </w:rPr>
        <w:t>, to read:</w:t>
      </w:r>
    </w:p>
    <w:p w14:paraId="0E084CE1" w14:textId="7C5BD45E" w:rsidR="00553697" w:rsidRPr="001F577A" w:rsidRDefault="00553697" w:rsidP="00553697">
      <w:pPr>
        <w:pStyle w:val="SingleTxtG"/>
        <w:ind w:left="2268" w:hanging="1134"/>
      </w:pPr>
      <w:r w:rsidRPr="001F577A">
        <w:t xml:space="preserve">"17.22. </w:t>
      </w:r>
      <w:r w:rsidRPr="001F577A">
        <w:tab/>
        <w:t>As from 1 September 2021, Contracting Parties applying this Regulation shall not be obliged to accept type approvals issued according to this Regulation, first issued after 1 September 2021.</w:t>
      </w:r>
    </w:p>
    <w:p w14:paraId="6F7A02F1" w14:textId="130F8037" w:rsidR="00553697" w:rsidRPr="001F577A" w:rsidRDefault="00553697" w:rsidP="00553697">
      <w:pPr>
        <w:pStyle w:val="SingleTxtG"/>
        <w:ind w:left="2268" w:hanging="1134"/>
      </w:pPr>
      <w:r w:rsidRPr="001F577A">
        <w:t xml:space="preserve">17.23. </w:t>
      </w:r>
      <w:r w:rsidRPr="001F577A">
        <w:tab/>
        <w:t>Until 1 September 2023, Contracting Parties applying this Regulation shall accept type approvals issued according to the 04 series of amendments to this Regulation, first issued before 1 September 2021.</w:t>
      </w:r>
    </w:p>
    <w:p w14:paraId="36CFC206" w14:textId="752B92AF" w:rsidR="00553697" w:rsidRPr="001F577A" w:rsidRDefault="00553697" w:rsidP="00553697">
      <w:pPr>
        <w:pStyle w:val="SingleTxtG"/>
        <w:ind w:left="2268" w:hanging="1134"/>
      </w:pPr>
      <w:r w:rsidRPr="001F577A">
        <w:t xml:space="preserve">17.24. </w:t>
      </w:r>
      <w:r w:rsidRPr="001F577A">
        <w:tab/>
        <w:t>As from 1 September 2023, Contracting Parties applying this Regulation shall not be obliged to accept type approvals issued in accordance with this Regulation.</w:t>
      </w:r>
    </w:p>
    <w:p w14:paraId="5B533E5D" w14:textId="6047F8D6" w:rsidR="00553697" w:rsidRPr="001F577A" w:rsidRDefault="00553697" w:rsidP="00553697">
      <w:pPr>
        <w:pStyle w:val="SingleTxtG"/>
        <w:ind w:left="2268" w:hanging="1134"/>
      </w:pPr>
      <w:r w:rsidRPr="001F577A">
        <w:t xml:space="preserve">17.25. </w:t>
      </w:r>
      <w:r w:rsidRPr="001F577A">
        <w:tab/>
        <w:t>Notwithstanding paragraph 17.24., Contracting Parties applying this Regulation shall continue to accept type approvals of vehicle specific "built in" or specific vehicle "built in" child restraint systems issued according to the 04 series of amendments to this Regulation."</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772D17" w:rsidRDefault="00772D17"/>
  </w:endnote>
  <w:endnote w:type="continuationSeparator" w:id="0">
    <w:p w14:paraId="2F73AB93" w14:textId="77777777" w:rsidR="00772D17" w:rsidRDefault="00772D17"/>
  </w:endnote>
  <w:endnote w:type="continuationNotice" w:id="1">
    <w:p w14:paraId="5BA367F6"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5DD1E88A"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2BAF278D" w14:textId="77777777" w:rsidR="00772D17" w:rsidRDefault="00772D17"/>
  </w:footnote>
  <w:footnote w:id="2">
    <w:p w14:paraId="20CBE467" w14:textId="77777777" w:rsidR="00DB276D" w:rsidRPr="00DC2C16" w:rsidRDefault="00DB276D" w:rsidP="00DB276D">
      <w:pPr>
        <w:pStyle w:val="FootnoteText"/>
      </w:pPr>
      <w:r>
        <w:rPr>
          <w:sz w:val="20"/>
        </w:rPr>
        <w:tab/>
      </w:r>
      <w:r w:rsidRPr="00981FFE">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77777777" w:rsidR="00772D17" w:rsidRPr="00772D17" w:rsidRDefault="008815D7">
    <w:pPr>
      <w:pStyle w:val="Header"/>
    </w:pPr>
    <w:fldSimple w:instr=" TITLE  \* MERGEFORMAT ">
      <w:r w:rsidR="00772D17">
        <w:t>ECE/TRANS/WP.29/2020/</w:t>
      </w:r>
    </w:fldSimple>
    <w:r w:rsidR="00261508">
      <w:t>5</w:t>
    </w:r>
    <w:r w:rsidR="0055369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77777777" w:rsidR="00772D17" w:rsidRPr="00772D17" w:rsidRDefault="008815D7" w:rsidP="00772D17">
    <w:pPr>
      <w:pStyle w:val="Header"/>
      <w:jc w:val="right"/>
    </w:pPr>
    <w:fldSimple w:instr=" TITLE  \* MERGEFORMAT ">
      <w:r w:rsidR="00772D17">
        <w:t>ECE/TRANS/WP.29/2020/</w:t>
      </w:r>
    </w:fldSimple>
    <w:r w:rsidR="00553697">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067B"/>
    <w:rsid w:val="00156B99"/>
    <w:rsid w:val="00166124"/>
    <w:rsid w:val="00184DDA"/>
    <w:rsid w:val="001900CD"/>
    <w:rsid w:val="001A0452"/>
    <w:rsid w:val="001A1F65"/>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84748"/>
    <w:rsid w:val="002974E9"/>
    <w:rsid w:val="002A306B"/>
    <w:rsid w:val="002A7F94"/>
    <w:rsid w:val="002B109A"/>
    <w:rsid w:val="002C6D45"/>
    <w:rsid w:val="002D6E53"/>
    <w:rsid w:val="002F046D"/>
    <w:rsid w:val="002F3023"/>
    <w:rsid w:val="00301764"/>
    <w:rsid w:val="00310C86"/>
    <w:rsid w:val="003229D8"/>
    <w:rsid w:val="00336C97"/>
    <w:rsid w:val="00337F88"/>
    <w:rsid w:val="00342432"/>
    <w:rsid w:val="0035223F"/>
    <w:rsid w:val="00352D4B"/>
    <w:rsid w:val="0035638C"/>
    <w:rsid w:val="00372F21"/>
    <w:rsid w:val="00394C9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C1E79"/>
    <w:rsid w:val="004C55B0"/>
    <w:rsid w:val="004F6BA0"/>
    <w:rsid w:val="00503BEA"/>
    <w:rsid w:val="00533616"/>
    <w:rsid w:val="00535ABA"/>
    <w:rsid w:val="0053768B"/>
    <w:rsid w:val="005420F2"/>
    <w:rsid w:val="0054285C"/>
    <w:rsid w:val="00544F27"/>
    <w:rsid w:val="00553697"/>
    <w:rsid w:val="00557F7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578F6"/>
    <w:rsid w:val="00671AEC"/>
    <w:rsid w:val="006770B2"/>
    <w:rsid w:val="00686A48"/>
    <w:rsid w:val="0068763C"/>
    <w:rsid w:val="006940E1"/>
    <w:rsid w:val="006A3C72"/>
    <w:rsid w:val="006A7392"/>
    <w:rsid w:val="006A7763"/>
    <w:rsid w:val="006B03A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40FE6"/>
    <w:rsid w:val="00866893"/>
    <w:rsid w:val="00866F02"/>
    <w:rsid w:val="00867D18"/>
    <w:rsid w:val="00871F9A"/>
    <w:rsid w:val="00871FD5"/>
    <w:rsid w:val="008815D7"/>
    <w:rsid w:val="0088172E"/>
    <w:rsid w:val="00881EFA"/>
    <w:rsid w:val="008879CB"/>
    <w:rsid w:val="008979B1"/>
    <w:rsid w:val="008A6B25"/>
    <w:rsid w:val="008A6C4F"/>
    <w:rsid w:val="008B389E"/>
    <w:rsid w:val="008D045E"/>
    <w:rsid w:val="008D3F25"/>
    <w:rsid w:val="008D4D82"/>
    <w:rsid w:val="008E0E46"/>
    <w:rsid w:val="008E2D8C"/>
    <w:rsid w:val="008E7116"/>
    <w:rsid w:val="008F143B"/>
    <w:rsid w:val="008F3882"/>
    <w:rsid w:val="008F4B7C"/>
    <w:rsid w:val="00926E47"/>
    <w:rsid w:val="00947162"/>
    <w:rsid w:val="009610D0"/>
    <w:rsid w:val="0096375C"/>
    <w:rsid w:val="009662E6"/>
    <w:rsid w:val="0097095E"/>
    <w:rsid w:val="00981FF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D38A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75"/>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6AAA"/>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1B2B"/>
    <w:rsid w:val="00FC03CD"/>
    <w:rsid w:val="00FC0646"/>
    <w:rsid w:val="00FC68B7"/>
    <w:rsid w:val="00FE460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9DE7-6E76-44B2-AA4A-A45A631B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4</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2020-04-02T12:45:00Z</dcterms:created>
  <dcterms:modified xsi:type="dcterms:W3CDTF">2020-04-02T12:46:00Z</dcterms:modified>
</cp:coreProperties>
</file>