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8F0D7D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A08825" w14:textId="77777777" w:rsidR="002D5AAC" w:rsidRDefault="002D5AAC" w:rsidP="00D17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93E0D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255313" w14:textId="77777777" w:rsidR="002D5AAC" w:rsidRDefault="00D171A8" w:rsidP="00D171A8">
            <w:pPr>
              <w:jc w:val="right"/>
            </w:pPr>
            <w:r w:rsidRPr="00D171A8">
              <w:rPr>
                <w:sz w:val="40"/>
              </w:rPr>
              <w:t>ECE</w:t>
            </w:r>
            <w:r>
              <w:t>/TRANS/WP.11/2020/16</w:t>
            </w:r>
          </w:p>
        </w:tc>
      </w:tr>
      <w:tr w:rsidR="002D5AAC" w:rsidRPr="00C504BA" w14:paraId="515BC8E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9642E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3D0D46" wp14:editId="5332FDC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9271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24173E" w14:textId="77777777" w:rsidR="002D5AAC" w:rsidRDefault="00D171A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9C7C97" w14:textId="77777777" w:rsidR="00D171A8" w:rsidRDefault="00D171A8" w:rsidP="00D171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2020</w:t>
            </w:r>
          </w:p>
          <w:p w14:paraId="1F64893F" w14:textId="77777777" w:rsidR="00D171A8" w:rsidRDefault="00D171A8" w:rsidP="00D171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EF1E7F0" w14:textId="77777777" w:rsidR="00D171A8" w:rsidRPr="008D53B6" w:rsidRDefault="00D171A8" w:rsidP="00D171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37940C" w14:textId="77777777" w:rsidR="00D171A8" w:rsidRDefault="008A37C8" w:rsidP="00255343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74375E6F" w14:textId="77777777" w:rsidR="00D171A8" w:rsidRPr="00DD770F" w:rsidRDefault="00D171A8" w:rsidP="00D171A8">
      <w:pPr>
        <w:spacing w:before="120"/>
        <w:rPr>
          <w:sz w:val="28"/>
          <w:szCs w:val="28"/>
        </w:rPr>
      </w:pPr>
      <w:r w:rsidRPr="00E63983">
        <w:rPr>
          <w:sz w:val="28"/>
          <w:szCs w:val="28"/>
        </w:rPr>
        <w:t>Комитет по внутреннему транспорту</w:t>
      </w:r>
    </w:p>
    <w:p w14:paraId="0B2EAC82" w14:textId="77777777" w:rsidR="00D171A8" w:rsidRPr="00DD770F" w:rsidRDefault="00D171A8" w:rsidP="00D171A8">
      <w:pPr>
        <w:spacing w:before="120"/>
        <w:rPr>
          <w:b/>
          <w:sz w:val="24"/>
          <w:szCs w:val="24"/>
        </w:rPr>
      </w:pPr>
      <w:r w:rsidRPr="00E63983">
        <w:rPr>
          <w:b/>
          <w:bCs/>
          <w:sz w:val="24"/>
          <w:szCs w:val="24"/>
        </w:rPr>
        <w:t>Рабочая группа по перевозкам скоропортящихся</w:t>
      </w:r>
      <w:r w:rsidR="003E12D4">
        <w:rPr>
          <w:b/>
          <w:bCs/>
          <w:sz w:val="24"/>
          <w:szCs w:val="24"/>
        </w:rPr>
        <w:br/>
      </w:r>
      <w:r w:rsidRPr="00E63983">
        <w:rPr>
          <w:b/>
          <w:bCs/>
          <w:sz w:val="24"/>
          <w:szCs w:val="24"/>
        </w:rPr>
        <w:t>пищевых продуктов</w:t>
      </w:r>
    </w:p>
    <w:p w14:paraId="189CA529" w14:textId="77777777" w:rsidR="00D171A8" w:rsidRPr="0071534F" w:rsidRDefault="00D171A8" w:rsidP="00C504BA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14:paraId="4C78D6A2" w14:textId="77777777" w:rsidR="00D171A8" w:rsidRPr="0071534F" w:rsidRDefault="00D171A8" w:rsidP="00C504BA">
      <w:r>
        <w:t>Женева, 13−16 октября 2020 года</w:t>
      </w:r>
    </w:p>
    <w:p w14:paraId="52CEDC4B" w14:textId="77777777" w:rsidR="00D171A8" w:rsidRPr="0071534F" w:rsidRDefault="00D171A8" w:rsidP="00C504BA">
      <w:r>
        <w:t>Пункт 3 а) предварительной повестки дня</w:t>
      </w:r>
    </w:p>
    <w:p w14:paraId="66EBD658" w14:textId="1973BEBF" w:rsidR="00D171A8" w:rsidRPr="0071534F" w:rsidRDefault="00D171A8" w:rsidP="00C504BA">
      <w:pPr>
        <w:rPr>
          <w:b/>
        </w:rPr>
      </w:pPr>
      <w:r>
        <w:rPr>
          <w:b/>
          <w:bCs/>
        </w:rPr>
        <w:t>Деятельность органов ЕЭК, представляющая</w:t>
      </w:r>
      <w:r w:rsidR="003E12D4">
        <w:rPr>
          <w:b/>
          <w:bCs/>
        </w:rPr>
        <w:br/>
      </w:r>
      <w:r>
        <w:rPr>
          <w:b/>
          <w:bCs/>
        </w:rPr>
        <w:t>интерес для Рабочей группы:</w:t>
      </w:r>
      <w:r w:rsidR="00C504BA">
        <w:rPr>
          <w:b/>
          <w:bCs/>
        </w:rPr>
        <w:br/>
      </w:r>
      <w:r>
        <w:rPr>
          <w:b/>
          <w:bCs/>
        </w:rPr>
        <w:t>Комитет по внутреннему транспорту</w:t>
      </w:r>
    </w:p>
    <w:p w14:paraId="008AD693" w14:textId="77777777" w:rsidR="00D171A8" w:rsidRPr="0071534F" w:rsidRDefault="00D171A8" w:rsidP="00D171A8">
      <w:pPr>
        <w:pStyle w:val="HChG"/>
      </w:pPr>
      <w:r>
        <w:tab/>
      </w:r>
      <w:r>
        <w:tab/>
      </w:r>
      <w:r>
        <w:rPr>
          <w:bCs/>
        </w:rPr>
        <w:t>Цели устойчивого развития и стратегия КВТ</w:t>
      </w:r>
    </w:p>
    <w:p w14:paraId="69566864" w14:textId="77777777" w:rsidR="00D171A8" w:rsidRPr="0071534F" w:rsidRDefault="00D171A8" w:rsidP="00D171A8">
      <w:pPr>
        <w:pStyle w:val="H1G"/>
      </w:pPr>
      <w:r>
        <w:tab/>
      </w:r>
      <w:r>
        <w:tab/>
      </w:r>
      <w:r>
        <w:rPr>
          <w:bCs/>
        </w:rPr>
        <w:t>Передано заместителем Председателя WP.11</w:t>
      </w:r>
    </w:p>
    <w:p w14:paraId="32EFBDDD" w14:textId="77777777" w:rsidR="00D171A8" w:rsidRPr="0071534F" w:rsidRDefault="00D171A8" w:rsidP="00D171A8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32539E0E" w14:textId="77777777" w:rsidR="00D171A8" w:rsidRPr="0071534F" w:rsidRDefault="00D171A8" w:rsidP="00D171A8">
      <w:pPr>
        <w:pStyle w:val="SingleTxtG"/>
      </w:pPr>
      <w:r>
        <w:t>1.</w:t>
      </w:r>
      <w:r>
        <w:tab/>
        <w:t>Организация Объединенных Наций сформулировала Цели устойчивого развития (ЦУР), а КВТ</w:t>
      </w:r>
      <w:r w:rsidRPr="0071534F">
        <w:t xml:space="preserve"> </w:t>
      </w:r>
      <w:r>
        <w:t>ЕЭК ООН</w:t>
      </w:r>
      <w:r w:rsidRPr="0071534F">
        <w:t xml:space="preserve"> </w:t>
      </w:r>
      <w:r>
        <w:t>включил эти цели в свою стратегию для улучшения качества жизни. КВТ выделил</w:t>
      </w:r>
      <w:r w:rsidRPr="00F7572C">
        <w:t xml:space="preserve"> </w:t>
      </w:r>
      <w:r>
        <w:t>для СПС четыре из этих целей. WP.11 необходимо представить ответ по этой теме к февральской сессии КВТ 2021 года. Настоящий документ предназначен для подготовки к обсуждению на сессии WP.11 в октябре 2020</w:t>
      </w:r>
      <w:r w:rsidR="003E12D4">
        <w:rPr>
          <w:lang w:val="en-US"/>
        </w:rPr>
        <w:t> </w:t>
      </w:r>
      <w:r>
        <w:t>года, с тем чтобы проинформировать КВТ о ходе достижения этих ЦУР.</w:t>
      </w:r>
    </w:p>
    <w:p w14:paraId="4CE33F99" w14:textId="77777777" w:rsidR="00D171A8" w:rsidRPr="0071534F" w:rsidRDefault="00D171A8" w:rsidP="00D171A8">
      <w:pPr>
        <w:pStyle w:val="HChG"/>
      </w:pPr>
      <w:r>
        <w:tab/>
      </w:r>
      <w:r>
        <w:tab/>
      </w:r>
      <w:r>
        <w:rPr>
          <w:bCs/>
        </w:rPr>
        <w:t>Стратегия КВТ и ЦУР</w:t>
      </w:r>
    </w:p>
    <w:p w14:paraId="450BB97B" w14:textId="77777777" w:rsidR="00D171A8" w:rsidRPr="0071534F" w:rsidRDefault="00D171A8" w:rsidP="00D171A8">
      <w:pPr>
        <w:pStyle w:val="SingleTxtG"/>
      </w:pPr>
      <w:r>
        <w:t>2.</w:t>
      </w:r>
      <w:r>
        <w:tab/>
        <w:t>КВТ выделил для СПС следующие ЦУР</w:t>
      </w:r>
      <w:r w:rsidRPr="00E63983">
        <w:t>:</w:t>
      </w:r>
    </w:p>
    <w:p w14:paraId="6DD788E9" w14:textId="5980B79C" w:rsidR="00D171A8" w:rsidRPr="0071534F" w:rsidRDefault="00D171A8" w:rsidP="00D171A8">
      <w:pPr>
        <w:pStyle w:val="H23G"/>
      </w:pPr>
      <w:r>
        <w:tab/>
      </w:r>
      <w:r>
        <w:tab/>
      </w:r>
      <w:r>
        <w:rPr>
          <w:bCs/>
        </w:rPr>
        <w:t>ЦУР №</w:t>
      </w:r>
      <w:r w:rsidR="001D0AD4">
        <w:rPr>
          <w:bCs/>
        </w:rPr>
        <w:t xml:space="preserve"> </w:t>
      </w:r>
      <w:r>
        <w:rPr>
          <w:bCs/>
        </w:rPr>
        <w:t xml:space="preserve">2 </w:t>
      </w:r>
      <w:r w:rsidR="003E12D4" w:rsidRPr="003E12D4">
        <w:rPr>
          <w:bCs/>
        </w:rPr>
        <w:t>—</w:t>
      </w:r>
      <w:r>
        <w:t xml:space="preserve"> </w:t>
      </w:r>
      <w:r>
        <w:rPr>
          <w:bCs/>
        </w:rPr>
        <w:t>ликвидация голода</w:t>
      </w:r>
    </w:p>
    <w:p w14:paraId="00AC3BB3" w14:textId="77777777" w:rsidR="00D171A8" w:rsidRPr="00D405FE" w:rsidRDefault="00D171A8" w:rsidP="00D171A8">
      <w:pPr>
        <w:pStyle w:val="SingleTxtG"/>
      </w:pPr>
      <w:r>
        <w:t>3.</w:t>
      </w:r>
      <w:r>
        <w:tab/>
        <w:t xml:space="preserve">КВТ видит роль СПС в контексте данной ЦУР следующим образом: </w:t>
      </w:r>
      <w:r w:rsidR="003E12D4">
        <w:t>«</w:t>
      </w:r>
      <w:r w:rsidRPr="00E63983">
        <w:rPr>
          <w:i/>
          <w:iCs/>
        </w:rPr>
        <w:t>СПС</w:t>
      </w:r>
      <w:r w:rsidR="001D249F">
        <w:rPr>
          <w:i/>
          <w:iCs/>
          <w:lang w:val="en-US"/>
        </w:rPr>
        <w:t> </w:t>
      </w:r>
      <w:r w:rsidRPr="00E63983">
        <w:rPr>
          <w:i/>
          <w:iCs/>
        </w:rPr>
        <w:t xml:space="preserve">обеспечивает </w:t>
      </w:r>
      <w:r>
        <w:rPr>
          <w:i/>
          <w:iCs/>
        </w:rPr>
        <w:t xml:space="preserve">условия </w:t>
      </w:r>
      <w:r w:rsidRPr="00E63983">
        <w:rPr>
          <w:i/>
          <w:iCs/>
        </w:rPr>
        <w:t>сохранени</w:t>
      </w:r>
      <w:r>
        <w:rPr>
          <w:i/>
          <w:iCs/>
        </w:rPr>
        <w:t>я</w:t>
      </w:r>
      <w:r w:rsidRPr="00E63983">
        <w:rPr>
          <w:i/>
          <w:iCs/>
        </w:rPr>
        <w:t xml:space="preserve"> и безопасн</w:t>
      </w:r>
      <w:r>
        <w:rPr>
          <w:i/>
          <w:iCs/>
        </w:rPr>
        <w:t>ой</w:t>
      </w:r>
      <w:r w:rsidRPr="00E63983">
        <w:rPr>
          <w:i/>
          <w:iCs/>
        </w:rPr>
        <w:t xml:space="preserve"> перевозк</w:t>
      </w:r>
      <w:r>
        <w:rPr>
          <w:i/>
          <w:iCs/>
        </w:rPr>
        <w:t>и</w:t>
      </w:r>
      <w:r w:rsidRPr="00E63983">
        <w:rPr>
          <w:i/>
          <w:iCs/>
        </w:rPr>
        <w:t xml:space="preserve"> сельскохозяйственной продукции и </w:t>
      </w:r>
      <w:r>
        <w:rPr>
          <w:i/>
          <w:iCs/>
        </w:rPr>
        <w:t xml:space="preserve">сохранения </w:t>
      </w:r>
      <w:r w:rsidRPr="00E63983">
        <w:rPr>
          <w:i/>
          <w:iCs/>
        </w:rPr>
        <w:t>качеств</w:t>
      </w:r>
      <w:r>
        <w:rPr>
          <w:i/>
          <w:iCs/>
        </w:rPr>
        <w:t>а</w:t>
      </w:r>
      <w:r w:rsidRPr="00E63983">
        <w:rPr>
          <w:i/>
          <w:iCs/>
        </w:rPr>
        <w:t xml:space="preserve"> имеющихся продуктов питания</w:t>
      </w:r>
      <w:r w:rsidR="003E12D4">
        <w:t>»</w:t>
      </w:r>
      <w:r>
        <w:t xml:space="preserve">. </w:t>
      </w:r>
    </w:p>
    <w:p w14:paraId="6A7AE89D" w14:textId="77777777" w:rsidR="00D171A8" w:rsidRPr="0071534F" w:rsidRDefault="00D171A8" w:rsidP="00D171A8">
      <w:pPr>
        <w:pStyle w:val="SingleTxtG"/>
      </w:pPr>
      <w:r>
        <w:t>4.</w:t>
      </w:r>
      <w:r>
        <w:tab/>
        <w:t>Этот принцип действительно верен и, насколько это возможно, соблюдается. Можно утверждать, что</w:t>
      </w:r>
      <w:r w:rsidRPr="00534DA0">
        <w:t xml:space="preserve"> </w:t>
      </w:r>
      <w:r>
        <w:t xml:space="preserve">в СПС включены не все </w:t>
      </w:r>
      <w:r w:rsidR="003E12D4">
        <w:t>«</w:t>
      </w:r>
      <w:r>
        <w:t>скоропортящиеся</w:t>
      </w:r>
      <w:r w:rsidR="003E12D4">
        <w:t>»</w:t>
      </w:r>
      <w:r>
        <w:t xml:space="preserve"> пищевые продукты, однако на это можно возразить, что данные правила касаются в первую очередь тех пищевых продуктов, которые являются смертельными для человека, когда они потребляются в испорченном состоянии, и что таким образом регулятивное давление на транспорт ограничивается теми случаями, в которых это абсолютно необходимо. В случае не имеющих смертельных последствий продуктов питания, таких как свежие фрукты и овощи, испорченную продукцию легко определить. </w:t>
      </w:r>
      <w:r>
        <w:lastRenderedPageBreak/>
        <w:t xml:space="preserve">Поскольку в данном случае возникают прямые финансовые последствия для грузополучателей и перевозчиков, но отсутствуют последствия для здоровья населения, этот вопрос может регулироваться самим рынком. </w:t>
      </w:r>
    </w:p>
    <w:p w14:paraId="083ABDC9" w14:textId="77777777" w:rsidR="00D171A8" w:rsidRPr="0071534F" w:rsidRDefault="00D171A8" w:rsidP="00D171A8">
      <w:pPr>
        <w:pStyle w:val="SingleTxtG"/>
      </w:pPr>
      <w:r>
        <w:t>5.</w:t>
      </w:r>
      <w:r>
        <w:tab/>
        <w:t>В дополнение к этому мы могли бы предложить разработать руководящие указания для других пищевых продуктов, принимая во внимание, что вариации типа пищевых продуктов, а также их назначение после перевозки (хранение или непосредственное потребление) крайне усложняют разработку точных указаний относительно условий перевозки.</w:t>
      </w:r>
    </w:p>
    <w:p w14:paraId="508F726E" w14:textId="3A10B24A" w:rsidR="00D171A8" w:rsidRPr="0071534F" w:rsidRDefault="00D171A8" w:rsidP="00D171A8">
      <w:pPr>
        <w:pStyle w:val="H23G"/>
      </w:pPr>
      <w:r>
        <w:tab/>
      </w:r>
      <w:r>
        <w:tab/>
      </w:r>
      <w:r>
        <w:rPr>
          <w:bCs/>
        </w:rPr>
        <w:t>ЦУР №</w:t>
      </w:r>
      <w:r w:rsidR="001D0AD4">
        <w:rPr>
          <w:bCs/>
        </w:rPr>
        <w:t xml:space="preserve"> </w:t>
      </w:r>
      <w:r>
        <w:rPr>
          <w:bCs/>
        </w:rPr>
        <w:t xml:space="preserve">8 </w:t>
      </w:r>
      <w:r w:rsidR="003E12D4" w:rsidRPr="003E12D4">
        <w:rPr>
          <w:bCs/>
        </w:rPr>
        <w:t>—</w:t>
      </w:r>
      <w:r>
        <w:rPr>
          <w:bCs/>
        </w:rPr>
        <w:t xml:space="preserve"> достойная работа и экономический рост</w:t>
      </w:r>
    </w:p>
    <w:p w14:paraId="2A25B875" w14:textId="77777777" w:rsidR="00D171A8" w:rsidRPr="0071534F" w:rsidRDefault="00D171A8" w:rsidP="00D171A8">
      <w:pPr>
        <w:pStyle w:val="SingleTxtG"/>
      </w:pPr>
      <w:r>
        <w:t>6.</w:t>
      </w:r>
      <w:r>
        <w:tab/>
        <w:t xml:space="preserve">КВТ видит роль СПС в контексте данной ЦУР следующим образом: </w:t>
      </w:r>
      <w:r w:rsidR="003E12D4">
        <w:t>«</w:t>
      </w:r>
      <w:r w:rsidRPr="00E63983">
        <w:rPr>
          <w:i/>
          <w:iCs/>
        </w:rPr>
        <w:t>СПС</w:t>
      </w:r>
      <w:r w:rsidR="001D249F">
        <w:rPr>
          <w:i/>
          <w:iCs/>
          <w:lang w:val="en-US"/>
        </w:rPr>
        <w:t> </w:t>
      </w:r>
      <w:r w:rsidRPr="00E63983">
        <w:rPr>
          <w:i/>
          <w:iCs/>
        </w:rPr>
        <w:t xml:space="preserve">позволяет повысить эффективность использования ресурсов в </w:t>
      </w:r>
      <w:r>
        <w:rPr>
          <w:i/>
          <w:iCs/>
        </w:rPr>
        <w:t>контексте</w:t>
      </w:r>
      <w:r w:rsidRPr="00E63983">
        <w:rPr>
          <w:i/>
          <w:iCs/>
        </w:rPr>
        <w:t xml:space="preserve"> глобального потребления</w:t>
      </w:r>
      <w:r w:rsidR="003E12D4">
        <w:t>»</w:t>
      </w:r>
      <w:r>
        <w:t xml:space="preserve">. </w:t>
      </w:r>
    </w:p>
    <w:p w14:paraId="042239D3" w14:textId="77777777" w:rsidR="00D171A8" w:rsidRPr="0071534F" w:rsidRDefault="00D171A8" w:rsidP="00D171A8">
      <w:pPr>
        <w:pStyle w:val="SingleTxtG"/>
      </w:pPr>
      <w:r>
        <w:t>7.</w:t>
      </w:r>
      <w:r>
        <w:tab/>
        <w:t xml:space="preserve">Заявление об </w:t>
      </w:r>
      <w:r w:rsidR="003E12D4">
        <w:t>«</w:t>
      </w:r>
      <w:r>
        <w:t>эффективности в контексте глобального потребления</w:t>
      </w:r>
      <w:r w:rsidR="003E12D4">
        <w:t>»</w:t>
      </w:r>
      <w:r>
        <w:t xml:space="preserve"> можно рассматривать как преувеличение, однако влияние СПС на страны с более низким уровнем развития регулирования, транспортного оборудования и термического оборудования, утвержденного на основе требований СПС, обеспечивает минимально необходимый уровень производительности и способствует эффективности использования ресурсов в глобальном масштабе. В частности, пищевые продукты животного происхождения, которые являются особенно опасными в случае потребления в испорченном виде и, следовательно, подпадают под действие СПС, оказывают большое влияние на экологический след, и порча таких продуктов имеет более серьезные последствия, чем порча пищевых продуктов растительного происхождения. Достижение этой ЦУР обеспечивается в том случае, если СПС постоянно обновляется и сохраняет свою актуальность.</w:t>
      </w:r>
      <w:bookmarkStart w:id="1" w:name="_Hlk41303978"/>
      <w:bookmarkEnd w:id="1"/>
    </w:p>
    <w:p w14:paraId="3010F48C" w14:textId="2D9499D3" w:rsidR="00D171A8" w:rsidRPr="0071534F" w:rsidRDefault="00D171A8" w:rsidP="00D171A8">
      <w:pPr>
        <w:pStyle w:val="H23G"/>
      </w:pPr>
      <w:r>
        <w:tab/>
      </w:r>
      <w:r>
        <w:tab/>
      </w:r>
      <w:r>
        <w:rPr>
          <w:bCs/>
        </w:rPr>
        <w:t>ЦУР №</w:t>
      </w:r>
      <w:r w:rsidR="001D0AD4">
        <w:rPr>
          <w:bCs/>
        </w:rPr>
        <w:t xml:space="preserve"> </w:t>
      </w:r>
      <w:r>
        <w:rPr>
          <w:bCs/>
        </w:rPr>
        <w:t xml:space="preserve">12 </w:t>
      </w:r>
      <w:r w:rsidR="003E12D4" w:rsidRPr="003E12D4">
        <w:rPr>
          <w:bCs/>
        </w:rPr>
        <w:t>—</w:t>
      </w:r>
      <w:r>
        <w:rPr>
          <w:bCs/>
        </w:rPr>
        <w:t xml:space="preserve"> ответственное потребление и производство</w:t>
      </w:r>
    </w:p>
    <w:p w14:paraId="15826EBC" w14:textId="77777777" w:rsidR="00D171A8" w:rsidRPr="0071534F" w:rsidRDefault="00D171A8" w:rsidP="00D171A8">
      <w:pPr>
        <w:pStyle w:val="SingleTxtG"/>
      </w:pPr>
      <w:r>
        <w:t>8.</w:t>
      </w:r>
      <w:r>
        <w:tab/>
        <w:t xml:space="preserve">КВТ видит роль СПС в контексте данной ЦУР следующим образом: </w:t>
      </w:r>
      <w:r w:rsidR="003E12D4">
        <w:t>«</w:t>
      </w:r>
      <w:r w:rsidRPr="00E63983">
        <w:rPr>
          <w:i/>
          <w:iCs/>
        </w:rPr>
        <w:t>СПС</w:t>
      </w:r>
      <w:r w:rsidR="001D249F">
        <w:rPr>
          <w:i/>
          <w:iCs/>
          <w:lang w:val="en-US"/>
        </w:rPr>
        <w:t> </w:t>
      </w:r>
      <w:r w:rsidRPr="00E63983">
        <w:rPr>
          <w:i/>
          <w:iCs/>
        </w:rPr>
        <w:t xml:space="preserve">помогает поддерживать холодильную цепь и снижать </w:t>
      </w:r>
      <w:r>
        <w:rPr>
          <w:i/>
          <w:iCs/>
        </w:rPr>
        <w:t xml:space="preserve">уровень </w:t>
      </w:r>
      <w:r w:rsidRPr="00E63983">
        <w:rPr>
          <w:i/>
          <w:iCs/>
        </w:rPr>
        <w:t>отход</w:t>
      </w:r>
      <w:r>
        <w:rPr>
          <w:i/>
          <w:iCs/>
        </w:rPr>
        <w:t>ов</w:t>
      </w:r>
      <w:r w:rsidRPr="00E63983">
        <w:rPr>
          <w:i/>
          <w:iCs/>
        </w:rPr>
        <w:t xml:space="preserve"> и потери продуктов питания при перевозке</w:t>
      </w:r>
      <w:r w:rsidR="003E12D4">
        <w:t>»</w:t>
      </w:r>
      <w:r>
        <w:t>.</w:t>
      </w:r>
      <w:r w:rsidR="003E12D4">
        <w:t xml:space="preserve"> </w:t>
      </w:r>
      <w:r>
        <w:t>Хотя мы не оказываем влияния на потребление, мы влияем на производство, когда перевозка к месту потребления учитывается как часть процесса производства продуктов питания. Несмотря на то, что охвачены не все пищевые продукты, наличие кондиционированных транспортных средств, соответствующих требованиям СПС, приведет к использованию этого оборудования для других пищевых продуктов и преимущественному выбору такого оборудования грузоотправителями и перевозчиками для доставки пищевых продуктов в идеальном состоянии. Достижение этой ЦУР обеспечивается в том случае, если СПС постоянно обновляется и сохраняет свою актуальность.</w:t>
      </w:r>
    </w:p>
    <w:p w14:paraId="47DEEDE6" w14:textId="77777777" w:rsidR="00D171A8" w:rsidRPr="0071534F" w:rsidRDefault="00D171A8" w:rsidP="00D171A8">
      <w:pPr>
        <w:pStyle w:val="H23G"/>
      </w:pPr>
      <w:r>
        <w:tab/>
      </w:r>
      <w:r>
        <w:tab/>
      </w:r>
      <w:r>
        <w:rPr>
          <w:bCs/>
        </w:rPr>
        <w:t xml:space="preserve">ЦУР № 14 </w:t>
      </w:r>
      <w:r w:rsidR="001D249F" w:rsidRPr="001D249F">
        <w:rPr>
          <w:bCs/>
        </w:rPr>
        <w:t>—</w:t>
      </w:r>
      <w:r>
        <w:rPr>
          <w:bCs/>
        </w:rPr>
        <w:t xml:space="preserve"> сохранение морских экосистем</w:t>
      </w:r>
    </w:p>
    <w:p w14:paraId="4E5974F5" w14:textId="77777777" w:rsidR="00D171A8" w:rsidRPr="0071534F" w:rsidRDefault="00D171A8" w:rsidP="00D171A8">
      <w:pPr>
        <w:pStyle w:val="SingleTxtG"/>
        <w:rPr>
          <w:i/>
          <w:iCs/>
        </w:rPr>
      </w:pPr>
      <w:r>
        <w:t>9.</w:t>
      </w:r>
      <w:r>
        <w:tab/>
        <w:t xml:space="preserve">КВТ видит роль СПС в контексте данной ЦУР следующим образом: </w:t>
      </w:r>
      <w:r w:rsidR="001D249F">
        <w:t>«</w:t>
      </w:r>
      <w:r w:rsidRPr="00E63983">
        <w:rPr>
          <w:i/>
          <w:iCs/>
        </w:rPr>
        <w:t>СПС</w:t>
      </w:r>
      <w:r w:rsidR="001D249F">
        <w:rPr>
          <w:i/>
          <w:iCs/>
        </w:rPr>
        <w:t> </w:t>
      </w:r>
      <w:r w:rsidRPr="00E63983">
        <w:rPr>
          <w:i/>
          <w:iCs/>
        </w:rPr>
        <w:t>вносит вклад в обеспечение устойчивых методов рыболовства</w:t>
      </w:r>
      <w:r w:rsidR="001D249F">
        <w:t>»</w:t>
      </w:r>
      <w:r>
        <w:t>.</w:t>
      </w:r>
    </w:p>
    <w:p w14:paraId="58E8C421" w14:textId="77777777" w:rsidR="00D171A8" w:rsidRPr="0071534F" w:rsidRDefault="00D171A8" w:rsidP="00D171A8">
      <w:pPr>
        <w:pStyle w:val="SingleTxtG"/>
      </w:pPr>
      <w:r>
        <w:t>10.</w:t>
      </w:r>
      <w:r>
        <w:tab/>
        <w:t>Рыба по определению не вылавливается в месте основного потребления. Поэтому рыбную продукцию необходимо перевозить. Рыба включена в категорию пищевых продуктов в СПС. Потеря рыбной продукции предотвращается благодаря правильному использованию утвержденного согласно СПС оборудования для перевозки. Достижение этой ЦУР обеспечивается в том случае, если СПС постоянно обновляется и сохраняет свою актуальность.</w:t>
      </w:r>
    </w:p>
    <w:p w14:paraId="74B8F9C1" w14:textId="77777777" w:rsidR="00D171A8" w:rsidRPr="0071534F" w:rsidRDefault="00D171A8" w:rsidP="00D171A8">
      <w:pPr>
        <w:pStyle w:val="SingleTxtG"/>
      </w:pPr>
      <w:r>
        <w:t>11.</w:t>
      </w:r>
      <w:r>
        <w:tab/>
        <w:t xml:space="preserve">В резюме стратегии КВТ (см. приложение к настоящему документу) СПС и WP.11 конкретно не затрагиваются, однако некоторые пункты, такие как пункты 2 и 10, могут быть в определенной степени актуальными. Например, такие аспекты, как ограничение воздействия на окружающую среду при перевозке пищевых продуктов и мультимодальные перевозки (насколько это возможно) в случае внутреннего транспорта. </w:t>
      </w:r>
    </w:p>
    <w:p w14:paraId="77526429" w14:textId="77777777" w:rsidR="00D171A8" w:rsidRPr="0071534F" w:rsidRDefault="00D171A8" w:rsidP="00D171A8">
      <w:pPr>
        <w:pStyle w:val="HChG"/>
      </w:pPr>
      <w:r>
        <w:lastRenderedPageBreak/>
        <w:tab/>
      </w:r>
      <w:r>
        <w:tab/>
      </w:r>
      <w:r>
        <w:rPr>
          <w:bCs/>
        </w:rPr>
        <w:t>Заключение</w:t>
      </w:r>
    </w:p>
    <w:p w14:paraId="2ED96D42" w14:textId="77777777" w:rsidR="00D171A8" w:rsidRPr="0071534F" w:rsidRDefault="00D171A8" w:rsidP="00D171A8">
      <w:pPr>
        <w:pStyle w:val="SingleTxtG"/>
      </w:pPr>
      <w:r>
        <w:t>12.</w:t>
      </w:r>
      <w:r>
        <w:tab/>
        <w:t>Очевидно, что СПС соответствует ЦУР, определенным КВТ. Для того чтобы сохранять это соответствие, необходимо поддерживать актуальность и не отставать от технического прогресса.</w:t>
      </w:r>
    </w:p>
    <w:p w14:paraId="66415A43" w14:textId="77777777" w:rsidR="00D171A8" w:rsidRPr="0071534F" w:rsidRDefault="00D171A8" w:rsidP="00D171A8">
      <w:pPr>
        <w:pStyle w:val="SingleTxtG"/>
      </w:pPr>
      <w:r w:rsidRPr="0071534F">
        <w:br w:type="page"/>
      </w:r>
    </w:p>
    <w:p w14:paraId="74309BA5" w14:textId="77777777" w:rsidR="00D171A8" w:rsidRPr="0071534F" w:rsidRDefault="00D171A8" w:rsidP="00D171A8">
      <w:pPr>
        <w:pStyle w:val="HChG"/>
      </w:pPr>
      <w:r>
        <w:rPr>
          <w:bCs/>
        </w:rPr>
        <w:lastRenderedPageBreak/>
        <w:t>Приложение</w:t>
      </w:r>
    </w:p>
    <w:p w14:paraId="07D00AF2" w14:textId="77777777" w:rsidR="00D171A8" w:rsidRPr="0071534F" w:rsidRDefault="00D171A8" w:rsidP="00D171A8">
      <w:pPr>
        <w:pStyle w:val="HChG"/>
      </w:pPr>
      <w:r>
        <w:tab/>
      </w:r>
      <w:r>
        <w:tab/>
      </w:r>
      <w:r>
        <w:rPr>
          <w:bCs/>
        </w:rPr>
        <w:t>Осуществление стратегии КВТ вспомогательными органами</w:t>
      </w:r>
    </w:p>
    <w:p w14:paraId="53409F15" w14:textId="77777777" w:rsidR="00D171A8" w:rsidRPr="0071534F" w:rsidRDefault="001D249F" w:rsidP="00D171A8">
      <w:pPr>
        <w:pStyle w:val="SingleTxtG"/>
      </w:pPr>
      <w:r>
        <w:tab/>
      </w:r>
      <w:r>
        <w:tab/>
      </w:r>
      <w:r w:rsidR="00D171A8">
        <w:t>Помимо обычной работы, вспомогательным органам КВТ надлежит выполнять в рамках стратегии следующие задачи:</w:t>
      </w:r>
    </w:p>
    <w:p w14:paraId="7123D92B" w14:textId="77777777" w:rsidR="00D171A8" w:rsidRPr="0071534F" w:rsidRDefault="00D171A8" w:rsidP="00D171A8">
      <w:pPr>
        <w:pStyle w:val="SingleTxtG"/>
      </w:pPr>
      <w:r>
        <w:t>1.</w:t>
      </w:r>
      <w:r>
        <w:tab/>
        <w:t>Внесение поправок в правовые документы с географическими и процедурными барьерами к 2025 году (все РГ/ПК и АК)</w:t>
      </w:r>
      <w:bookmarkStart w:id="2" w:name="_Hlk6479392"/>
      <w:bookmarkEnd w:id="2"/>
    </w:p>
    <w:p w14:paraId="074F4015" w14:textId="77777777" w:rsidR="00D171A8" w:rsidRPr="0071534F" w:rsidRDefault="00D171A8" w:rsidP="00D171A8">
      <w:pPr>
        <w:pStyle w:val="SingleTxtG"/>
      </w:pPr>
      <w:r>
        <w:t>2.</w:t>
      </w:r>
      <w:r>
        <w:tab/>
        <w:t>Обзор к 2022 году взаимосвязи существующих правовых документов и рекомендаций (всем РГ/ПК и АК надлежит провести обзор правовых документов в контексте таких тематических блоков, как безопасность, трансграничная эффективность, экологичность и стыкуемость)</w:t>
      </w:r>
    </w:p>
    <w:p w14:paraId="065A2A0B" w14:textId="77777777" w:rsidR="00D171A8" w:rsidRPr="0071534F" w:rsidRDefault="00D171A8" w:rsidP="00D171A8">
      <w:pPr>
        <w:pStyle w:val="SingleTxtG"/>
      </w:pPr>
      <w:r>
        <w:t>3.</w:t>
      </w:r>
      <w:r>
        <w:tab/>
        <w:t>Определение дополнительных необходимых правовых документов (на основе проведенного обзора всем РГ/ПК и АК надлежит выявить пробелы, имеющиеся в правовых документах, в целях обеспечения полного соответствия этих документов потребностям в области безопасности, трансграничной эффективности, экологичности и стыкуемости)</w:t>
      </w:r>
    </w:p>
    <w:p w14:paraId="4C0B9541" w14:textId="77777777" w:rsidR="00D171A8" w:rsidRPr="0071534F" w:rsidRDefault="00D171A8" w:rsidP="00D171A8">
      <w:pPr>
        <w:pStyle w:val="SingleTxtG"/>
      </w:pPr>
      <w:r>
        <w:t>4.</w:t>
      </w:r>
      <w:r>
        <w:tab/>
        <w:t>Доработка двух новых правовых документов, которые находятся на стадии разработки с 2020 года: ЕЖДП и «ОмниБУС» (AC.2 и SC.1 соответственно)</w:t>
      </w:r>
    </w:p>
    <w:p w14:paraId="7369AD5C" w14:textId="77777777" w:rsidR="00D171A8" w:rsidRPr="0071534F" w:rsidRDefault="00D171A8" w:rsidP="00D171A8">
      <w:pPr>
        <w:pStyle w:val="SingleTxtG"/>
      </w:pPr>
      <w:r>
        <w:t>5.</w:t>
      </w:r>
      <w:r>
        <w:tab/>
        <w:t xml:space="preserve">Изучение возможности разработки новых правовых документов в период после 2020 года (все РГ/ПК и АК на основе пункта </w:t>
      </w:r>
      <w:r w:rsidR="001D249F">
        <w:t>«</w:t>
      </w:r>
      <w:r>
        <w:t>c</w:t>
      </w:r>
      <w:r w:rsidR="001D249F">
        <w:t>»</w:t>
      </w:r>
      <w:r>
        <w:t xml:space="preserve"> выше)</w:t>
      </w:r>
    </w:p>
    <w:p w14:paraId="382C9EF4" w14:textId="77777777" w:rsidR="00D171A8" w:rsidRPr="0071534F" w:rsidRDefault="00D171A8" w:rsidP="00D171A8">
      <w:pPr>
        <w:pStyle w:val="SingleTxtG"/>
      </w:pPr>
      <w:r>
        <w:t>6.</w:t>
      </w:r>
      <w:r>
        <w:tab/>
        <w:t xml:space="preserve">Дальнейшее расширение глобального участия в работе WP.1 и WP.29 и сотрудничества между ними </w:t>
      </w:r>
    </w:p>
    <w:p w14:paraId="22DACC49" w14:textId="77777777" w:rsidR="00D171A8" w:rsidRPr="0071534F" w:rsidRDefault="00D171A8" w:rsidP="00D171A8">
      <w:pPr>
        <w:pStyle w:val="SingleTxtG"/>
      </w:pPr>
      <w:r>
        <w:t>7.</w:t>
      </w:r>
      <w:r>
        <w:tab/>
        <w:t>Обновление ДЕТА и обеспечение ее хостинга в ЕЭК начиная с 2022 года (WP.29)</w:t>
      </w:r>
    </w:p>
    <w:p w14:paraId="3EDBD799" w14:textId="77777777" w:rsidR="00D171A8" w:rsidRPr="0071534F" w:rsidRDefault="00D171A8" w:rsidP="00D171A8">
      <w:pPr>
        <w:pStyle w:val="SingleTxtG"/>
      </w:pPr>
      <w:r>
        <w:t>8.</w:t>
      </w:r>
      <w:r>
        <w:tab/>
        <w:t>Содействие в присоединении к e-CMR и обеспечении ее функционирования в регионе ЕЭК и за его пределами начиная с 2019 года (SC.1)</w:t>
      </w:r>
    </w:p>
    <w:p w14:paraId="12EAE293" w14:textId="77777777" w:rsidR="00D171A8" w:rsidRPr="0071534F" w:rsidRDefault="00D171A8" w:rsidP="00D171A8">
      <w:pPr>
        <w:pStyle w:val="SingleTxtG"/>
      </w:pPr>
      <w:r>
        <w:t>9.</w:t>
      </w:r>
      <w:r>
        <w:tab/>
        <w:t>Постепенное развитие системы e-TIR, ведущее к возможному полному внедрению системы e-TIR к 2023 году при условии вступления в силу нового приложения 11 к Конвенции МДП (WP.30 и AC.2)</w:t>
      </w:r>
    </w:p>
    <w:p w14:paraId="5802DAA5" w14:textId="77777777" w:rsidR="00D171A8" w:rsidRPr="0071534F" w:rsidRDefault="00D171A8" w:rsidP="00D171A8">
      <w:pPr>
        <w:pStyle w:val="SingleTxtG"/>
      </w:pPr>
      <w:r>
        <w:t>10.</w:t>
      </w:r>
      <w:r>
        <w:tab/>
        <w:t>Выявление, стимулирование и содействие внедрению новых технологий мобильности в области железнодорожного, автомобильного, дорожного и внутреннего водного транспорта, логистики и интермодальных перевозок в период до 2030 года (все РГ/ПК и АК)</w:t>
      </w:r>
    </w:p>
    <w:p w14:paraId="008AE375" w14:textId="77777777" w:rsidR="00D171A8" w:rsidRPr="0071534F" w:rsidRDefault="00D171A8" w:rsidP="00D171A8">
      <w:pPr>
        <w:pStyle w:val="SingleTxtG"/>
      </w:pPr>
      <w:r>
        <w:t>11.</w:t>
      </w:r>
      <w:r>
        <w:tab/>
        <w:t>Укрепление поддержки системы автоматизированных транспортных средств с 2019 года, включая дальнейшее внесение поправок в существующие правовые документы и стандарты, а также возможная разработка нового(ых) соглашения(й), если это будет необходимо (WP.1 и WP.29)</w:t>
      </w:r>
    </w:p>
    <w:p w14:paraId="6B44A81D" w14:textId="77777777" w:rsidR="00D171A8" w:rsidRPr="0071534F" w:rsidRDefault="00D171A8" w:rsidP="00D171A8">
      <w:pPr>
        <w:pStyle w:val="SingleTxtG"/>
      </w:pPr>
      <w:r>
        <w:t>12.</w:t>
      </w:r>
      <w:r>
        <w:tab/>
        <w:t>Внедрение в практику новых стандартов подготовки и критериев компетентности с 2022 года (все РГ/ПК и АК и соответствующие правовые документы)</w:t>
      </w:r>
    </w:p>
    <w:p w14:paraId="43F24B9C" w14:textId="77777777" w:rsidR="00D171A8" w:rsidRPr="0071534F" w:rsidRDefault="00D171A8" w:rsidP="00D171A8">
      <w:pPr>
        <w:pStyle w:val="SingleTxtG"/>
      </w:pPr>
      <w:r>
        <w:t>13.</w:t>
      </w:r>
      <w:r>
        <w:tab/>
        <w:t>Поддержка комплексных интермодальных систем совместимости и мобильности с 2020 года (WP.24)</w:t>
      </w:r>
    </w:p>
    <w:p w14:paraId="414B746B" w14:textId="77777777" w:rsidR="00D171A8" w:rsidRPr="0071534F" w:rsidRDefault="00D171A8" w:rsidP="00D171A8">
      <w:pPr>
        <w:pStyle w:val="SingleTxtG"/>
      </w:pPr>
      <w:r>
        <w:t>14.</w:t>
      </w:r>
      <w:r>
        <w:tab/>
        <w:t>Поддержка комплексной интермодальной системы эксплуатационной совместимости и мобильности в период с 2020 года, включая ТЕА, ТЕЖ, интермодальные перевозки и логистику (WP.24, SC.1 и АC.2)</w:t>
      </w:r>
    </w:p>
    <w:p w14:paraId="06BDF10F" w14:textId="77777777" w:rsidR="00D171A8" w:rsidRPr="0071534F" w:rsidRDefault="00D171A8" w:rsidP="00A90007">
      <w:pPr>
        <w:pStyle w:val="SingleTxtG"/>
        <w:pageBreakBefore/>
      </w:pPr>
      <w:r>
        <w:lastRenderedPageBreak/>
        <w:t>15.</w:t>
      </w:r>
      <w:r>
        <w:tab/>
      </w:r>
      <w:r w:rsidR="001D249F">
        <w:t>Статистика</w:t>
      </w:r>
      <w:r>
        <w:t xml:space="preserve"> транспорта: продолжение и совершенствование процессов сбора, проверки и распространения информации в целях получения точных статистических данных, позволяющих принимать обоснованные решения по транспорту.</w:t>
      </w:r>
      <w:r w:rsidR="001D249F">
        <w:br/>
      </w:r>
      <w:r>
        <w:t>2019–2030 годы (WP.6)</w:t>
      </w:r>
    </w:p>
    <w:p w14:paraId="3FD58B2A" w14:textId="77777777" w:rsidR="00D171A8" w:rsidRPr="0071534F" w:rsidRDefault="00D171A8" w:rsidP="00D171A8">
      <w:pPr>
        <w:pStyle w:val="SingleTxtG"/>
      </w:pPr>
      <w:r>
        <w:t>16.</w:t>
      </w:r>
      <w:r>
        <w:tab/>
        <w:t xml:space="preserve">Содействие развитию межрегиональных связей и коридоров в области внутреннего транспорта начиная с 2019 года (WP.5) </w:t>
      </w:r>
    </w:p>
    <w:p w14:paraId="7E48A55E" w14:textId="77777777" w:rsidR="00D171A8" w:rsidRPr="0071534F" w:rsidRDefault="00D171A8" w:rsidP="00D171A8">
      <w:pPr>
        <w:pStyle w:val="SingleTxtG"/>
      </w:pPr>
      <w:r>
        <w:t>17.</w:t>
      </w:r>
      <w:r>
        <w:tab/>
        <w:t>Новые инструменты и мероприятия с 2019 года, например ОПТОСОЗ; дальнейшая разработка локального модуля по загрязнителям для инструмента «ForFITS»; обзоры по проблематике экологичного транспорта и мобильности (WP.5, WP.29)</w:t>
      </w:r>
    </w:p>
    <w:p w14:paraId="43FD028E" w14:textId="77777777" w:rsidR="00D171A8" w:rsidRPr="0071534F" w:rsidRDefault="00D171A8" w:rsidP="00D171A8">
      <w:pPr>
        <w:pStyle w:val="SingleTxtG"/>
      </w:pPr>
      <w:r>
        <w:t>18.</w:t>
      </w:r>
      <w:r>
        <w:tab/>
        <w:t>Изучение влияния изменения климата на транспортную инфраструктуру (WP.5)</w:t>
      </w:r>
    </w:p>
    <w:p w14:paraId="5C57E1B8" w14:textId="77777777" w:rsidR="00D171A8" w:rsidRPr="0071534F" w:rsidRDefault="00D171A8" w:rsidP="00D171A8">
      <w:pPr>
        <w:spacing w:before="240"/>
        <w:jc w:val="center"/>
        <w:rPr>
          <w:u w:val="single"/>
        </w:rPr>
      </w:pPr>
      <w:r w:rsidRPr="0071534F">
        <w:rPr>
          <w:u w:val="single"/>
        </w:rPr>
        <w:tab/>
      </w:r>
      <w:r w:rsidRPr="0071534F">
        <w:rPr>
          <w:u w:val="single"/>
        </w:rPr>
        <w:tab/>
      </w:r>
      <w:r w:rsidRPr="0071534F">
        <w:rPr>
          <w:u w:val="single"/>
        </w:rPr>
        <w:tab/>
      </w:r>
    </w:p>
    <w:p w14:paraId="327B2B68" w14:textId="77777777" w:rsidR="00E12C5F" w:rsidRPr="008D53B6" w:rsidRDefault="00E12C5F" w:rsidP="00D9145B"/>
    <w:sectPr w:rsidR="00E12C5F" w:rsidRPr="008D53B6" w:rsidSect="00D171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78D9" w14:textId="77777777" w:rsidR="00A772DD" w:rsidRPr="00A312BC" w:rsidRDefault="00A772DD" w:rsidP="00A312BC"/>
  </w:endnote>
  <w:endnote w:type="continuationSeparator" w:id="0">
    <w:p w14:paraId="6D6C546B" w14:textId="77777777" w:rsidR="00A772DD" w:rsidRPr="00A312BC" w:rsidRDefault="00A772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9527" w14:textId="77777777" w:rsidR="00D171A8" w:rsidRPr="00D171A8" w:rsidRDefault="00D171A8">
    <w:pPr>
      <w:pStyle w:val="a8"/>
    </w:pPr>
    <w:r w:rsidRPr="00D171A8">
      <w:rPr>
        <w:b/>
        <w:sz w:val="18"/>
      </w:rPr>
      <w:fldChar w:fldCharType="begin"/>
    </w:r>
    <w:r w:rsidRPr="00D171A8">
      <w:rPr>
        <w:b/>
        <w:sz w:val="18"/>
      </w:rPr>
      <w:instrText xml:space="preserve"> PAGE  \* MERGEFORMAT </w:instrText>
    </w:r>
    <w:r w:rsidRPr="00D171A8">
      <w:rPr>
        <w:b/>
        <w:sz w:val="18"/>
      </w:rPr>
      <w:fldChar w:fldCharType="separate"/>
    </w:r>
    <w:r w:rsidRPr="00D171A8">
      <w:rPr>
        <w:b/>
        <w:noProof/>
        <w:sz w:val="18"/>
      </w:rPr>
      <w:t>2</w:t>
    </w:r>
    <w:r w:rsidRPr="00D171A8">
      <w:rPr>
        <w:b/>
        <w:sz w:val="18"/>
      </w:rPr>
      <w:fldChar w:fldCharType="end"/>
    </w:r>
    <w:r>
      <w:rPr>
        <w:b/>
        <w:sz w:val="18"/>
      </w:rPr>
      <w:tab/>
    </w:r>
    <w:r>
      <w:t>GE.20-10056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6C5D" w14:textId="77777777" w:rsidR="00D171A8" w:rsidRPr="00D171A8" w:rsidRDefault="00D171A8" w:rsidP="00D171A8">
    <w:pPr>
      <w:pStyle w:val="a8"/>
      <w:tabs>
        <w:tab w:val="clear" w:pos="9639"/>
        <w:tab w:val="right" w:pos="9638"/>
      </w:tabs>
      <w:rPr>
        <w:b/>
        <w:sz w:val="18"/>
      </w:rPr>
    </w:pPr>
    <w:r>
      <w:t>GE.20-10056</w:t>
    </w:r>
    <w:r>
      <w:tab/>
    </w:r>
    <w:r w:rsidRPr="00D171A8">
      <w:rPr>
        <w:b/>
        <w:sz w:val="18"/>
      </w:rPr>
      <w:fldChar w:fldCharType="begin"/>
    </w:r>
    <w:r w:rsidRPr="00D171A8">
      <w:rPr>
        <w:b/>
        <w:sz w:val="18"/>
      </w:rPr>
      <w:instrText xml:space="preserve"> PAGE  \* MERGEFORMAT </w:instrText>
    </w:r>
    <w:r w:rsidRPr="00D171A8">
      <w:rPr>
        <w:b/>
        <w:sz w:val="18"/>
      </w:rPr>
      <w:fldChar w:fldCharType="separate"/>
    </w:r>
    <w:r w:rsidRPr="00D171A8">
      <w:rPr>
        <w:b/>
        <w:noProof/>
        <w:sz w:val="18"/>
      </w:rPr>
      <w:t>3</w:t>
    </w:r>
    <w:r w:rsidRPr="00D171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140F" w14:textId="77777777" w:rsidR="00042B72" w:rsidRPr="00D171A8" w:rsidRDefault="00D171A8" w:rsidP="00D171A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A5F07C3" wp14:editId="7AB96D4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20-10056  (R)</w:t>
    </w:r>
    <w:r w:rsidR="003E12D4">
      <w:rPr>
        <w:lang w:val="en-US"/>
      </w:rPr>
      <w:t xml:space="preserve">  120820  140820</w:t>
    </w:r>
    <w:r>
      <w:br/>
    </w:r>
    <w:r w:rsidRPr="00D171A8">
      <w:rPr>
        <w:rFonts w:ascii="C39T30Lfz" w:hAnsi="C39T30Lfz"/>
        <w:kern w:val="14"/>
        <w:sz w:val="56"/>
      </w:rPr>
      <w:t></w:t>
    </w:r>
    <w:r w:rsidRPr="00D171A8">
      <w:rPr>
        <w:rFonts w:ascii="C39T30Lfz" w:hAnsi="C39T30Lfz"/>
        <w:kern w:val="14"/>
        <w:sz w:val="56"/>
      </w:rPr>
      <w:t></w:t>
    </w:r>
    <w:r w:rsidRPr="00D171A8">
      <w:rPr>
        <w:rFonts w:ascii="C39T30Lfz" w:hAnsi="C39T30Lfz"/>
        <w:kern w:val="14"/>
        <w:sz w:val="56"/>
      </w:rPr>
      <w:t></w:t>
    </w:r>
    <w:r w:rsidRPr="00D171A8">
      <w:rPr>
        <w:rFonts w:ascii="C39T30Lfz" w:hAnsi="C39T30Lfz"/>
        <w:kern w:val="14"/>
        <w:sz w:val="56"/>
      </w:rPr>
      <w:t></w:t>
    </w:r>
    <w:r w:rsidRPr="00D171A8">
      <w:rPr>
        <w:rFonts w:ascii="C39T30Lfz" w:hAnsi="C39T30Lfz"/>
        <w:kern w:val="14"/>
        <w:sz w:val="56"/>
      </w:rPr>
      <w:t></w:t>
    </w:r>
    <w:r w:rsidRPr="00D171A8">
      <w:rPr>
        <w:rFonts w:ascii="C39T30Lfz" w:hAnsi="C39T30Lfz"/>
        <w:kern w:val="14"/>
        <w:sz w:val="56"/>
      </w:rPr>
      <w:t></w:t>
    </w:r>
    <w:r w:rsidRPr="00D171A8">
      <w:rPr>
        <w:rFonts w:ascii="C39T30Lfz" w:hAnsi="C39T30Lfz"/>
        <w:kern w:val="14"/>
        <w:sz w:val="56"/>
      </w:rPr>
      <w:t></w:t>
    </w:r>
    <w:r w:rsidRPr="00D171A8">
      <w:rPr>
        <w:rFonts w:ascii="C39T30Lfz" w:hAnsi="C39T30Lfz"/>
        <w:kern w:val="14"/>
        <w:sz w:val="56"/>
      </w:rPr>
      <w:t></w:t>
    </w:r>
    <w:r w:rsidRPr="00D171A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C2DCE4" wp14:editId="5AA10D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040E" w14:textId="77777777" w:rsidR="00A772DD" w:rsidRPr="001075E9" w:rsidRDefault="00A772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2365AC" w14:textId="77777777" w:rsidR="00A772DD" w:rsidRDefault="00A772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1D96" w14:textId="0F435F58" w:rsidR="00D171A8" w:rsidRPr="00D171A8" w:rsidRDefault="00E267A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ECE/TRANS/WP.11/2020/16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7C3E4" w14:textId="63F28416" w:rsidR="00D171A8" w:rsidRPr="00D171A8" w:rsidRDefault="00E267A6" w:rsidP="00D171A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ECE/TRANS/WP.11/2020/16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D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0AD4"/>
    <w:rsid w:val="001D249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12D4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662F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72DD"/>
    <w:rsid w:val="00A84021"/>
    <w:rsid w:val="00A84D35"/>
    <w:rsid w:val="00A90007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04BA"/>
    <w:rsid w:val="00C60F0C"/>
    <w:rsid w:val="00C71E84"/>
    <w:rsid w:val="00C805C9"/>
    <w:rsid w:val="00C92939"/>
    <w:rsid w:val="00CA1679"/>
    <w:rsid w:val="00CB151C"/>
    <w:rsid w:val="00CE5A1A"/>
    <w:rsid w:val="00CF55F6"/>
    <w:rsid w:val="00D171A8"/>
    <w:rsid w:val="00D33D63"/>
    <w:rsid w:val="00D5253A"/>
    <w:rsid w:val="00D873A8"/>
    <w:rsid w:val="00D90028"/>
    <w:rsid w:val="00D90138"/>
    <w:rsid w:val="00D9145B"/>
    <w:rsid w:val="00DB5CFC"/>
    <w:rsid w:val="00DD78D1"/>
    <w:rsid w:val="00DE32CD"/>
    <w:rsid w:val="00DF5767"/>
    <w:rsid w:val="00DF71B9"/>
    <w:rsid w:val="00E12C5F"/>
    <w:rsid w:val="00E267A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2016E"/>
  <w15:docId w15:val="{FCA4D610-2844-4021-8E05-B7C8340B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171A8"/>
    <w:rPr>
      <w:lang w:val="ru-RU" w:eastAsia="en-US"/>
    </w:rPr>
  </w:style>
  <w:style w:type="paragraph" w:customStyle="1" w:styleId="ParNoG">
    <w:name w:val="_ParNo_G"/>
    <w:basedOn w:val="SingleTxtG"/>
    <w:qFormat/>
    <w:rsid w:val="00D171A8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1151</Words>
  <Characters>7625</Characters>
  <Application>Microsoft Office Word</Application>
  <DocSecurity>0</DocSecurity>
  <Lines>156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ECE/TRANS/WP.11/2020/16</vt:lpstr>
      <vt:lpstr>A/</vt:lpstr>
      <vt:lpstr>A/</vt:lpstr>
    </vt:vector>
  </TitlesOfParts>
  <Company>DCM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ECE/TRANS/WP.11/2020/16</dc:title>
  <dc:subject/>
  <dc:creator>Uliana ANTIPOVA</dc:creator>
  <cp:keywords/>
  <cp:lastModifiedBy>Ioulia Goussarova</cp:lastModifiedBy>
  <cp:revision>3</cp:revision>
  <cp:lastPrinted>2020-08-14T08:06:00Z</cp:lastPrinted>
  <dcterms:created xsi:type="dcterms:W3CDTF">2020-08-14T08:06:00Z</dcterms:created>
  <dcterms:modified xsi:type="dcterms:W3CDTF">2020-08-14T08:06:00Z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