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0D2001D" w14:textId="77777777" w:rsidTr="00387CD4">
        <w:trPr>
          <w:trHeight w:hRule="exact" w:val="851"/>
        </w:trPr>
        <w:tc>
          <w:tcPr>
            <w:tcW w:w="142" w:type="dxa"/>
            <w:tcBorders>
              <w:bottom w:val="single" w:sz="4" w:space="0" w:color="auto"/>
            </w:tcBorders>
          </w:tcPr>
          <w:p w14:paraId="67A16E9A" w14:textId="77777777" w:rsidR="002D5AAC" w:rsidRDefault="002D5AAC" w:rsidP="001962EA">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71D03B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23F099" w14:textId="77777777" w:rsidR="002D5AAC" w:rsidRDefault="001962EA" w:rsidP="001962EA">
            <w:pPr>
              <w:jc w:val="right"/>
            </w:pPr>
            <w:r w:rsidRPr="001962EA">
              <w:rPr>
                <w:sz w:val="40"/>
              </w:rPr>
              <w:t>ECE</w:t>
            </w:r>
            <w:r>
              <w:t>/TRANS/WP.11/2020/15</w:t>
            </w:r>
          </w:p>
        </w:tc>
      </w:tr>
      <w:tr w:rsidR="002D5AAC" w:rsidRPr="001962EA" w14:paraId="49FF38B4" w14:textId="77777777" w:rsidTr="00387CD4">
        <w:trPr>
          <w:trHeight w:hRule="exact" w:val="2835"/>
        </w:trPr>
        <w:tc>
          <w:tcPr>
            <w:tcW w:w="1280" w:type="dxa"/>
            <w:gridSpan w:val="2"/>
            <w:tcBorders>
              <w:top w:val="single" w:sz="4" w:space="0" w:color="auto"/>
              <w:bottom w:val="single" w:sz="12" w:space="0" w:color="auto"/>
            </w:tcBorders>
          </w:tcPr>
          <w:p w14:paraId="235B2CFB" w14:textId="77777777" w:rsidR="002D5AAC" w:rsidRDefault="002E5067" w:rsidP="00387CD4">
            <w:pPr>
              <w:spacing w:before="120"/>
              <w:jc w:val="center"/>
            </w:pPr>
            <w:r>
              <w:rPr>
                <w:noProof/>
                <w:lang w:val="fr-CH" w:eastAsia="fr-CH"/>
              </w:rPr>
              <w:drawing>
                <wp:inline distT="0" distB="0" distL="0" distR="0" wp14:anchorId="5402D3CD" wp14:editId="0B8434A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D967DB"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E72321F" w14:textId="77777777" w:rsidR="002D5AAC" w:rsidRDefault="001962EA" w:rsidP="00387CD4">
            <w:pPr>
              <w:spacing w:before="240"/>
              <w:rPr>
                <w:lang w:val="en-US"/>
              </w:rPr>
            </w:pPr>
            <w:r>
              <w:rPr>
                <w:lang w:val="en-US"/>
              </w:rPr>
              <w:t>Distr.: General</w:t>
            </w:r>
          </w:p>
          <w:p w14:paraId="5DF9A8F3" w14:textId="77777777" w:rsidR="001962EA" w:rsidRDefault="001962EA" w:rsidP="001962EA">
            <w:pPr>
              <w:spacing w:line="240" w:lineRule="exact"/>
              <w:rPr>
                <w:lang w:val="en-US"/>
              </w:rPr>
            </w:pPr>
            <w:r>
              <w:rPr>
                <w:lang w:val="en-US"/>
              </w:rPr>
              <w:t>27 July 2020</w:t>
            </w:r>
          </w:p>
          <w:p w14:paraId="4DD35C60" w14:textId="77777777" w:rsidR="001962EA" w:rsidRDefault="001962EA" w:rsidP="001962EA">
            <w:pPr>
              <w:spacing w:line="240" w:lineRule="exact"/>
              <w:rPr>
                <w:lang w:val="en-US"/>
              </w:rPr>
            </w:pPr>
            <w:r>
              <w:rPr>
                <w:lang w:val="en-US"/>
              </w:rPr>
              <w:t>Russian</w:t>
            </w:r>
          </w:p>
          <w:p w14:paraId="408BB082" w14:textId="77777777" w:rsidR="001962EA" w:rsidRPr="008D53B6" w:rsidRDefault="001962EA" w:rsidP="001962EA">
            <w:pPr>
              <w:spacing w:line="240" w:lineRule="exact"/>
              <w:rPr>
                <w:lang w:val="en-US"/>
              </w:rPr>
            </w:pPr>
            <w:r>
              <w:rPr>
                <w:lang w:val="en-US"/>
              </w:rPr>
              <w:t>Original: English</w:t>
            </w:r>
          </w:p>
        </w:tc>
      </w:tr>
    </w:tbl>
    <w:p w14:paraId="5F2F242F" w14:textId="77777777" w:rsidR="001962EA" w:rsidRDefault="008A37C8" w:rsidP="00255343">
      <w:pPr>
        <w:spacing w:before="120"/>
        <w:rPr>
          <w:b/>
          <w:sz w:val="28"/>
          <w:szCs w:val="28"/>
        </w:rPr>
      </w:pPr>
      <w:r w:rsidRPr="00245892">
        <w:rPr>
          <w:b/>
          <w:sz w:val="28"/>
          <w:szCs w:val="28"/>
        </w:rPr>
        <w:t>Европейская экономическая ко</w:t>
      </w:r>
      <w:bookmarkStart w:id="0" w:name="_GoBack"/>
      <w:bookmarkEnd w:id="0"/>
      <w:r w:rsidRPr="00245892">
        <w:rPr>
          <w:b/>
          <w:sz w:val="28"/>
          <w:szCs w:val="28"/>
        </w:rPr>
        <w:t>миссия</w:t>
      </w:r>
    </w:p>
    <w:p w14:paraId="2E8C1443" w14:textId="77777777" w:rsidR="00DB4051" w:rsidRPr="00176F3A" w:rsidRDefault="00DB4051" w:rsidP="00DB4051">
      <w:pPr>
        <w:spacing w:before="120"/>
        <w:rPr>
          <w:sz w:val="28"/>
          <w:szCs w:val="28"/>
        </w:rPr>
      </w:pPr>
      <w:r w:rsidRPr="00E6773F">
        <w:rPr>
          <w:sz w:val="28"/>
          <w:szCs w:val="28"/>
        </w:rPr>
        <w:t>Комитет по внутреннему транспорту</w:t>
      </w:r>
    </w:p>
    <w:p w14:paraId="4EF22B7A" w14:textId="77777777" w:rsidR="00DB4051" w:rsidRPr="00176F3A" w:rsidRDefault="00DB4051" w:rsidP="00DB4051">
      <w:pPr>
        <w:spacing w:before="120"/>
        <w:rPr>
          <w:b/>
          <w:sz w:val="24"/>
          <w:szCs w:val="24"/>
        </w:rPr>
      </w:pPr>
      <w:r w:rsidRPr="00E6773F">
        <w:rPr>
          <w:b/>
          <w:bCs/>
          <w:sz w:val="24"/>
          <w:szCs w:val="24"/>
        </w:rPr>
        <w:t>Рабочая группа по перевозкам</w:t>
      </w:r>
      <w:r>
        <w:rPr>
          <w:b/>
          <w:bCs/>
          <w:sz w:val="24"/>
          <w:szCs w:val="24"/>
        </w:rPr>
        <w:br/>
      </w:r>
      <w:r w:rsidRPr="00E6773F">
        <w:rPr>
          <w:b/>
          <w:bCs/>
          <w:sz w:val="24"/>
          <w:szCs w:val="24"/>
        </w:rPr>
        <w:t>скоропортящихся пищевых продуктов</w:t>
      </w:r>
    </w:p>
    <w:p w14:paraId="3B7AB8B1" w14:textId="77777777" w:rsidR="00DB4051" w:rsidRPr="00B92158" w:rsidRDefault="00DB4051" w:rsidP="00DB4051">
      <w:pPr>
        <w:spacing w:before="120"/>
        <w:rPr>
          <w:b/>
        </w:rPr>
      </w:pPr>
      <w:r>
        <w:rPr>
          <w:b/>
          <w:bCs/>
        </w:rPr>
        <w:t>Семьдесят шестая сессия</w:t>
      </w:r>
    </w:p>
    <w:p w14:paraId="6E0C422D" w14:textId="77777777" w:rsidR="00DB4051" w:rsidRPr="00B92158" w:rsidRDefault="00DB4051" w:rsidP="00DB4051">
      <w:r>
        <w:t>Женева, 13−16 октября 2020 года</w:t>
      </w:r>
    </w:p>
    <w:p w14:paraId="6753BD6B" w14:textId="77777777" w:rsidR="00DB4051" w:rsidRPr="00B92158" w:rsidRDefault="00DB4051" w:rsidP="00DB4051">
      <w:r>
        <w:t>Пункт 12 предварительной повестки дня</w:t>
      </w:r>
    </w:p>
    <w:p w14:paraId="1296A27E" w14:textId="77777777" w:rsidR="00DB4051" w:rsidRPr="00B92158" w:rsidRDefault="00DB4051" w:rsidP="00DB4051">
      <w:pPr>
        <w:rPr>
          <w:b/>
          <w:bCs/>
        </w:rPr>
      </w:pPr>
      <w:r>
        <w:rPr>
          <w:b/>
          <w:bCs/>
        </w:rPr>
        <w:t>Прочие вопросы</w:t>
      </w:r>
    </w:p>
    <w:p w14:paraId="37E46F7A" w14:textId="77777777" w:rsidR="00DB4051" w:rsidRPr="00B92158" w:rsidRDefault="00DB4051" w:rsidP="00DB4051">
      <w:pPr>
        <w:pStyle w:val="HChG"/>
      </w:pPr>
      <w:r>
        <w:tab/>
      </w:r>
      <w:r>
        <w:tab/>
      </w:r>
      <w:r>
        <w:rPr>
          <w:bCs/>
        </w:rPr>
        <w:t>Обсуждение отзывов по итогам круглого стола, состоявшегося в октябре 2018 года</w:t>
      </w:r>
    </w:p>
    <w:p w14:paraId="51955B88" w14:textId="77777777" w:rsidR="00DB4051" w:rsidRPr="00E6773F" w:rsidRDefault="00DB4051" w:rsidP="00DB4051">
      <w:pPr>
        <w:pStyle w:val="H1G"/>
      </w:pPr>
      <w:r>
        <w:tab/>
      </w:r>
      <w:r>
        <w:tab/>
      </w:r>
      <w:r>
        <w:rPr>
          <w:bCs/>
        </w:rPr>
        <w:t>Передано заместителем Председателя WP.11</w:t>
      </w:r>
    </w:p>
    <w:p w14:paraId="69E563CB" w14:textId="77777777" w:rsidR="00DB4051" w:rsidRPr="00E6773F" w:rsidRDefault="00DB4051" w:rsidP="00DB4051">
      <w:pPr>
        <w:pStyle w:val="HChG"/>
      </w:pPr>
      <w:r>
        <w:tab/>
      </w:r>
      <w:r>
        <w:tab/>
      </w:r>
      <w:r>
        <w:tab/>
      </w:r>
      <w:r>
        <w:rPr>
          <w:bCs/>
        </w:rPr>
        <w:t>Введение</w:t>
      </w:r>
    </w:p>
    <w:p w14:paraId="20325876" w14:textId="77777777" w:rsidR="00DB4051" w:rsidRPr="00B92158" w:rsidRDefault="00DB4051" w:rsidP="00DB4051">
      <w:pPr>
        <w:pStyle w:val="SingleTxtG"/>
      </w:pPr>
      <w:r>
        <w:t>1.</w:t>
      </w:r>
      <w:r>
        <w:tab/>
        <w:t xml:space="preserve">Комитет по внутреннему транспорту (КВТ) ЕЭК ООН отметил, что прогресс в разработке СПС является незначительным. В связи с этим на сессии WP.11 в 2018 году было проведено обсуждение в формате круглого стола для рассмотрения вопроса о том, каким образом можно было бы ускорить прогресс в этом направлении. </w:t>
      </w:r>
    </w:p>
    <w:p w14:paraId="4678680E" w14:textId="77777777" w:rsidR="00DB4051" w:rsidRPr="00B92158" w:rsidRDefault="00DB4051" w:rsidP="00DB4051">
      <w:pPr>
        <w:pStyle w:val="SingleTxtG"/>
      </w:pPr>
      <w:r>
        <w:t>2.</w:t>
      </w:r>
      <w:r>
        <w:tab/>
        <w:t>В целях облегчения работы круглого стола была сформирована неофициальная рабочая группа (НРГ по совершенствованию методов работы WP.11), которая определила ряд возможных аспектов для совершенствования. Представленный этой рабочей группой документ ECE/TRANS/WP.11/2018/17 был рассмотрен, а промежуточные итоги изложены в пунктах 2–22 доклада ECE/TRANS/WP.11/239. В</w:t>
      </w:r>
      <w:r>
        <w:t> </w:t>
      </w:r>
      <w:r>
        <w:t xml:space="preserve">ожидании результатов дальнейшего обсуждения НРГ необходимо представить отзывы. В нижеследующем тексте кратко излагаются вопросы для дальнейшего обсуждения и принятия решения. </w:t>
      </w:r>
    </w:p>
    <w:p w14:paraId="143CBBFA" w14:textId="77777777" w:rsidR="00DB4051" w:rsidRPr="00B92158" w:rsidRDefault="00DB4051" w:rsidP="00DB4051">
      <w:pPr>
        <w:pStyle w:val="SingleTxtG"/>
      </w:pPr>
      <w:r>
        <w:t>3.</w:t>
      </w:r>
      <w:r>
        <w:tab/>
        <w:t>Одна из общих рекомендаций неофициальной рабочей группы заключалась в том, чтобы извлечь уроки из опыта других рабочих групп в рамках КВТ. Ниже рассматривается главным образом функционирование WP.29 (безопасность транспортных средств) и WP.15 (перевозка опасных грузов).</w:t>
      </w:r>
    </w:p>
    <w:p w14:paraId="790425F5" w14:textId="77777777" w:rsidR="00DB4051" w:rsidRPr="00B92158" w:rsidRDefault="00DB4051" w:rsidP="00DB4051">
      <w:pPr>
        <w:pStyle w:val="HChG"/>
      </w:pPr>
      <w:r>
        <w:tab/>
      </w:r>
      <w:r>
        <w:tab/>
      </w:r>
      <w:r>
        <w:rPr>
          <w:bCs/>
        </w:rPr>
        <w:t>Обсуждение</w:t>
      </w:r>
    </w:p>
    <w:p w14:paraId="2F31146D" w14:textId="77777777" w:rsidR="00DB4051" w:rsidRPr="00B92158" w:rsidRDefault="00DB4051" w:rsidP="00DB4051">
      <w:pPr>
        <w:pStyle w:val="H23G"/>
      </w:pPr>
      <w:r>
        <w:tab/>
      </w:r>
      <w:r>
        <w:tab/>
      </w:r>
      <w:r>
        <w:rPr>
          <w:bCs/>
        </w:rPr>
        <w:t>Частотность проведения совещаний</w:t>
      </w:r>
    </w:p>
    <w:p w14:paraId="08E96D25" w14:textId="77777777" w:rsidR="00DB4051" w:rsidRPr="00B92158" w:rsidRDefault="00DB4051" w:rsidP="00DB4051">
      <w:pPr>
        <w:pStyle w:val="SingleTxtG"/>
      </w:pPr>
      <w:r>
        <w:t>4.</w:t>
      </w:r>
      <w:r>
        <w:tab/>
        <w:t xml:space="preserve">Один из выводов заключается в том, что эти рабочие группы чаще проводят совещания. Благодаря этому увеличивается число проводимых обсуждений, что позволяет быстрее разрабатывать и принимать предложения. После одобрения со </w:t>
      </w:r>
      <w:r>
        <w:lastRenderedPageBreak/>
        <w:t xml:space="preserve">стороны КВТ мы приняли эту меру, и количество сессий в течение двухгодичного периода увеличилось с 2 до 3. К сожалению, из-за вспышки </w:t>
      </w:r>
      <w:r>
        <w:rPr>
          <w:lang w:val="en-US"/>
        </w:rPr>
        <w:t>COVID</w:t>
      </w:r>
      <w:r w:rsidRPr="00E6773F">
        <w:t>-19</w:t>
      </w:r>
      <w:r>
        <w:t xml:space="preserve"> апрельскую сессию 2020 года пришлось отменить.</w:t>
      </w:r>
    </w:p>
    <w:p w14:paraId="7E0CEC38" w14:textId="77777777" w:rsidR="00DB4051" w:rsidRPr="00B92158" w:rsidRDefault="00DB4051" w:rsidP="00DB4051">
      <w:pPr>
        <w:pStyle w:val="H23G"/>
      </w:pPr>
      <w:r>
        <w:tab/>
      </w:r>
      <w:r>
        <w:tab/>
      </w:r>
      <w:r>
        <w:rPr>
          <w:bCs/>
        </w:rPr>
        <w:t>Фиксированный срок принятия предложений</w:t>
      </w:r>
    </w:p>
    <w:p w14:paraId="50CF20FF" w14:textId="77777777" w:rsidR="00DB4051" w:rsidRPr="00B92158" w:rsidRDefault="00DB4051" w:rsidP="00DB4051">
      <w:pPr>
        <w:pStyle w:val="SingleTxtG"/>
      </w:pPr>
      <w:r>
        <w:t>5.</w:t>
      </w:r>
      <w:r>
        <w:tab/>
        <w:t>Другое предложение заключалось в том, чтобы собирать все поправки за двухгодичный период и направлять их в виде полного набора депозитарию</w:t>
      </w:r>
      <w:r>
        <w:br/>
      </w:r>
      <w:r>
        <w:t>в Нью-Йорке</w:t>
      </w:r>
      <w:r w:rsidRPr="007244B4">
        <w:t xml:space="preserve"> </w:t>
      </w:r>
      <w:r>
        <w:t>для утверждения. Причиной этого является то, что обычно срок утверждения является слишком длинным. Таким образом можно было бы вносить поправки в поправк</w:t>
      </w:r>
      <w:r w:rsidR="00BF72EB">
        <w:t>и</w:t>
      </w:r>
      <w:r>
        <w:t xml:space="preserve"> предыдущего года, которые официально еще не вступили в силу. Этого мы достигли. </w:t>
      </w:r>
    </w:p>
    <w:p w14:paraId="3531ABD5" w14:textId="77777777" w:rsidR="00DB4051" w:rsidRPr="00B92158" w:rsidRDefault="00DB4051" w:rsidP="00DB4051">
      <w:pPr>
        <w:pStyle w:val="H23G"/>
      </w:pPr>
      <w:r>
        <w:tab/>
      </w:r>
      <w:r>
        <w:tab/>
      </w:r>
      <w:r>
        <w:rPr>
          <w:bCs/>
        </w:rPr>
        <w:t>Фиксированные даты вступления в силу новых предложений</w:t>
      </w:r>
    </w:p>
    <w:p w14:paraId="4D99D203" w14:textId="77777777" w:rsidR="00DB4051" w:rsidRPr="00B92158" w:rsidRDefault="00DB4051" w:rsidP="00DB4051">
      <w:pPr>
        <w:pStyle w:val="SingleTxtG"/>
      </w:pPr>
      <w:r>
        <w:t>6.</w:t>
      </w:r>
      <w:r>
        <w:tab/>
        <w:t>Кроме того, можно было бы выстроить процесс утверждения по времени таким образом, чтобы новые поправки вступали в силу в определенный момент, т.</w:t>
      </w:r>
      <w:r>
        <w:t xml:space="preserve"> </w:t>
      </w:r>
      <w:r>
        <w:t>е. 1 января или 1 июля. Неопределенность заключается в том, будет ли применен удлиненный период принятия, равный 9 месяцам. Однако в последние 15 лет это происходило всегда. Данный вопрос можно было бы обсудить.</w:t>
      </w:r>
    </w:p>
    <w:p w14:paraId="211A8972" w14:textId="77777777" w:rsidR="00DB4051" w:rsidRPr="00B92158" w:rsidRDefault="00DB4051" w:rsidP="00DB4051">
      <w:pPr>
        <w:pStyle w:val="H23G"/>
      </w:pPr>
      <w:r>
        <w:tab/>
      </w:r>
      <w:r>
        <w:tab/>
      </w:r>
      <w:r>
        <w:rPr>
          <w:bCs/>
        </w:rPr>
        <w:t>Неофициальные рабочие группы</w:t>
      </w:r>
    </w:p>
    <w:p w14:paraId="1217916A" w14:textId="77777777" w:rsidR="00DB4051" w:rsidRPr="00B92158" w:rsidRDefault="00DB4051" w:rsidP="00DB4051">
      <w:pPr>
        <w:pStyle w:val="SingleTxtG"/>
      </w:pPr>
      <w:r>
        <w:t>7.</w:t>
      </w:r>
      <w:r>
        <w:tab/>
        <w:t>Другие рабочие группы работают с неофициальными рабочими группами и целевыми группами для рассмотрения более конкретных аспектов. Эти</w:t>
      </w:r>
      <w:r>
        <w:t> </w:t>
      </w:r>
      <w:r>
        <w:t>неофициальные рабочие группы работают в соответствии с мандатом и кругом ведения (т.</w:t>
      </w:r>
      <w:r w:rsidR="00BF72EB">
        <w:t xml:space="preserve"> </w:t>
      </w:r>
      <w:r>
        <w:t>е. предмет обсуждения). Неофициальные рабочие группы отчитываются перед соответствующей рабочей группой, представляя ей доклад и, при необходимости, предложения. Целевые группы являются еще менее формальными и часто работают в рамках неофициальной группы, занимаясь еще более конкретными вопросами.</w:t>
      </w:r>
    </w:p>
    <w:p w14:paraId="2D324F6C" w14:textId="77777777" w:rsidR="00DB4051" w:rsidRPr="00B92158" w:rsidRDefault="00DB4051" w:rsidP="00DB4051">
      <w:pPr>
        <w:pStyle w:val="SingleTxtG"/>
      </w:pPr>
      <w:r>
        <w:t>8.</w:t>
      </w:r>
      <w:r>
        <w:tab/>
        <w:t xml:space="preserve">В рамках WP.11 многие обсуждения посвящены сугубо техническим по своему содержанию вопросам, которые было бы полезно обсуждать в неофициальных рабочих группах. Преимущество этого заключается в том, что экспертам легче обмениваться мнениями и идеями для поиска общих решений. Для работы неофициальных рабочих групп необходимы усилия и участие ограниченного числа экспертов, занимающихся СПС. По вопросам испытаний мы можем сотрудничать с Подкомиссией D2 CERTE </w:t>
      </w:r>
      <w:r w:rsidRPr="00E6773F">
        <w:t>Международного института холода (МИХ).</w:t>
      </w:r>
    </w:p>
    <w:p w14:paraId="7E1DB9BF" w14:textId="77777777" w:rsidR="00DB4051" w:rsidRPr="00B92158" w:rsidRDefault="00DB4051" w:rsidP="00DB4051">
      <w:pPr>
        <w:pStyle w:val="SingleTxtG"/>
      </w:pPr>
      <w:r>
        <w:t>9.</w:t>
      </w:r>
      <w:r>
        <w:tab/>
        <w:t>Существует несколько вариантов графика проведения совещаний неофициальных рабочих групп. В связи с ограниченным объемом документов по общим темам совещание рабочей группы, проводимое параллельно с WP.11, является, по-видимому, менее эффективным вариантом. Наиболее целесообразными представляются варианты проведения совещаний экспертов за день до сессии WP.11 или в период между сессиями WP.11. Еще один вариант мог бы заключаться в том, чтобы для проведения совещания рабочей группы прервать сессию WP.11 на один день, хотя могут возникнуть организационные трудности.</w:t>
      </w:r>
    </w:p>
    <w:p w14:paraId="556BDA95" w14:textId="77777777" w:rsidR="00DB4051" w:rsidRPr="00B92158" w:rsidRDefault="00DB4051" w:rsidP="00DB4051">
      <w:pPr>
        <w:pStyle w:val="H23G"/>
      </w:pPr>
      <w:r>
        <w:tab/>
      </w:r>
      <w:r>
        <w:tab/>
      </w:r>
      <w:r>
        <w:rPr>
          <w:bCs/>
        </w:rPr>
        <w:t>Ссылка на стандарты и специальная рабочая группа по стандартам</w:t>
      </w:r>
    </w:p>
    <w:p w14:paraId="25AD6C42" w14:textId="77777777" w:rsidR="00DB4051" w:rsidRPr="00B92158" w:rsidRDefault="00DB4051" w:rsidP="00DB4051">
      <w:pPr>
        <w:pStyle w:val="SingleTxtG"/>
      </w:pPr>
      <w:r>
        <w:t>10.</w:t>
      </w:r>
      <w:r>
        <w:tab/>
        <w:t>В приложениях к Соглашению о перевозке опасных грузов (WP.15) содержится множество ссылок на стандарты. В этих стандартах имеется более подробная информация, касающаяся отдельных разделов правил, и необходимо проверять, не противоречит ли содержание стандартов этим правилам. Для этого учреждена специальная постоянная рабочая группа, которая проводит совещания за рамками совещаний WP.15 (AC.1). В правилах других рабочих групп также упоминаются стандарты, определяющие конкретные процедуры испытаний, которые не определены в самих правилах; в большинстве случаев они проверяются неофициальной рабочей группой в рамках целевой группы, занимающейся этими конкретными темами, для которых используется испытание, описанное в стандарте.</w:t>
      </w:r>
    </w:p>
    <w:p w14:paraId="091EE98F" w14:textId="77777777" w:rsidR="00DB4051" w:rsidRPr="00B92158" w:rsidRDefault="00DB4051" w:rsidP="00DB4051">
      <w:pPr>
        <w:pStyle w:val="SingleTxtG"/>
      </w:pPr>
      <w:r>
        <w:lastRenderedPageBreak/>
        <w:t>11.</w:t>
      </w:r>
      <w:r>
        <w:tab/>
        <w:t>В случае рефрижераторных перевозок существует несколько стандартов, и в настоящее время разрабатываются новые. Следует обсудить вопрос о том, полезно ли включать ссылки на эти стандарты, следует ли создать специальную рабочую группу для проверки этих стандартов и каким образом можно получить доступ к этим стандартам.</w:t>
      </w:r>
    </w:p>
    <w:p w14:paraId="01F2D4AA" w14:textId="77777777" w:rsidR="00DB4051" w:rsidRPr="00B92158" w:rsidRDefault="00DB4051" w:rsidP="00DB4051">
      <w:pPr>
        <w:pStyle w:val="H23G"/>
      </w:pPr>
      <w:r>
        <w:tab/>
      </w:r>
      <w:r>
        <w:tab/>
      </w:r>
      <w:r>
        <w:rPr>
          <w:bCs/>
        </w:rPr>
        <w:t>Использование документов</w:t>
      </w:r>
    </w:p>
    <w:p w14:paraId="5BD53CB2" w14:textId="77777777" w:rsidR="00DB4051" w:rsidRPr="00B92158" w:rsidRDefault="00DB4051" w:rsidP="00DB4051">
      <w:pPr>
        <w:pStyle w:val="SingleTxtG"/>
      </w:pPr>
      <w:r>
        <w:t>12.</w:t>
      </w:r>
      <w:r>
        <w:tab/>
        <w:t xml:space="preserve">В частности, среди </w:t>
      </w:r>
      <w:r w:rsidR="0011378A">
        <w:t>«</w:t>
      </w:r>
      <w:r>
        <w:t>докладчиков групп</w:t>
      </w:r>
      <w:r w:rsidR="0011378A">
        <w:t>»</w:t>
      </w:r>
      <w:r>
        <w:t xml:space="preserve"> в постоянных рабочих группах WP.29 используется процедура представления новой темы для обсуждения в качестве документа INF. Эти темы представляются, затем поступают отзывы для того, чтобы при необходимости провести дальнейшую проработку предложения и, возможно, даже создать неофициальную рабочую группу. В большинстве случаев это предложение рассматривается вновь на следующей сессии в качестве проработанного официального документа, вероятность принятия которого становится выше.</w:t>
      </w:r>
    </w:p>
    <w:p w14:paraId="1E8668B0" w14:textId="77777777" w:rsidR="00DB4051" w:rsidRPr="00B92158" w:rsidRDefault="00DB4051" w:rsidP="00DB4051">
      <w:pPr>
        <w:pStyle w:val="SingleTxtG"/>
      </w:pPr>
      <w:r>
        <w:t>13.</w:t>
      </w:r>
      <w:r>
        <w:tab/>
        <w:t>Следует поощрять использование неофициальных документов в качестве средства формулирования проблем и идей, а также отражения замечаний и дополнений к официальным документам. В последнем случае преимущество заключается в том, что такой документ может быть принят во внимание до начала совещания и может повысить вероятность принятия предложений в ходе самой сессии.</w:t>
      </w:r>
    </w:p>
    <w:p w14:paraId="256AE142" w14:textId="77777777" w:rsidR="00DB4051" w:rsidRPr="00B92158" w:rsidRDefault="00DB4051" w:rsidP="00DB4051">
      <w:pPr>
        <w:pStyle w:val="H23G"/>
      </w:pPr>
      <w:r>
        <w:tab/>
      </w:r>
      <w:r>
        <w:tab/>
      </w:r>
      <w:r>
        <w:rPr>
          <w:bCs/>
        </w:rPr>
        <w:t>Другие темы</w:t>
      </w:r>
    </w:p>
    <w:p w14:paraId="10507918" w14:textId="77777777" w:rsidR="00DB4051" w:rsidRPr="00B92158" w:rsidRDefault="00DB4051" w:rsidP="00DB4051">
      <w:pPr>
        <w:pStyle w:val="SingleTxtG"/>
      </w:pPr>
      <w:r>
        <w:t>14.</w:t>
      </w:r>
      <w:r>
        <w:tab/>
        <w:t>В дополнение к вышеперечисленным аспектам, которые могут быть усовершенствованы путем сравнения с функционированием других рабочих групп, можно отметить следующее:</w:t>
      </w:r>
    </w:p>
    <w:p w14:paraId="7A425892" w14:textId="77777777" w:rsidR="00DB4051" w:rsidRPr="00B92158" w:rsidRDefault="00DB4051" w:rsidP="00DB4051">
      <w:pPr>
        <w:pStyle w:val="H23G"/>
      </w:pPr>
      <w:r>
        <w:tab/>
      </w:r>
      <w:r>
        <w:tab/>
      </w:r>
      <w:r>
        <w:rPr>
          <w:bCs/>
        </w:rPr>
        <w:t>Правило единогласия и порядок ведения заседаний</w:t>
      </w:r>
      <w:r>
        <w:t xml:space="preserve"> </w:t>
      </w:r>
    </w:p>
    <w:p w14:paraId="5E4CC47C" w14:textId="77777777" w:rsidR="00DB4051" w:rsidRPr="00B92158" w:rsidRDefault="00DB4051" w:rsidP="0011378A">
      <w:pPr>
        <w:pStyle w:val="SingleTxtG"/>
      </w:pPr>
      <w:r>
        <w:t>15.</w:t>
      </w:r>
      <w:r>
        <w:tab/>
        <w:t xml:space="preserve">Было проведено много дискуссий </w:t>
      </w:r>
      <w:r w:rsidR="0011378A">
        <w:t>п</w:t>
      </w:r>
      <w:r>
        <w:t xml:space="preserve">о вопросам о процедуре голосования, касающегося Соглашения СПС и приложений к нему, а также в рамках самой WP.11, и в частности по правилу единогласия. По итогам обсуждения соответствующего документа рабочей группой был сделан вывод о том, что изменение этого правила будет проблематичным. Вместе с тем существует несколько путей повышения эффективности WP.11. Один из них </w:t>
      </w:r>
      <w:r w:rsidR="0011378A" w:rsidRPr="0011378A">
        <w:t>—</w:t>
      </w:r>
      <w:r>
        <w:t xml:space="preserve"> это порядок ведения заседаний. В недавнем прошлом по каждому предложению проводилось официальное голосование. Эта</w:t>
      </w:r>
      <w:r w:rsidR="0011378A">
        <w:t> </w:t>
      </w:r>
      <w:r>
        <w:t>процедура голосования по предложениям и альтернативным вариантам отнимала много времени. Затем было принято решение не голосовать в тех случаях, когда очевидно, что предложение не может быть принято. Однако здесь есть и негативный момент: договаривающаяся сторона, направляющая предложение, не получит информацию о том, у кого можно было бы запросить материалы для улучшения предложения.</w:t>
      </w:r>
    </w:p>
    <w:p w14:paraId="421AB52B" w14:textId="77777777" w:rsidR="00DB4051" w:rsidRPr="00B92158" w:rsidRDefault="00DB4051" w:rsidP="00DB4051">
      <w:pPr>
        <w:pStyle w:val="SingleTxtG"/>
      </w:pPr>
      <w:r>
        <w:t>16.</w:t>
      </w:r>
      <w:r>
        <w:tab/>
        <w:t>Предлагается проводить голосование только по тем предложениям, которые имеют возможность быть принятыми. При желании, договаривающаяся сторона, направившая предложение, может воспользоваться своим правом на проведение голосования или потребовать, чтобы проголосовавшие против или воздержавшиеся стороны</w:t>
      </w:r>
      <w:r w:rsidRPr="007E3EC5">
        <w:t xml:space="preserve"> </w:t>
      </w:r>
      <w:r>
        <w:t>представили мотивы своей позиции. Официально такие мотивы могут быть представлены только на добровольной основе.</w:t>
      </w:r>
    </w:p>
    <w:p w14:paraId="15A51096" w14:textId="77777777" w:rsidR="00DB4051" w:rsidRPr="00B92158" w:rsidRDefault="00DB4051" w:rsidP="00DB4051">
      <w:pPr>
        <w:pStyle w:val="H23G"/>
      </w:pPr>
      <w:r>
        <w:tab/>
      </w:r>
      <w:r>
        <w:tab/>
      </w:r>
      <w:r>
        <w:rPr>
          <w:bCs/>
        </w:rPr>
        <w:t>Межсессионная дискуссия</w:t>
      </w:r>
    </w:p>
    <w:p w14:paraId="7879F56C" w14:textId="77777777" w:rsidR="00DB4051" w:rsidRPr="00B92158" w:rsidRDefault="00DB4051" w:rsidP="00DB4051">
      <w:pPr>
        <w:pStyle w:val="SingleTxtG"/>
      </w:pPr>
      <w:r>
        <w:t>17.</w:t>
      </w:r>
      <w:r>
        <w:tab/>
        <w:t>Было также предложено, чтобы в промежутках между совещаниями договаривающиеся стороны более подробно обсуждали предложения, подлежащие направлению, с тем чтобы повысить вероятность их принятия. Это один из возможных вариантов, но официально такие контакты происходят по официальным правительственным каналам, что может замедлить обсуждение. Вариант решения этой проблемы заключается в организации более постоянной неофициальной рабочей группы, в рамках которой эксперты договаривающихся сторон могли бы обсуждать темы и вырабатывать общие позиции.</w:t>
      </w:r>
    </w:p>
    <w:p w14:paraId="79C93381" w14:textId="77777777" w:rsidR="00DB4051" w:rsidRPr="00B92158" w:rsidRDefault="00DB4051" w:rsidP="00DB4051">
      <w:pPr>
        <w:pStyle w:val="SingleTxtG"/>
      </w:pPr>
      <w:r>
        <w:lastRenderedPageBreak/>
        <w:t>18.</w:t>
      </w:r>
      <w:r>
        <w:tab/>
        <w:t>Еще одним недавним новшеством является возможность размещения документов в цифровом рабочем пространстве ЕЭК ООН. Заранее, т.</w:t>
      </w:r>
      <w:r w:rsidR="0011378A">
        <w:t xml:space="preserve"> </w:t>
      </w:r>
      <w:r>
        <w:t>е. примерно за 12 недель до начала совещания, можно увидеть еще не переведенные официальные документы и высказать по ним свои замечания, с тем чтобы стимулировать доработку этих документов или подготовку предварительных документ</w:t>
      </w:r>
      <w:r w:rsidR="00BF72EB">
        <w:t>ов</w:t>
      </w:r>
      <w:r>
        <w:t xml:space="preserve"> INF с замечаниями по этим официальным документам. </w:t>
      </w:r>
    </w:p>
    <w:p w14:paraId="36C9E50F" w14:textId="77777777" w:rsidR="00DB4051" w:rsidRPr="00B92158" w:rsidRDefault="00DB4051" w:rsidP="00DB4051">
      <w:pPr>
        <w:pStyle w:val="H23G"/>
      </w:pPr>
      <w:r>
        <w:tab/>
      </w:r>
      <w:r>
        <w:tab/>
      </w:r>
      <w:r>
        <w:rPr>
          <w:bCs/>
        </w:rPr>
        <w:t>Использование официальных документов</w:t>
      </w:r>
    </w:p>
    <w:p w14:paraId="7A653A66" w14:textId="77777777" w:rsidR="00DB4051" w:rsidRPr="00FD6366" w:rsidRDefault="00DB4051" w:rsidP="00DB4051">
      <w:pPr>
        <w:pStyle w:val="SingleTxtG"/>
      </w:pPr>
      <w:r>
        <w:t>19.</w:t>
      </w:r>
      <w:r>
        <w:tab/>
        <w:t xml:space="preserve">В добавлении к правилам процедуры WP.11 (ECE/TRANS/WP.11/229) приведен формат официальных документов. В соответствии с этим форматом в документе должна быть графа с кратким изложением проблемы, требующей решения, мерами, которые должны быть приняты, и номерами предыдущих соответствующих документов/пунктов докладов, а в конце </w:t>
      </w:r>
      <w:r w:rsidR="0011378A" w:rsidRPr="0011378A">
        <w:t>—</w:t>
      </w:r>
      <w:r>
        <w:t xml:space="preserve"> обоснование, включающее четыре очень важных пункта, которые должны быть заполнены. Официальные документы не всегда представляются в этом формате.</w:t>
      </w:r>
    </w:p>
    <w:p w14:paraId="187E65F9" w14:textId="77777777" w:rsidR="00DB4051" w:rsidRPr="00FD6366" w:rsidRDefault="00DB4051" w:rsidP="00DB4051">
      <w:pPr>
        <w:spacing w:before="240"/>
        <w:jc w:val="center"/>
        <w:rPr>
          <w:u w:val="single"/>
        </w:rPr>
      </w:pPr>
      <w:r w:rsidRPr="00FD6366">
        <w:rPr>
          <w:u w:val="single"/>
        </w:rPr>
        <w:tab/>
      </w:r>
      <w:r w:rsidRPr="00FD6366">
        <w:rPr>
          <w:u w:val="single"/>
        </w:rPr>
        <w:tab/>
      </w:r>
      <w:r w:rsidRPr="00FD6366">
        <w:rPr>
          <w:u w:val="single"/>
        </w:rPr>
        <w:tab/>
      </w:r>
    </w:p>
    <w:p w14:paraId="441AD24E" w14:textId="77777777" w:rsidR="00E12C5F" w:rsidRPr="00DB4051" w:rsidRDefault="00E12C5F" w:rsidP="00D9145B"/>
    <w:sectPr w:rsidR="00E12C5F" w:rsidRPr="00DB4051" w:rsidSect="001962E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F32E" w14:textId="77777777" w:rsidR="005153C2" w:rsidRPr="00A312BC" w:rsidRDefault="005153C2" w:rsidP="00A312BC"/>
  </w:endnote>
  <w:endnote w:type="continuationSeparator" w:id="0">
    <w:p w14:paraId="37862785" w14:textId="77777777" w:rsidR="005153C2" w:rsidRPr="00A312BC" w:rsidRDefault="005153C2"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805B" w14:textId="77777777" w:rsidR="001962EA" w:rsidRPr="001962EA" w:rsidRDefault="001962EA">
    <w:pPr>
      <w:pStyle w:val="a8"/>
    </w:pPr>
    <w:r w:rsidRPr="001962EA">
      <w:rPr>
        <w:b/>
        <w:sz w:val="18"/>
      </w:rPr>
      <w:fldChar w:fldCharType="begin"/>
    </w:r>
    <w:r w:rsidRPr="001962EA">
      <w:rPr>
        <w:b/>
        <w:sz w:val="18"/>
      </w:rPr>
      <w:instrText xml:space="preserve"> PAGE  \* MERGEFORMAT </w:instrText>
    </w:r>
    <w:r w:rsidRPr="001962EA">
      <w:rPr>
        <w:b/>
        <w:sz w:val="18"/>
      </w:rPr>
      <w:fldChar w:fldCharType="separate"/>
    </w:r>
    <w:r w:rsidRPr="001962EA">
      <w:rPr>
        <w:b/>
        <w:noProof/>
        <w:sz w:val="18"/>
      </w:rPr>
      <w:t>2</w:t>
    </w:r>
    <w:r w:rsidRPr="001962EA">
      <w:rPr>
        <w:b/>
        <w:sz w:val="18"/>
      </w:rPr>
      <w:fldChar w:fldCharType="end"/>
    </w:r>
    <w:r>
      <w:rPr>
        <w:b/>
        <w:sz w:val="18"/>
      </w:rPr>
      <w:tab/>
    </w:r>
    <w:r>
      <w:t>GE.20-10054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34B2" w14:textId="77777777" w:rsidR="001962EA" w:rsidRPr="001962EA" w:rsidRDefault="001962EA" w:rsidP="001962EA">
    <w:pPr>
      <w:pStyle w:val="a8"/>
      <w:tabs>
        <w:tab w:val="clear" w:pos="9639"/>
        <w:tab w:val="right" w:pos="9638"/>
      </w:tabs>
      <w:rPr>
        <w:b/>
        <w:sz w:val="18"/>
      </w:rPr>
    </w:pPr>
    <w:r>
      <w:t>GE.20-10054</w:t>
    </w:r>
    <w:r>
      <w:tab/>
    </w:r>
    <w:r w:rsidRPr="001962EA">
      <w:rPr>
        <w:b/>
        <w:sz w:val="18"/>
      </w:rPr>
      <w:fldChar w:fldCharType="begin"/>
    </w:r>
    <w:r w:rsidRPr="001962EA">
      <w:rPr>
        <w:b/>
        <w:sz w:val="18"/>
      </w:rPr>
      <w:instrText xml:space="preserve"> PAGE  \* MERGEFORMAT </w:instrText>
    </w:r>
    <w:r w:rsidRPr="001962EA">
      <w:rPr>
        <w:b/>
        <w:sz w:val="18"/>
      </w:rPr>
      <w:fldChar w:fldCharType="separate"/>
    </w:r>
    <w:r w:rsidRPr="001962EA">
      <w:rPr>
        <w:b/>
        <w:noProof/>
        <w:sz w:val="18"/>
      </w:rPr>
      <w:t>3</w:t>
    </w:r>
    <w:r w:rsidRPr="001962E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03146" w14:textId="77777777" w:rsidR="00042B72" w:rsidRPr="001962EA" w:rsidRDefault="001962EA" w:rsidP="001962EA">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8126B5D" wp14:editId="65ADA553">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20-10054  (R)</w:t>
    </w:r>
    <w:r w:rsidR="00DB4051">
      <w:t xml:space="preserve">  120820  190820</w:t>
    </w:r>
    <w:r>
      <w:br/>
    </w:r>
    <w:r w:rsidRPr="001962EA">
      <w:rPr>
        <w:rFonts w:ascii="C39T30Lfz" w:hAnsi="C39T30Lfz"/>
        <w:kern w:val="14"/>
        <w:sz w:val="56"/>
      </w:rPr>
      <w:t></w:t>
    </w:r>
    <w:r w:rsidRPr="001962EA">
      <w:rPr>
        <w:rFonts w:ascii="C39T30Lfz" w:hAnsi="C39T30Lfz"/>
        <w:kern w:val="14"/>
        <w:sz w:val="56"/>
      </w:rPr>
      <w:t></w:t>
    </w:r>
    <w:r w:rsidRPr="001962EA">
      <w:rPr>
        <w:rFonts w:ascii="C39T30Lfz" w:hAnsi="C39T30Lfz"/>
        <w:kern w:val="14"/>
        <w:sz w:val="56"/>
      </w:rPr>
      <w:t></w:t>
    </w:r>
    <w:r w:rsidRPr="001962EA">
      <w:rPr>
        <w:rFonts w:ascii="C39T30Lfz" w:hAnsi="C39T30Lfz"/>
        <w:kern w:val="14"/>
        <w:sz w:val="56"/>
      </w:rPr>
      <w:t></w:t>
    </w:r>
    <w:r w:rsidRPr="001962EA">
      <w:rPr>
        <w:rFonts w:ascii="C39T30Lfz" w:hAnsi="C39T30Lfz"/>
        <w:kern w:val="14"/>
        <w:sz w:val="56"/>
      </w:rPr>
      <w:t></w:t>
    </w:r>
    <w:r w:rsidRPr="001962EA">
      <w:rPr>
        <w:rFonts w:ascii="C39T30Lfz" w:hAnsi="C39T30Lfz"/>
        <w:kern w:val="14"/>
        <w:sz w:val="56"/>
      </w:rPr>
      <w:t></w:t>
    </w:r>
    <w:r w:rsidRPr="001962EA">
      <w:rPr>
        <w:rFonts w:ascii="C39T30Lfz" w:hAnsi="C39T30Lfz"/>
        <w:kern w:val="14"/>
        <w:sz w:val="56"/>
      </w:rPr>
      <w:t></w:t>
    </w:r>
    <w:r w:rsidRPr="001962EA">
      <w:rPr>
        <w:rFonts w:ascii="C39T30Lfz" w:hAnsi="C39T30Lfz"/>
        <w:kern w:val="14"/>
        <w:sz w:val="56"/>
      </w:rPr>
      <w:t></w:t>
    </w:r>
    <w:r w:rsidRPr="001962EA">
      <w:rPr>
        <w:rFonts w:ascii="C39T30Lfz" w:hAnsi="C39T30Lfz"/>
        <w:kern w:val="14"/>
        <w:sz w:val="56"/>
      </w:rPr>
      <w:t></w:t>
    </w:r>
    <w:r>
      <w:rPr>
        <w:noProof/>
      </w:rPr>
      <w:drawing>
        <wp:anchor distT="0" distB="0" distL="114300" distR="114300" simplePos="0" relativeHeight="251659264" behindDoc="0" locked="0" layoutInCell="1" allowOverlap="1" wp14:anchorId="275DCE31" wp14:editId="54BBF23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F8CE" w14:textId="77777777" w:rsidR="005153C2" w:rsidRPr="001075E9" w:rsidRDefault="005153C2" w:rsidP="001075E9">
      <w:pPr>
        <w:tabs>
          <w:tab w:val="right" w:pos="2155"/>
        </w:tabs>
        <w:spacing w:after="80" w:line="240" w:lineRule="auto"/>
        <w:ind w:left="680"/>
        <w:rPr>
          <w:u w:val="single"/>
        </w:rPr>
      </w:pPr>
      <w:r>
        <w:rPr>
          <w:u w:val="single"/>
        </w:rPr>
        <w:tab/>
      </w:r>
    </w:p>
  </w:footnote>
  <w:footnote w:type="continuationSeparator" w:id="0">
    <w:p w14:paraId="0A927B11" w14:textId="77777777" w:rsidR="005153C2" w:rsidRDefault="005153C2"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D5DB" w14:textId="5223113F" w:rsidR="001962EA" w:rsidRPr="001962EA" w:rsidRDefault="001962EA">
    <w:pPr>
      <w:pStyle w:val="a5"/>
    </w:pPr>
    <w:fldSimple w:instr=" TITLE  \* MERGEFORMAT ">
      <w:r w:rsidR="00F1690F">
        <w:t>ECE/TRANS/WP.11/2020/15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FB53" w14:textId="5186A9EA" w:rsidR="001962EA" w:rsidRPr="001962EA" w:rsidRDefault="001962EA" w:rsidP="001962EA">
    <w:pPr>
      <w:pStyle w:val="a5"/>
      <w:jc w:val="right"/>
    </w:pPr>
    <w:fldSimple w:instr=" TITLE  \* MERGEFORMAT ">
      <w:r w:rsidR="00F1690F">
        <w:t>ECE/TRANS/WP.11/2020/15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C2"/>
    <w:rsid w:val="00033EE1"/>
    <w:rsid w:val="00042B72"/>
    <w:rsid w:val="000558BD"/>
    <w:rsid w:val="000B57E7"/>
    <w:rsid w:val="000B6373"/>
    <w:rsid w:val="000E4E5B"/>
    <w:rsid w:val="000F09DF"/>
    <w:rsid w:val="000F61B2"/>
    <w:rsid w:val="001075E9"/>
    <w:rsid w:val="0011378A"/>
    <w:rsid w:val="0014152F"/>
    <w:rsid w:val="00180183"/>
    <w:rsid w:val="0018024D"/>
    <w:rsid w:val="0018649F"/>
    <w:rsid w:val="001962EA"/>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56D3A"/>
    <w:rsid w:val="00472C5C"/>
    <w:rsid w:val="0048758C"/>
    <w:rsid w:val="004E05B7"/>
    <w:rsid w:val="0050108D"/>
    <w:rsid w:val="00513081"/>
    <w:rsid w:val="005153C2"/>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BF2FD5"/>
    <w:rsid w:val="00BF72EB"/>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B4051"/>
    <w:rsid w:val="00DD78D1"/>
    <w:rsid w:val="00DE32CD"/>
    <w:rsid w:val="00DF5767"/>
    <w:rsid w:val="00DF71B9"/>
    <w:rsid w:val="00E12C5F"/>
    <w:rsid w:val="00E73F76"/>
    <w:rsid w:val="00EA2C9F"/>
    <w:rsid w:val="00EA420E"/>
    <w:rsid w:val="00ED0BDA"/>
    <w:rsid w:val="00EE142A"/>
    <w:rsid w:val="00EF1360"/>
    <w:rsid w:val="00EF3220"/>
    <w:rsid w:val="00F1690F"/>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AC597D"/>
  <w15:docId w15:val="{D73A647D-8A10-4647-B162-F98F5EE3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locked/>
    <w:rsid w:val="00DB4051"/>
    <w:rPr>
      <w:lang w:val="ru-RU" w:eastAsia="en-US"/>
    </w:rPr>
  </w:style>
  <w:style w:type="paragraph" w:customStyle="1" w:styleId="ParNoG">
    <w:name w:val="_ParNo_G"/>
    <w:basedOn w:val="SingleTxtG"/>
    <w:qFormat/>
    <w:rsid w:val="00DB4051"/>
    <w:pPr>
      <w:numPr>
        <w:numId w:val="22"/>
      </w:numPr>
      <w:suppressAutoHyphens w:val="0"/>
    </w:pPr>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1</TotalTime>
  <Pages>4</Pages>
  <Words>1257</Words>
  <Characters>8457</Characters>
  <Application>Microsoft Office Word</Application>
  <DocSecurity>0</DocSecurity>
  <Lines>768</Lines>
  <Paragraphs>323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ECE/TRANS/WP.11/2020/15</vt:lpstr>
      <vt:lpstr>A/</vt:lpstr>
      <vt:lpstr>A/</vt:lpstr>
    </vt:vector>
  </TitlesOfParts>
  <Company>DCM</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ECE/TRANS/WP.11/2020/15</dc:title>
  <dc:subject/>
  <dc:creator>Uliana ANTIPOVA</dc:creator>
  <cp:keywords/>
  <cp:lastModifiedBy>Uliana Antipova</cp:lastModifiedBy>
  <cp:revision>3</cp:revision>
  <cp:lastPrinted>2020-08-19T09:32:00Z</cp:lastPrinted>
  <dcterms:created xsi:type="dcterms:W3CDTF">2020-08-19T09:32:00Z</dcterms:created>
  <dcterms:modified xsi:type="dcterms:W3CDTF">2020-08-19T09:33:00Z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