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6060C068" w:rsidR="009E6CB7" w:rsidRPr="00D47EEA" w:rsidRDefault="003A6A6A" w:rsidP="003A6A6A">
            <w:pPr>
              <w:jc w:val="right"/>
            </w:pPr>
            <w:r w:rsidRPr="003A6A6A">
              <w:rPr>
                <w:sz w:val="40"/>
              </w:rPr>
              <w:t>ECE</w:t>
            </w:r>
            <w:r>
              <w:t>/TRANS/WP.11/2020/</w:t>
            </w:r>
            <w:r w:rsidR="00671953">
              <w:t>1</w:t>
            </w:r>
            <w:r w:rsidR="00430AF6">
              <w:t>4</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0BD3FCF2" w:rsidR="003A6A6A" w:rsidRDefault="003A6A6A" w:rsidP="003A6A6A">
            <w:pPr>
              <w:spacing w:line="240" w:lineRule="exact"/>
            </w:pPr>
            <w:r>
              <w:t>2</w:t>
            </w:r>
            <w:r w:rsidR="00430AF6">
              <w:t>7</w:t>
            </w:r>
            <w:r>
              <w:t xml:space="preserve">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1BC0A9A8" w:rsidR="003A6A6A" w:rsidRDefault="003A6A6A" w:rsidP="003A6A6A">
      <w:r>
        <w:t>Item 6 (</w:t>
      </w:r>
      <w:r w:rsidR="00F62575">
        <w:t>b</w:t>
      </w:r>
      <w:r>
        <w:t>) of the provisional agenda</w:t>
      </w:r>
    </w:p>
    <w:p w14:paraId="49010579" w14:textId="77777777" w:rsidR="003A6A6A" w:rsidRDefault="003A6A6A" w:rsidP="003A6A6A">
      <w:pPr>
        <w:spacing w:line="276" w:lineRule="auto"/>
        <w:rPr>
          <w:b/>
        </w:rPr>
      </w:pPr>
      <w:r w:rsidRPr="00000941">
        <w:rPr>
          <w:b/>
        </w:rPr>
        <w:t>Prop</w:t>
      </w:r>
      <w:r>
        <w:rPr>
          <w:b/>
        </w:rPr>
        <w:t>osals of amendments to ATP:</w:t>
      </w:r>
    </w:p>
    <w:p w14:paraId="473BCB72" w14:textId="620A522C" w:rsidR="001C6663" w:rsidRDefault="00F62575" w:rsidP="003A6A6A">
      <w:pPr>
        <w:rPr>
          <w:b/>
        </w:rPr>
      </w:pPr>
      <w:r w:rsidRPr="00430AF6">
        <w:rPr>
          <w:b/>
        </w:rPr>
        <w:t>new</w:t>
      </w:r>
      <w:r w:rsidR="003A6A6A" w:rsidRPr="00430AF6">
        <w:rPr>
          <w:b/>
        </w:rPr>
        <w:t xml:space="preserve"> proposals</w:t>
      </w:r>
    </w:p>
    <w:p w14:paraId="5BF8C21C" w14:textId="6C3C3CFE" w:rsidR="003A6A6A" w:rsidRDefault="003A6A6A" w:rsidP="00311304">
      <w:pPr>
        <w:pStyle w:val="HChG"/>
      </w:pPr>
      <w:r>
        <w:rPr>
          <w:lang w:val="en-US"/>
        </w:rPr>
        <w:tab/>
      </w:r>
      <w:r>
        <w:rPr>
          <w:lang w:val="en-US"/>
        </w:rPr>
        <w:tab/>
      </w:r>
      <w:r w:rsidR="00311304" w:rsidRPr="00311304">
        <w:rPr>
          <w:bCs/>
        </w:rPr>
        <w:t xml:space="preserve">Proposals for amendment of the ATP by the </w:t>
      </w:r>
      <w:r w:rsidR="001F62AC">
        <w:rPr>
          <w:bCs/>
        </w:rPr>
        <w:t>i</w:t>
      </w:r>
      <w:r w:rsidR="001F62AC" w:rsidRPr="00311304">
        <w:rPr>
          <w:bCs/>
        </w:rPr>
        <w:t xml:space="preserve">nformal </w:t>
      </w:r>
      <w:r w:rsidR="00311304" w:rsidRPr="00311304">
        <w:rPr>
          <w:bCs/>
        </w:rPr>
        <w:t>working group on the improvement of the approval system of ATP equipment and thermal appliances</w:t>
      </w:r>
    </w:p>
    <w:p w14:paraId="713B8303" w14:textId="028E5026" w:rsidR="003A6A6A" w:rsidRDefault="003A6A6A" w:rsidP="00311304">
      <w:pPr>
        <w:pStyle w:val="H1G"/>
      </w:pPr>
      <w:r w:rsidRPr="003425A2">
        <w:tab/>
      </w:r>
      <w:r>
        <w:tab/>
      </w:r>
      <w:r w:rsidRPr="003425A2">
        <w:t xml:space="preserve">Transmitted by the Government of </w:t>
      </w:r>
      <w:r w:rsidR="00311304" w:rsidRPr="00311304">
        <w:t xml:space="preserve">the Netherlands on behalf of the </w:t>
      </w:r>
      <w:r w:rsidR="001F62AC">
        <w:t>i</w:t>
      </w:r>
      <w:r w:rsidR="001F62AC" w:rsidRPr="00311304">
        <w:t xml:space="preserve">nformal </w:t>
      </w:r>
      <w:r w:rsidR="001F62AC">
        <w:t>w</w:t>
      </w:r>
      <w:r w:rsidR="001F62AC" w:rsidRPr="00311304">
        <w:t xml:space="preserve">orking </w:t>
      </w:r>
      <w:r w:rsidR="001F62AC">
        <w:t>g</w:t>
      </w:r>
      <w:r w:rsidR="001F62AC" w:rsidRPr="00311304">
        <w:t>roup</w:t>
      </w:r>
    </w:p>
    <w:tbl>
      <w:tblPr>
        <w:tblStyle w:val="TableGrid"/>
        <w:tblW w:w="0" w:type="auto"/>
        <w:jc w:val="center"/>
        <w:tblLook w:val="01E0" w:firstRow="1" w:lastRow="1" w:firstColumn="1" w:lastColumn="1" w:noHBand="0" w:noVBand="0"/>
      </w:tblPr>
      <w:tblGrid>
        <w:gridCol w:w="9629"/>
      </w:tblGrid>
      <w:tr w:rsidR="003838E7" w14:paraId="357D6007" w14:textId="77777777" w:rsidTr="003838E7">
        <w:trPr>
          <w:jc w:val="center"/>
        </w:trPr>
        <w:tc>
          <w:tcPr>
            <w:tcW w:w="9629" w:type="dxa"/>
            <w:tcBorders>
              <w:top w:val="single" w:sz="4" w:space="0" w:color="auto"/>
              <w:left w:val="single" w:sz="4" w:space="0" w:color="auto"/>
              <w:bottom w:val="nil"/>
              <w:right w:val="single" w:sz="4" w:space="0" w:color="auto"/>
            </w:tcBorders>
            <w:hideMark/>
          </w:tcPr>
          <w:p w14:paraId="749C9141" w14:textId="77777777" w:rsidR="003838E7" w:rsidRDefault="003838E7" w:rsidP="00B77107">
            <w:pPr>
              <w:tabs>
                <w:tab w:val="left" w:pos="255"/>
              </w:tabs>
              <w:suppressAutoHyphens w:val="0"/>
              <w:spacing w:before="240" w:after="120"/>
              <w:rPr>
                <w:sz w:val="24"/>
              </w:rPr>
            </w:pPr>
            <w:r>
              <w:tab/>
            </w:r>
            <w:r>
              <w:rPr>
                <w:i/>
                <w:sz w:val="24"/>
              </w:rPr>
              <w:t>Summary</w:t>
            </w:r>
          </w:p>
        </w:tc>
      </w:tr>
      <w:tr w:rsidR="003838E7" w14:paraId="2C800797" w14:textId="77777777" w:rsidTr="003838E7">
        <w:trPr>
          <w:jc w:val="center"/>
        </w:trPr>
        <w:tc>
          <w:tcPr>
            <w:tcW w:w="9629" w:type="dxa"/>
            <w:tcBorders>
              <w:top w:val="nil"/>
              <w:left w:val="single" w:sz="4" w:space="0" w:color="auto"/>
              <w:bottom w:val="nil"/>
              <w:right w:val="single" w:sz="4" w:space="0" w:color="auto"/>
            </w:tcBorders>
            <w:hideMark/>
          </w:tcPr>
          <w:p w14:paraId="25D9B84C" w14:textId="2480B082" w:rsidR="003838E7" w:rsidRPr="00F03876" w:rsidRDefault="003838E7" w:rsidP="00B77107">
            <w:pPr>
              <w:pStyle w:val="SingleTxtG"/>
              <w:spacing w:after="60"/>
              <w:ind w:left="2552" w:hanging="2268"/>
              <w:rPr>
                <w:bCs/>
              </w:rPr>
            </w:pPr>
            <w:r>
              <w:rPr>
                <w:b/>
                <w:szCs w:val="22"/>
              </w:rPr>
              <w:t>Executive summary</w:t>
            </w:r>
            <w:r>
              <w:rPr>
                <w:szCs w:val="22"/>
              </w:rPr>
              <w:t>:</w:t>
            </w:r>
            <w:r>
              <w:rPr>
                <w:szCs w:val="22"/>
              </w:rPr>
              <w:tab/>
              <w:t xml:space="preserve">The </w:t>
            </w:r>
            <w:r w:rsidR="00BE364A">
              <w:rPr>
                <w:szCs w:val="22"/>
              </w:rPr>
              <w:t>i</w:t>
            </w:r>
            <w:r>
              <w:rPr>
                <w:szCs w:val="22"/>
              </w:rPr>
              <w:t xml:space="preserve">nformal </w:t>
            </w:r>
            <w:r w:rsidR="00BE364A">
              <w:rPr>
                <w:szCs w:val="22"/>
              </w:rPr>
              <w:t xml:space="preserve">working group </w:t>
            </w:r>
            <w:r>
              <w:rPr>
                <w:szCs w:val="22"/>
              </w:rPr>
              <w:t>meet several times between sessions of the WP.11 to discuss issues that would hinder the approval of equipment. In this document proposals for amendment are given by the working group for approval. A report of the working group describing discussions and justifications for the amendment will follow as an informal document.</w:t>
            </w:r>
            <w:r w:rsidRPr="00BF2BFE">
              <w:rPr>
                <w:bCs/>
              </w:rPr>
              <w:t xml:space="preserve"> </w:t>
            </w:r>
          </w:p>
        </w:tc>
      </w:tr>
      <w:tr w:rsidR="003838E7" w14:paraId="14F3EAEE" w14:textId="77777777" w:rsidTr="003838E7">
        <w:trPr>
          <w:jc w:val="center"/>
        </w:trPr>
        <w:tc>
          <w:tcPr>
            <w:tcW w:w="9629" w:type="dxa"/>
            <w:tcBorders>
              <w:top w:val="nil"/>
              <w:left w:val="single" w:sz="4" w:space="0" w:color="auto"/>
              <w:bottom w:val="nil"/>
              <w:right w:val="single" w:sz="4" w:space="0" w:color="auto"/>
            </w:tcBorders>
            <w:hideMark/>
          </w:tcPr>
          <w:p w14:paraId="632B7352" w14:textId="23B9A6AD" w:rsidR="003838E7" w:rsidRPr="00F03876" w:rsidRDefault="003838E7" w:rsidP="003838E7">
            <w:pPr>
              <w:pStyle w:val="SingleTxtG"/>
              <w:spacing w:after="60"/>
              <w:ind w:left="2552" w:hanging="2268"/>
              <w:rPr>
                <w:bCs/>
              </w:rPr>
            </w:pPr>
            <w:r w:rsidRPr="00AA645A">
              <w:rPr>
                <w:b/>
                <w:szCs w:val="22"/>
              </w:rPr>
              <w:t>Decision to be taken:</w:t>
            </w:r>
            <w:r>
              <w:rPr>
                <w:szCs w:val="22"/>
              </w:rPr>
              <w:tab/>
              <w:t>Approval of proposals</w:t>
            </w:r>
          </w:p>
        </w:tc>
      </w:tr>
      <w:tr w:rsidR="003838E7" w14:paraId="49C949D9" w14:textId="77777777" w:rsidTr="003838E7">
        <w:trPr>
          <w:jc w:val="center"/>
        </w:trPr>
        <w:tc>
          <w:tcPr>
            <w:tcW w:w="9629" w:type="dxa"/>
            <w:tcBorders>
              <w:top w:val="nil"/>
              <w:left w:val="single" w:sz="4" w:space="0" w:color="auto"/>
              <w:bottom w:val="nil"/>
              <w:right w:val="single" w:sz="4" w:space="0" w:color="auto"/>
            </w:tcBorders>
            <w:hideMark/>
          </w:tcPr>
          <w:p w14:paraId="6C8873A4" w14:textId="77777777" w:rsidR="003838E7" w:rsidRPr="00AA645A" w:rsidRDefault="003838E7" w:rsidP="00B77107">
            <w:pPr>
              <w:pStyle w:val="SingleTxtG"/>
              <w:ind w:left="2552" w:hanging="2268"/>
              <w:rPr>
                <w:szCs w:val="22"/>
              </w:rPr>
            </w:pPr>
            <w:r w:rsidRPr="00AA645A">
              <w:rPr>
                <w:b/>
                <w:szCs w:val="22"/>
              </w:rPr>
              <w:t>Related documents:</w:t>
            </w:r>
            <w:r w:rsidRPr="00AA645A">
              <w:rPr>
                <w:szCs w:val="22"/>
              </w:rPr>
              <w:tab/>
            </w:r>
            <w:r>
              <w:rPr>
                <w:szCs w:val="22"/>
              </w:rPr>
              <w:t>ECE/TRANS/WP.11/2019/</w:t>
            </w:r>
            <w:r w:rsidRPr="00CD7560">
              <w:rPr>
                <w:szCs w:val="22"/>
              </w:rPr>
              <w:t>16</w:t>
            </w:r>
            <w:r w:rsidRPr="00AA645A">
              <w:rPr>
                <w:szCs w:val="22"/>
              </w:rPr>
              <w:t xml:space="preserve"> </w:t>
            </w:r>
          </w:p>
        </w:tc>
      </w:tr>
      <w:tr w:rsidR="003838E7" w14:paraId="3603E07D" w14:textId="77777777" w:rsidTr="003838E7">
        <w:trPr>
          <w:jc w:val="center"/>
        </w:trPr>
        <w:tc>
          <w:tcPr>
            <w:tcW w:w="9629" w:type="dxa"/>
            <w:tcBorders>
              <w:top w:val="nil"/>
              <w:left w:val="single" w:sz="4" w:space="0" w:color="auto"/>
              <w:bottom w:val="single" w:sz="4" w:space="0" w:color="auto"/>
              <w:right w:val="single" w:sz="4" w:space="0" w:color="auto"/>
            </w:tcBorders>
          </w:tcPr>
          <w:p w14:paraId="4A22D9A1" w14:textId="77777777" w:rsidR="003838E7" w:rsidRDefault="003838E7" w:rsidP="00B77107">
            <w:pPr>
              <w:suppressAutoHyphens w:val="0"/>
              <w:jc w:val="center"/>
            </w:pPr>
          </w:p>
        </w:tc>
      </w:tr>
    </w:tbl>
    <w:p w14:paraId="41F5DBD0" w14:textId="3B144F43" w:rsidR="003838E7" w:rsidRPr="003838E7" w:rsidRDefault="003A6A6A" w:rsidP="003838E7">
      <w:pPr>
        <w:pStyle w:val="HChG"/>
      </w:pPr>
      <w:r>
        <w:tab/>
      </w:r>
      <w:r w:rsidR="003838E7">
        <w:tab/>
      </w:r>
      <w:r w:rsidR="003838E7">
        <w:tab/>
      </w:r>
      <w:r w:rsidR="003838E7" w:rsidRPr="003838E7">
        <w:t>Introduction</w:t>
      </w:r>
    </w:p>
    <w:p w14:paraId="0FFE978D" w14:textId="3B330832" w:rsidR="003838E7" w:rsidRPr="003838E7" w:rsidRDefault="003838E7" w:rsidP="003838E7">
      <w:pPr>
        <w:pStyle w:val="SingleTxtG"/>
      </w:pPr>
      <w:r w:rsidRPr="003838E7">
        <w:t>1.</w:t>
      </w:r>
      <w:r w:rsidRPr="003838E7">
        <w:tab/>
        <w:t xml:space="preserve">The informal working group met 5 times between the beginning of May and July 2020 by </w:t>
      </w:r>
      <w:r w:rsidR="00BE364A">
        <w:t>v</w:t>
      </w:r>
      <w:r w:rsidR="00BE364A" w:rsidRPr="003838E7">
        <w:t xml:space="preserve">ideo </w:t>
      </w:r>
      <w:r w:rsidRPr="003838E7">
        <w:t>conferencing to discuss pending issues of the report of the working group in document ECE/TRANS/WP.11/2019/16 as discussed in the October 2019 session of WP.11, documents ECE/TRANS/WP.11/2019/2 and ECE/TRANS/WP.11/2019/3 and issues concerning the approval of Multi Temperature - Multi Compartment equipment.</w:t>
      </w:r>
    </w:p>
    <w:p w14:paraId="3508BFA9" w14:textId="15319F20" w:rsidR="003838E7" w:rsidRPr="003838E7" w:rsidRDefault="003838E7" w:rsidP="003838E7">
      <w:pPr>
        <w:pStyle w:val="SingleTxtG"/>
      </w:pPr>
      <w:r w:rsidRPr="003838E7">
        <w:t>2.</w:t>
      </w:r>
      <w:r w:rsidRPr="003838E7">
        <w:tab/>
        <w:t xml:space="preserve">A report of the informal working group, giving details of the discussions in the group and justifications for the proposals in this document, will be provided as an informal document. </w:t>
      </w:r>
    </w:p>
    <w:p w14:paraId="3980C221" w14:textId="74C4C02C" w:rsidR="003838E7" w:rsidRPr="003838E7" w:rsidRDefault="00FC50EB" w:rsidP="00FC50EB">
      <w:pPr>
        <w:pStyle w:val="HChG"/>
        <w:rPr>
          <w:lang w:val="en-US"/>
        </w:rPr>
      </w:pPr>
      <w:r>
        <w:rPr>
          <w:lang w:val="en-US"/>
        </w:rPr>
        <w:lastRenderedPageBreak/>
        <w:tab/>
      </w:r>
      <w:r>
        <w:rPr>
          <w:lang w:val="en-US"/>
        </w:rPr>
        <w:tab/>
      </w:r>
      <w:r w:rsidR="003838E7" w:rsidRPr="003838E7">
        <w:rPr>
          <w:lang w:val="en-US"/>
        </w:rPr>
        <w:t>Proposals for amendment of the ATP by the Informal Working Group.</w:t>
      </w:r>
    </w:p>
    <w:p w14:paraId="06CFF66F" w14:textId="08FA46D4" w:rsidR="003838E7" w:rsidRPr="003838E7" w:rsidRDefault="00FC50EB" w:rsidP="00FC50EB">
      <w:pPr>
        <w:pStyle w:val="H1G"/>
        <w:rPr>
          <w:lang w:val="en-US"/>
        </w:rPr>
      </w:pPr>
      <w:r>
        <w:rPr>
          <w:lang w:val="en-US"/>
        </w:rPr>
        <w:tab/>
      </w:r>
      <w:r>
        <w:rPr>
          <w:lang w:val="en-US"/>
        </w:rPr>
        <w:tab/>
      </w:r>
      <w:r w:rsidR="003838E7" w:rsidRPr="003838E7">
        <w:rPr>
          <w:lang w:val="en-US"/>
        </w:rPr>
        <w:t>Proposal 1 – Date of construction/manufacture</w:t>
      </w:r>
    </w:p>
    <w:p w14:paraId="3CB081A0" w14:textId="3E2F118A" w:rsidR="003838E7" w:rsidRPr="003838E7" w:rsidRDefault="00093C9F" w:rsidP="00093C9F">
      <w:pPr>
        <w:pStyle w:val="H23G"/>
        <w:rPr>
          <w:lang w:val="en-US"/>
        </w:rPr>
      </w:pPr>
      <w:r>
        <w:rPr>
          <w:lang w:val="en-US"/>
        </w:rPr>
        <w:tab/>
      </w:r>
      <w:r>
        <w:rPr>
          <w:lang w:val="en-US"/>
        </w:rPr>
        <w:tab/>
      </w:r>
      <w:r w:rsidR="003838E7" w:rsidRPr="003838E7">
        <w:rPr>
          <w:lang w:val="en-US"/>
        </w:rPr>
        <w:t>Annex 1, Appendix 2, section 8</w:t>
      </w:r>
    </w:p>
    <w:p w14:paraId="244C3EAE" w14:textId="6AD6A022" w:rsidR="003838E7" w:rsidRPr="003838E7" w:rsidRDefault="00093C9F" w:rsidP="003838E7">
      <w:pPr>
        <w:pStyle w:val="SingleTxtG"/>
        <w:rPr>
          <w:lang w:val="en-US"/>
        </w:rPr>
      </w:pPr>
      <w:r>
        <w:rPr>
          <w:lang w:val="en-US"/>
        </w:rPr>
        <w:t>3.</w:t>
      </w:r>
      <w:r>
        <w:rPr>
          <w:lang w:val="en-US"/>
        </w:rPr>
        <w:tab/>
      </w:r>
      <w:r w:rsidR="003838E7" w:rsidRPr="003838E7">
        <w:rPr>
          <w:lang w:val="en-US"/>
        </w:rPr>
        <w:t>For Model reports 1A&amp;B amend the text “Date of construction” to read “Date of construction (month/year)</w:t>
      </w:r>
    </w:p>
    <w:p w14:paraId="1C0D5C20" w14:textId="55A95F9D" w:rsidR="003838E7" w:rsidRPr="003838E7" w:rsidRDefault="00093C9F" w:rsidP="003838E7">
      <w:pPr>
        <w:pStyle w:val="SingleTxtG"/>
        <w:rPr>
          <w:lang w:val="en-US"/>
        </w:rPr>
      </w:pPr>
      <w:r>
        <w:rPr>
          <w:lang w:val="en-US"/>
        </w:rPr>
        <w:t>4.</w:t>
      </w:r>
      <w:r>
        <w:rPr>
          <w:lang w:val="en-US"/>
        </w:rPr>
        <w:tab/>
      </w:r>
      <w:r w:rsidR="003838E7" w:rsidRPr="003838E7">
        <w:rPr>
          <w:lang w:val="en-US"/>
        </w:rPr>
        <w:t>For Model reports 4A to 4C, 5, 6, 7, 8, 9, 10, 11 amend the text “Year of manufacture” to read “Date manufacture (month/year).</w:t>
      </w:r>
    </w:p>
    <w:p w14:paraId="4793F2F8" w14:textId="0B427FDF" w:rsidR="003838E7" w:rsidRPr="003838E7" w:rsidRDefault="00093C9F" w:rsidP="003838E7">
      <w:pPr>
        <w:pStyle w:val="SingleTxtG"/>
        <w:rPr>
          <w:lang w:val="en-US"/>
        </w:rPr>
      </w:pPr>
      <w:r>
        <w:rPr>
          <w:lang w:val="en-US"/>
        </w:rPr>
        <w:t>5.</w:t>
      </w:r>
      <w:r>
        <w:rPr>
          <w:lang w:val="en-US"/>
        </w:rPr>
        <w:tab/>
      </w:r>
      <w:r w:rsidR="003838E7" w:rsidRPr="003838E7">
        <w:rPr>
          <w:lang w:val="en-US"/>
        </w:rPr>
        <w:t xml:space="preserve">For Model test report No 12 amend the text “Date of manufacture” to read “Date of manufacture month/year). </w:t>
      </w:r>
    </w:p>
    <w:p w14:paraId="62D1C4CE" w14:textId="4795D2C7" w:rsidR="003838E7" w:rsidRPr="003838E7" w:rsidRDefault="00FC50EB" w:rsidP="00FC50EB">
      <w:pPr>
        <w:pStyle w:val="H1G"/>
        <w:rPr>
          <w:lang w:val="en-US"/>
        </w:rPr>
      </w:pPr>
      <w:r>
        <w:rPr>
          <w:lang w:val="en-US"/>
        </w:rPr>
        <w:tab/>
      </w:r>
      <w:r>
        <w:rPr>
          <w:lang w:val="en-US"/>
        </w:rPr>
        <w:tab/>
      </w:r>
      <w:r w:rsidR="003838E7" w:rsidRPr="003838E7">
        <w:rPr>
          <w:lang w:val="en-US"/>
        </w:rPr>
        <w:t>Proposal 2 – Consistency of wording - English version only</w:t>
      </w:r>
    </w:p>
    <w:p w14:paraId="2BE70AAC" w14:textId="308CD5E8" w:rsidR="003838E7" w:rsidRPr="003838E7" w:rsidRDefault="00093C9F" w:rsidP="00093C9F">
      <w:pPr>
        <w:pStyle w:val="H23G"/>
        <w:rPr>
          <w:lang w:val="en-US"/>
        </w:rPr>
      </w:pPr>
      <w:r>
        <w:rPr>
          <w:lang w:val="en-US"/>
        </w:rPr>
        <w:tab/>
      </w:r>
      <w:r>
        <w:rPr>
          <w:lang w:val="en-US"/>
        </w:rPr>
        <w:tab/>
      </w:r>
      <w:r w:rsidR="003838E7" w:rsidRPr="003838E7">
        <w:rPr>
          <w:lang w:val="en-US"/>
        </w:rPr>
        <w:t>Annex 1, Appendix 2 section 8 Model No. 12</w:t>
      </w:r>
    </w:p>
    <w:p w14:paraId="304EEE01" w14:textId="092EA899" w:rsidR="003838E7" w:rsidRPr="003838E7" w:rsidRDefault="00093C9F" w:rsidP="003838E7">
      <w:pPr>
        <w:pStyle w:val="SingleTxtG"/>
        <w:rPr>
          <w:lang w:val="en-US"/>
        </w:rPr>
      </w:pPr>
      <w:r>
        <w:rPr>
          <w:lang w:val="en-US"/>
        </w:rPr>
        <w:t>6.</w:t>
      </w:r>
      <w:r>
        <w:rPr>
          <w:lang w:val="en-US"/>
        </w:rPr>
        <w:tab/>
      </w:r>
      <w:r w:rsidR="003838E7" w:rsidRPr="003838E7">
        <w:rPr>
          <w:lang w:val="en-US"/>
        </w:rPr>
        <w:t>Replace “Self-contained/not self-contained” by “Drive independent/dependent”.</w:t>
      </w:r>
    </w:p>
    <w:p w14:paraId="2093D08D" w14:textId="2FD139EC" w:rsidR="003838E7" w:rsidRPr="003838E7" w:rsidRDefault="00FC50EB" w:rsidP="00FC50EB">
      <w:pPr>
        <w:pStyle w:val="H1G"/>
        <w:rPr>
          <w:lang w:val="en-US"/>
        </w:rPr>
      </w:pPr>
      <w:r>
        <w:rPr>
          <w:lang w:val="en-US"/>
        </w:rPr>
        <w:tab/>
      </w:r>
      <w:r>
        <w:rPr>
          <w:lang w:val="en-US"/>
        </w:rPr>
        <w:tab/>
      </w:r>
      <w:r w:rsidR="003838E7" w:rsidRPr="003838E7">
        <w:rPr>
          <w:lang w:val="en-US"/>
        </w:rPr>
        <w:t>Proposal 3 – Definitions</w:t>
      </w:r>
    </w:p>
    <w:p w14:paraId="61F7E825" w14:textId="103013BB" w:rsidR="003838E7" w:rsidRPr="003838E7" w:rsidRDefault="00093C9F" w:rsidP="00093C9F">
      <w:pPr>
        <w:pStyle w:val="H23G"/>
        <w:rPr>
          <w:lang w:val="en-US"/>
        </w:rPr>
      </w:pPr>
      <w:r>
        <w:rPr>
          <w:lang w:val="en-US"/>
        </w:rPr>
        <w:tab/>
      </w:r>
      <w:r>
        <w:rPr>
          <w:lang w:val="en-US"/>
        </w:rPr>
        <w:tab/>
      </w:r>
      <w:r w:rsidR="003838E7" w:rsidRPr="003838E7">
        <w:rPr>
          <w:lang w:val="en-US"/>
        </w:rPr>
        <w:t>Annex 1</w:t>
      </w:r>
    </w:p>
    <w:p w14:paraId="3710250D" w14:textId="192871B9" w:rsidR="003838E7" w:rsidRPr="003838E7" w:rsidRDefault="00093C9F" w:rsidP="003838E7">
      <w:pPr>
        <w:pStyle w:val="SingleTxtG"/>
        <w:rPr>
          <w:lang w:val="en-US"/>
        </w:rPr>
      </w:pPr>
      <w:r>
        <w:rPr>
          <w:lang w:val="en-US"/>
        </w:rPr>
        <w:t>7.</w:t>
      </w:r>
      <w:r>
        <w:rPr>
          <w:lang w:val="en-US"/>
        </w:rPr>
        <w:tab/>
      </w:r>
      <w:r w:rsidR="003838E7" w:rsidRPr="003838E7">
        <w:rPr>
          <w:lang w:val="en-US"/>
        </w:rPr>
        <w:t>Introduce a new section 7 with the heading “Definitions”.</w:t>
      </w:r>
    </w:p>
    <w:p w14:paraId="631C16BE" w14:textId="495E1842" w:rsidR="003838E7" w:rsidRPr="003838E7" w:rsidRDefault="00093C9F" w:rsidP="003838E7">
      <w:pPr>
        <w:pStyle w:val="SingleTxtG"/>
        <w:rPr>
          <w:lang w:val="en-US"/>
        </w:rPr>
      </w:pPr>
      <w:r>
        <w:rPr>
          <w:lang w:val="en-US"/>
        </w:rPr>
        <w:t>8.</w:t>
      </w:r>
      <w:r>
        <w:rPr>
          <w:lang w:val="en-US"/>
        </w:rPr>
        <w:tab/>
      </w:r>
      <w:r w:rsidR="003838E7" w:rsidRPr="003838E7">
        <w:rPr>
          <w:lang w:val="en-US"/>
        </w:rPr>
        <w:t>Introduce the following new definition alphabetical order (depending on language):</w:t>
      </w:r>
    </w:p>
    <w:p w14:paraId="15262EB7" w14:textId="77777777" w:rsidR="003838E7" w:rsidRPr="003838E7" w:rsidRDefault="003838E7" w:rsidP="00271EFE">
      <w:pPr>
        <w:pStyle w:val="SingleTxtG"/>
        <w:ind w:left="1418"/>
        <w:rPr>
          <w:lang w:val="en-US"/>
        </w:rPr>
      </w:pPr>
      <w:r w:rsidRPr="003838E7">
        <w:rPr>
          <w:i/>
          <w:iCs/>
          <w:lang w:val="en-US"/>
        </w:rPr>
        <w:t>Equipment means</w:t>
      </w:r>
      <w:r w:rsidRPr="003838E7">
        <w:rPr>
          <w:lang w:val="en-US"/>
        </w:rPr>
        <w:t xml:space="preserve"> an assembly of parts forming an insulated body and its supportive structure needed for carriage on road and rail. </w:t>
      </w:r>
      <w:r w:rsidRPr="003838E7">
        <w:t xml:space="preserve">Thermal appliances may be part of the assembly. </w:t>
      </w:r>
    </w:p>
    <w:p w14:paraId="74DAD355" w14:textId="77777777" w:rsidR="003838E7" w:rsidRPr="003838E7" w:rsidRDefault="003838E7" w:rsidP="00271EFE">
      <w:pPr>
        <w:pStyle w:val="SingleTxtG"/>
        <w:ind w:left="1418"/>
      </w:pPr>
      <w:r w:rsidRPr="003838E7">
        <w:rPr>
          <w:i/>
          <w:iCs/>
          <w:lang w:val="en-US"/>
        </w:rPr>
        <w:t>Heating appliance means</w:t>
      </w:r>
      <w:r w:rsidRPr="003838E7">
        <w:rPr>
          <w:lang w:val="en-US"/>
        </w:rPr>
        <w:t xml:space="preserve"> a thermal appliance that generates thermal energy to increase(heat) the temperature inside.</w:t>
      </w:r>
    </w:p>
    <w:p w14:paraId="09EA4E35" w14:textId="77777777" w:rsidR="003838E7" w:rsidRPr="003838E7" w:rsidRDefault="003838E7" w:rsidP="00271EFE">
      <w:pPr>
        <w:pStyle w:val="SingleTxtG"/>
        <w:ind w:left="1418"/>
        <w:rPr>
          <w:lang w:val="en-US"/>
        </w:rPr>
      </w:pPr>
      <w:r w:rsidRPr="003838E7">
        <w:rPr>
          <w:i/>
          <w:iCs/>
          <w:lang w:val="en-US"/>
        </w:rPr>
        <w:t>Mechanically heated and refrigerated appliance means</w:t>
      </w:r>
      <w:r w:rsidRPr="003838E7">
        <w:rPr>
          <w:lang w:val="en-US"/>
        </w:rPr>
        <w:t xml:space="preserve"> a mechanical refrigerating appliance that is able to decrease(cool) or increase(heat) the temperature inside the equipment that is tested to certify both the capacity to cool and to heat.</w:t>
      </w:r>
    </w:p>
    <w:p w14:paraId="7CC6F123" w14:textId="2A54586C" w:rsidR="003838E7" w:rsidRPr="003838E7" w:rsidRDefault="003838E7" w:rsidP="00271EFE">
      <w:pPr>
        <w:pStyle w:val="SingleTxtG"/>
        <w:ind w:left="1418"/>
      </w:pPr>
      <w:r w:rsidRPr="003838E7">
        <w:rPr>
          <w:i/>
          <w:iCs/>
          <w:lang w:val="en-US"/>
        </w:rPr>
        <w:t>Mechanically refrigerating appliance means</w:t>
      </w:r>
      <w:r w:rsidRPr="003838E7">
        <w:rPr>
          <w:lang w:val="en-US"/>
        </w:rPr>
        <w:t xml:space="preserve"> a thermal appliances that generates thermal energy to decrease (cool) the temperature inside the equipment by a mechanical drive system.</w:t>
      </w:r>
    </w:p>
    <w:p w14:paraId="771DBA28" w14:textId="77777777" w:rsidR="003838E7" w:rsidRPr="003838E7" w:rsidRDefault="003838E7" w:rsidP="00271EFE">
      <w:pPr>
        <w:pStyle w:val="SingleTxtG"/>
        <w:ind w:left="1418"/>
      </w:pPr>
      <w:r w:rsidRPr="003838E7">
        <w:rPr>
          <w:i/>
          <w:iCs/>
          <w:lang w:val="en-US"/>
        </w:rPr>
        <w:t>Refrigerating appliance means</w:t>
      </w:r>
      <w:r w:rsidRPr="003838E7">
        <w:rPr>
          <w:lang w:val="en-US"/>
        </w:rPr>
        <w:t xml:space="preserve"> a thermal appliance that generates thermal energy to decrease (cool) the temperature inside the equipment by melting, evaporation or sublimation of for example natural ice, brine (eutectic) liquefied gas or dry-ice.</w:t>
      </w:r>
    </w:p>
    <w:p w14:paraId="4A7B86D8" w14:textId="0C5B6C3F" w:rsidR="003838E7" w:rsidRPr="003838E7" w:rsidRDefault="003838E7" w:rsidP="00271EFE">
      <w:pPr>
        <w:pStyle w:val="SingleTxtG"/>
        <w:ind w:left="1418"/>
        <w:rPr>
          <w:lang w:val="en-US"/>
        </w:rPr>
      </w:pPr>
      <w:r w:rsidRPr="003838E7">
        <w:rPr>
          <w:i/>
          <w:iCs/>
          <w:lang w:val="en-US"/>
        </w:rPr>
        <w:t>Thermal appliance means</w:t>
      </w:r>
      <w:r w:rsidRPr="003838E7">
        <w:rPr>
          <w:lang w:val="en-US"/>
        </w:rPr>
        <w:t xml:space="preserve"> a device to generate thermal energy, to decrease(cool) or increase(heat) the temperature inside the equipment. </w:t>
      </w:r>
    </w:p>
    <w:p w14:paraId="54541F6B" w14:textId="2A5FD547" w:rsidR="003838E7" w:rsidRPr="003838E7" w:rsidRDefault="00FC50EB" w:rsidP="00FC50EB">
      <w:pPr>
        <w:pStyle w:val="H1G"/>
        <w:rPr>
          <w:lang w:val="en-US"/>
        </w:rPr>
      </w:pPr>
      <w:r>
        <w:rPr>
          <w:lang w:val="en-US"/>
        </w:rPr>
        <w:tab/>
      </w:r>
      <w:r>
        <w:rPr>
          <w:lang w:val="en-US"/>
        </w:rPr>
        <w:tab/>
      </w:r>
      <w:r w:rsidR="003838E7" w:rsidRPr="003838E7">
        <w:rPr>
          <w:lang w:val="en-US"/>
        </w:rPr>
        <w:t>Proposal 4 – Multi Temp-Multi Compartment equipment</w:t>
      </w:r>
    </w:p>
    <w:p w14:paraId="3174B988" w14:textId="00298FEE" w:rsidR="003838E7" w:rsidRPr="003838E7" w:rsidRDefault="00240844" w:rsidP="003838E7">
      <w:pPr>
        <w:pStyle w:val="SingleTxtG"/>
        <w:rPr>
          <w:lang w:val="en-US"/>
        </w:rPr>
      </w:pPr>
      <w:r>
        <w:rPr>
          <w:lang w:val="en-US"/>
        </w:rPr>
        <w:t>9.</w:t>
      </w:r>
      <w:r>
        <w:rPr>
          <w:lang w:val="en-US"/>
        </w:rPr>
        <w:tab/>
      </w:r>
      <w:r w:rsidR="003838E7" w:rsidRPr="003838E7">
        <w:rPr>
          <w:lang w:val="en-US"/>
        </w:rPr>
        <w:t>Introduce a new sentence at the end of Annex 1, Appendix 1 paragraph 3 (b).to read;</w:t>
      </w:r>
    </w:p>
    <w:p w14:paraId="69312014" w14:textId="77777777" w:rsidR="003838E7" w:rsidRPr="003838E7" w:rsidRDefault="003838E7" w:rsidP="00271EFE">
      <w:pPr>
        <w:pStyle w:val="SingleTxtG"/>
        <w:ind w:left="1418"/>
        <w:rPr>
          <w:iCs/>
          <w:lang w:val="en-US"/>
        </w:rPr>
      </w:pPr>
      <w:r w:rsidRPr="003838E7">
        <w:rPr>
          <w:iCs/>
          <w:lang w:val="en-US"/>
        </w:rPr>
        <w:t>“For Multi Temperature, Multi Compartment equipment also the declaration of conformity (see 7.3.6) shall be provided.”</w:t>
      </w:r>
    </w:p>
    <w:p w14:paraId="0AD55D76" w14:textId="565F0461" w:rsidR="003838E7" w:rsidRPr="003838E7" w:rsidRDefault="00240844" w:rsidP="003838E7">
      <w:pPr>
        <w:pStyle w:val="SingleTxtG"/>
        <w:rPr>
          <w:lang w:val="en-US"/>
        </w:rPr>
      </w:pPr>
      <w:r>
        <w:rPr>
          <w:lang w:val="en-US"/>
        </w:rPr>
        <w:t>10.</w:t>
      </w:r>
      <w:r>
        <w:rPr>
          <w:lang w:val="en-US"/>
        </w:rPr>
        <w:tab/>
      </w:r>
      <w:r w:rsidR="003838E7" w:rsidRPr="003838E7">
        <w:rPr>
          <w:lang w:val="en-US"/>
        </w:rPr>
        <w:t>Introduce a new sentence at the end of Annex 1, Appendix 1, paragraph 3 (c) to read;</w:t>
      </w:r>
    </w:p>
    <w:p w14:paraId="366F293F" w14:textId="5EFA48DA" w:rsidR="003838E7" w:rsidRPr="003838E7" w:rsidRDefault="003838E7" w:rsidP="00271EFE">
      <w:pPr>
        <w:pStyle w:val="SingleTxtG"/>
        <w:ind w:left="1418"/>
        <w:rPr>
          <w:iCs/>
          <w:lang w:val="en-US"/>
        </w:rPr>
      </w:pPr>
      <w:r w:rsidRPr="003838E7">
        <w:rPr>
          <w:iCs/>
          <w:lang w:val="en-US"/>
        </w:rPr>
        <w:t>“For Multi Temperature, Multi Compartment equipment also a calculation sheet (see 7.3.6) based on the iterative method shall be provided.</w:t>
      </w:r>
      <w:r w:rsidR="00271EFE" w:rsidRPr="003838E7">
        <w:rPr>
          <w:iCs/>
          <w:lang w:val="en-US"/>
        </w:rPr>
        <w:t>”</w:t>
      </w:r>
    </w:p>
    <w:p w14:paraId="2511F808" w14:textId="621683B6" w:rsidR="003838E7" w:rsidRPr="003838E7" w:rsidRDefault="00240844" w:rsidP="003838E7">
      <w:pPr>
        <w:pStyle w:val="SingleTxtG"/>
        <w:rPr>
          <w:lang w:val="en-US"/>
        </w:rPr>
      </w:pPr>
      <w:r>
        <w:rPr>
          <w:lang w:val="en-US"/>
        </w:rPr>
        <w:lastRenderedPageBreak/>
        <w:t>11.</w:t>
      </w:r>
      <w:r>
        <w:rPr>
          <w:lang w:val="en-US"/>
        </w:rPr>
        <w:tab/>
      </w:r>
      <w:r w:rsidR="003838E7" w:rsidRPr="003838E7">
        <w:rPr>
          <w:lang w:val="en-US"/>
        </w:rPr>
        <w:t>Amend the second paragraph of 7.3.6 by deleting the last section to read:</w:t>
      </w:r>
    </w:p>
    <w:p w14:paraId="3D650EA4" w14:textId="77777777" w:rsidR="003838E7" w:rsidRPr="003838E7" w:rsidRDefault="003838E7" w:rsidP="00271EFE">
      <w:pPr>
        <w:pStyle w:val="SingleTxtG"/>
        <w:ind w:left="1418"/>
        <w:rPr>
          <w:lang w:val="en-US"/>
        </w:rPr>
      </w:pPr>
      <w:r w:rsidRPr="003838E7">
        <w:rPr>
          <w:lang w:val="en-US"/>
        </w:rPr>
        <w:t xml:space="preserve">“It shall be considered that all the positions of the bulkheads have been dimensioned if the wall positions from the smallest to the largest compartment sizes are checked by iterative methods </w:t>
      </w:r>
      <w:r w:rsidRPr="00B23F12">
        <w:rPr>
          <w:strike/>
          <w:lang w:val="en-US"/>
        </w:rPr>
        <w:t>whereby no input step change in surface area is greater than 20%</w:t>
      </w:r>
      <w:r w:rsidRPr="003838E7">
        <w:rPr>
          <w:lang w:val="en-US"/>
        </w:rPr>
        <w:t>.”</w:t>
      </w:r>
    </w:p>
    <w:p w14:paraId="48BC6418" w14:textId="411701B9" w:rsidR="003838E7" w:rsidRPr="003838E7" w:rsidRDefault="00240844" w:rsidP="003838E7">
      <w:pPr>
        <w:pStyle w:val="SingleTxtG"/>
        <w:rPr>
          <w:lang w:val="en-US"/>
        </w:rPr>
      </w:pPr>
      <w:r>
        <w:rPr>
          <w:lang w:val="en-US"/>
        </w:rPr>
        <w:t>12.</w:t>
      </w:r>
      <w:r>
        <w:rPr>
          <w:lang w:val="en-US"/>
        </w:rPr>
        <w:tab/>
      </w:r>
      <w:r w:rsidR="003838E7" w:rsidRPr="003838E7">
        <w:rPr>
          <w:lang w:val="en-US"/>
        </w:rPr>
        <w:t>Amend the third paragraph of 7.3.6 by adding a new last sentence to read:</w:t>
      </w:r>
    </w:p>
    <w:p w14:paraId="2DB7F9C7" w14:textId="77777777" w:rsidR="003838E7" w:rsidRPr="003838E7" w:rsidRDefault="003838E7" w:rsidP="00271EFE">
      <w:pPr>
        <w:pStyle w:val="SingleTxtG"/>
        <w:ind w:left="1418"/>
        <w:rPr>
          <w:lang w:val="en-US"/>
        </w:rPr>
      </w:pPr>
      <w:r w:rsidRPr="003838E7">
        <w:rPr>
          <w:lang w:val="en-US"/>
        </w:rPr>
        <w:t>“The declaration shall conform to the lay-out given in Model No. 14 of this Appendix.”</w:t>
      </w:r>
    </w:p>
    <w:p w14:paraId="131DF7F0" w14:textId="6F5C6D04" w:rsidR="003A6A6A" w:rsidRDefault="00240844" w:rsidP="003838E7">
      <w:pPr>
        <w:pStyle w:val="SingleTxtG"/>
        <w:rPr>
          <w:lang w:val="en-US"/>
        </w:rPr>
      </w:pPr>
      <w:r>
        <w:rPr>
          <w:lang w:val="en-US"/>
        </w:rPr>
        <w:t>13.</w:t>
      </w:r>
      <w:r>
        <w:rPr>
          <w:lang w:val="en-US"/>
        </w:rPr>
        <w:tab/>
      </w:r>
      <w:r w:rsidR="003838E7" w:rsidRPr="003838E7">
        <w:rPr>
          <w:lang w:val="en-US"/>
        </w:rPr>
        <w:t>In Annex 1, Appendix 2 section 8 add a new Model No. 14 as reproduced in the Annex to this document.</w:t>
      </w:r>
    </w:p>
    <w:p w14:paraId="47CF2039" w14:textId="4B9A798C" w:rsidR="00C777E9" w:rsidRDefault="00C777E9" w:rsidP="003838E7">
      <w:pPr>
        <w:pStyle w:val="SingleTxtG"/>
        <w:rPr>
          <w:lang w:val="en-US"/>
        </w:rPr>
      </w:pPr>
      <w:r>
        <w:rPr>
          <w:lang w:val="en-US"/>
        </w:rPr>
        <w:br w:type="page"/>
      </w:r>
    </w:p>
    <w:p w14:paraId="7519A5BE" w14:textId="04D9C9C9" w:rsidR="00C777E9" w:rsidRDefault="00C777E9" w:rsidP="00C777E9">
      <w:pPr>
        <w:pStyle w:val="HChG"/>
        <w:rPr>
          <w:lang w:val="en-US"/>
        </w:rPr>
      </w:pPr>
      <w:r w:rsidRPr="00495E29">
        <w:rPr>
          <w:lang w:val="en-US"/>
        </w:rPr>
        <w:lastRenderedPageBreak/>
        <w:t>Annex 1</w:t>
      </w:r>
    </w:p>
    <w:p w14:paraId="1A9A55A2" w14:textId="5BC4126F" w:rsidR="00C777E9" w:rsidRDefault="00C777E9" w:rsidP="00921F99">
      <w:pPr>
        <w:pStyle w:val="HChG"/>
        <w:rPr>
          <w:lang w:val="en-US"/>
        </w:rPr>
      </w:pPr>
      <w:r>
        <w:rPr>
          <w:lang w:val="en-US"/>
        </w:rPr>
        <w:tab/>
      </w:r>
      <w:r>
        <w:rPr>
          <w:lang w:val="en-US"/>
        </w:rPr>
        <w:tab/>
      </w:r>
      <w:r w:rsidRPr="00495E29">
        <w:rPr>
          <w:lang w:val="en-US"/>
        </w:rPr>
        <w:t>Model No. 14</w:t>
      </w:r>
    </w:p>
    <w:p w14:paraId="17F0EE4E" w14:textId="77777777" w:rsidR="00C777E9" w:rsidRDefault="00C777E9" w:rsidP="00C777E9">
      <w:pPr>
        <w:pStyle w:val="SingleTxtG"/>
        <w:rPr>
          <w:lang w:val="en-US"/>
        </w:rPr>
      </w:pPr>
      <w:r>
        <w:rPr>
          <w:lang w:val="en-US"/>
        </w:rPr>
        <w:t xml:space="preserve">Declaration of conformity for </w:t>
      </w:r>
      <w:r w:rsidRPr="00B55897">
        <w:rPr>
          <w:lang w:val="en-US"/>
        </w:rPr>
        <w:t>Multi Temperature – Multi compartment equipment</w:t>
      </w:r>
    </w:p>
    <w:p w14:paraId="10F2E2E2" w14:textId="77777777" w:rsidR="00C777E9" w:rsidRDefault="00C777E9" w:rsidP="00C777E9">
      <w:pPr>
        <w:pStyle w:val="SingleTxtG"/>
        <w:rPr>
          <w:lang w:val="en-US"/>
        </w:rPr>
      </w:pPr>
      <w:r>
        <w:rPr>
          <w:lang w:val="en-US"/>
        </w:rPr>
        <w:t>Supplementary document tot the Certificate of Compliance as per Annex 1, appendix 2 paragraph 7.3.6</w:t>
      </w:r>
    </w:p>
    <w:p w14:paraId="50F6A296" w14:textId="77777777" w:rsidR="00C777E9" w:rsidRDefault="00C777E9" w:rsidP="00C777E9">
      <w:pPr>
        <w:pBdr>
          <w:bottom w:val="single" w:sz="12" w:space="1" w:color="auto"/>
        </w:pBdr>
        <w:rPr>
          <w:lang w:val="en-US"/>
        </w:rPr>
      </w:pPr>
    </w:p>
    <w:p w14:paraId="20C82DF5" w14:textId="77777777" w:rsidR="00C777E9" w:rsidRPr="005C2F44" w:rsidRDefault="00C777E9" w:rsidP="00C777E9">
      <w:pPr>
        <w:pStyle w:val="SingleTxtG"/>
        <w:rPr>
          <w:lang w:val="en-US"/>
        </w:rPr>
      </w:pPr>
      <w:r w:rsidRPr="005C2F44">
        <w:rPr>
          <w:lang w:val="en-US"/>
        </w:rPr>
        <w:t>Top view sketch of the lay-out of the equipment :</w:t>
      </w:r>
    </w:p>
    <w:p w14:paraId="6A3C3152" w14:textId="77777777" w:rsidR="00C777E9" w:rsidRDefault="00C777E9" w:rsidP="00C777E9">
      <w:pPr>
        <w:pStyle w:val="SingleTxtG"/>
        <w:rPr>
          <w:lang w:val="en-US"/>
        </w:rPr>
      </w:pPr>
      <w:r w:rsidRPr="00B55897">
        <w:rPr>
          <w:lang w:val="en-US"/>
        </w:rPr>
        <w:t>Indicating:</w:t>
      </w:r>
    </w:p>
    <w:p w14:paraId="248304FF" w14:textId="77777777" w:rsidR="00C777E9" w:rsidRDefault="00C777E9" w:rsidP="00C777E9">
      <w:pPr>
        <w:pStyle w:val="SingleTxtG"/>
        <w:rPr>
          <w:lang w:val="en-US"/>
        </w:rPr>
      </w:pPr>
      <w:r w:rsidRPr="00B55897">
        <w:rPr>
          <w:lang w:val="en-US"/>
        </w:rPr>
        <w:t>-front and rear</w:t>
      </w:r>
      <w:r>
        <w:rPr>
          <w:lang w:val="en-US"/>
        </w:rPr>
        <w:t>, numbering of compartments</w:t>
      </w:r>
    </w:p>
    <w:p w14:paraId="3898C33E" w14:textId="1AC22145" w:rsidR="00C777E9" w:rsidRDefault="00C777E9" w:rsidP="00C777E9">
      <w:pPr>
        <w:pStyle w:val="SingleTxtG"/>
        <w:rPr>
          <w:lang w:val="en-US"/>
        </w:rPr>
      </w:pPr>
      <w:r w:rsidRPr="00B55897">
        <w:rPr>
          <w:lang w:val="en-US"/>
        </w:rPr>
        <w:t xml:space="preserve">-lay-out of the compartments with </w:t>
      </w:r>
      <w:r>
        <w:rPr>
          <w:lang w:val="en-US"/>
        </w:rPr>
        <w:t xml:space="preserve">fixed and movable bulkheads and the following </w:t>
      </w:r>
      <w:r w:rsidRPr="00B55897">
        <w:rPr>
          <w:lang w:val="en-US"/>
        </w:rPr>
        <w:t>dimension</w:t>
      </w:r>
      <w:r>
        <w:rPr>
          <w:lang w:val="en-US"/>
        </w:rPr>
        <w:t>s in centimeters: inside dimensions of the body, thickness and lengths of the bulkheads</w:t>
      </w:r>
      <w:r w:rsidRPr="00B55897">
        <w:rPr>
          <w:lang w:val="en-US"/>
        </w:rPr>
        <w:t>.</w:t>
      </w:r>
    </w:p>
    <w:p w14:paraId="1D6E247E" w14:textId="77777777" w:rsidR="00C777E9" w:rsidRDefault="00C777E9" w:rsidP="00C777E9">
      <w:pPr>
        <w:pStyle w:val="SingleTxtG"/>
        <w:rPr>
          <w:lang w:val="en-US"/>
        </w:rPr>
      </w:pPr>
      <w:r w:rsidRPr="00B55897">
        <w:rPr>
          <w:lang w:val="en-US"/>
        </w:rPr>
        <w:t>-most extreme position of movable dividing walls</w:t>
      </w:r>
    </w:p>
    <w:p w14:paraId="3CC1D9F3" w14:textId="77777777" w:rsidR="00C777E9" w:rsidRDefault="00C777E9" w:rsidP="00C777E9">
      <w:pPr>
        <w:pStyle w:val="SingleTxtG"/>
        <w:rPr>
          <w:lang w:val="en-US"/>
        </w:rPr>
      </w:pPr>
      <w:r w:rsidRPr="00B55897">
        <w:rPr>
          <w:lang w:val="en-US"/>
        </w:rPr>
        <w:t>- Position of the host unit(s) and evaporators</w:t>
      </w:r>
    </w:p>
    <w:p w14:paraId="3A97E533" w14:textId="70D52A3A" w:rsidR="00C777E9" w:rsidRDefault="00C777E9" w:rsidP="00C777E9">
      <w:pPr>
        <w:pStyle w:val="SingleTxtG"/>
        <w:rPr>
          <w:lang w:val="en-US"/>
        </w:rPr>
      </w:pPr>
      <w:r w:rsidRPr="00B55897">
        <w:rPr>
          <w:lang w:val="en-US"/>
        </w:rPr>
        <w:t xml:space="preserve">-material of the floor </w:t>
      </w:r>
      <w:r>
        <w:rPr>
          <w:lang w:val="en-US"/>
        </w:rPr>
        <w:t>.</w:t>
      </w:r>
    </w:p>
    <w:p w14:paraId="70409D28" w14:textId="77777777" w:rsidR="00C777E9" w:rsidRDefault="00C777E9" w:rsidP="00C777E9">
      <w:pPr>
        <w:pStyle w:val="SingleTxtG"/>
        <w:rPr>
          <w:lang w:val="en-US"/>
        </w:rPr>
      </w:pPr>
      <w:r w:rsidRPr="004262B1">
        <w:rPr>
          <w:lang w:val="en-US"/>
        </w:rPr>
        <w:t>(Example of top</w:t>
      </w:r>
      <w:r>
        <w:rPr>
          <w:lang w:val="en-US"/>
        </w:rPr>
        <w:t xml:space="preserve"> </w:t>
      </w:r>
      <w:r w:rsidRPr="004262B1">
        <w:rPr>
          <w:lang w:val="en-US"/>
        </w:rPr>
        <w:t>view sketch)</w:t>
      </w:r>
    </w:p>
    <w:p w14:paraId="79D9FA3E" w14:textId="77777777" w:rsidR="00C777E9" w:rsidRDefault="00C777E9" w:rsidP="00C777E9">
      <w:pPr>
        <w:rPr>
          <w:lang w:val="en-US"/>
        </w:rPr>
      </w:pPr>
      <w:r>
        <w:rPr>
          <w:noProof/>
        </w:rPr>
        <w:drawing>
          <wp:inline distT="0" distB="0" distL="0" distR="0" wp14:anchorId="69D52CA8" wp14:editId="321F0BB7">
            <wp:extent cx="4746812" cy="2073541"/>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8029" cy="2148334"/>
                    </a:xfrm>
                    <a:prstGeom prst="rect">
                      <a:avLst/>
                    </a:prstGeom>
                    <a:noFill/>
                    <a:ln>
                      <a:noFill/>
                    </a:ln>
                  </pic:spPr>
                </pic:pic>
              </a:graphicData>
            </a:graphic>
          </wp:inline>
        </w:drawing>
      </w:r>
    </w:p>
    <w:p w14:paraId="617ED71C" w14:textId="77777777" w:rsidR="00C777E9" w:rsidRDefault="00C777E9" w:rsidP="00C777E9">
      <w:pPr>
        <w:pBdr>
          <w:bottom w:val="single" w:sz="12" w:space="1" w:color="auto"/>
        </w:pBdr>
        <w:rPr>
          <w:i/>
          <w:iCs/>
          <w:sz w:val="16"/>
          <w:szCs w:val="16"/>
          <w:lang w:val="en-US"/>
        </w:rPr>
      </w:pPr>
    </w:p>
    <w:p w14:paraId="5A0F2789" w14:textId="77777777" w:rsidR="00C777E9" w:rsidRDefault="00C777E9" w:rsidP="00C777E9">
      <w:pPr>
        <w:pStyle w:val="SingleTxtG"/>
        <w:jc w:val="left"/>
        <w:rPr>
          <w:lang w:val="en-US"/>
        </w:rPr>
      </w:pPr>
      <w:r>
        <w:rPr>
          <w:lang w:val="en-US"/>
        </w:rPr>
        <w:t>Insulated body:</w:t>
      </w:r>
      <w:r>
        <w:rPr>
          <w:lang w:val="en-US"/>
        </w:rPr>
        <w:br/>
        <w:t>ATP test report number:</w:t>
      </w:r>
      <w:r>
        <w:rPr>
          <w:lang w:val="en-US"/>
        </w:rPr>
        <w:br/>
        <w:t>Make:</w:t>
      </w:r>
      <w:r>
        <w:rPr>
          <w:lang w:val="en-US"/>
        </w:rPr>
        <w:br/>
        <w:t>Serial number:</w:t>
      </w:r>
    </w:p>
    <w:p w14:paraId="126C8EDC" w14:textId="77777777" w:rsidR="00C777E9" w:rsidRDefault="00C777E9" w:rsidP="00C777E9">
      <w:pPr>
        <w:pStyle w:val="SingleTxtG"/>
        <w:jc w:val="left"/>
        <w:rPr>
          <w:lang w:val="en-US"/>
        </w:rPr>
      </w:pPr>
    </w:p>
    <w:p w14:paraId="69B14A76" w14:textId="77777777" w:rsidR="00C777E9" w:rsidRDefault="00C777E9" w:rsidP="00C777E9">
      <w:pPr>
        <w:pStyle w:val="SingleTxtG"/>
        <w:jc w:val="left"/>
        <w:rPr>
          <w:lang w:val="en-US"/>
        </w:rPr>
      </w:pPr>
      <w:r w:rsidRPr="005C2F44">
        <w:rPr>
          <w:lang w:val="en-US"/>
        </w:rPr>
        <w:t>Host unit</w:t>
      </w:r>
      <w:r>
        <w:rPr>
          <w:lang w:val="en-US"/>
        </w:rPr>
        <w:t>:</w:t>
      </w:r>
      <w:r>
        <w:rPr>
          <w:lang w:val="en-US"/>
        </w:rPr>
        <w:br/>
        <w:t>ATP Test report number:</w:t>
      </w:r>
      <w:r>
        <w:rPr>
          <w:lang w:val="en-US"/>
        </w:rPr>
        <w:br/>
        <w:t>M</w:t>
      </w:r>
      <w:r w:rsidRPr="005C2F44">
        <w:rPr>
          <w:lang w:val="en-US"/>
        </w:rPr>
        <w:t>ake</w:t>
      </w:r>
      <w:r>
        <w:rPr>
          <w:lang w:val="en-US"/>
        </w:rPr>
        <w:t>:</w:t>
      </w:r>
      <w:r>
        <w:rPr>
          <w:lang w:val="en-US"/>
        </w:rPr>
        <w:br/>
        <w:t>Serial Number:</w:t>
      </w:r>
    </w:p>
    <w:p w14:paraId="51828814" w14:textId="77777777" w:rsidR="00C777E9" w:rsidRDefault="00C777E9" w:rsidP="00C777E9">
      <w:pPr>
        <w:pStyle w:val="SingleTxtG"/>
        <w:jc w:val="left"/>
        <w:rPr>
          <w:lang w:val="en-US"/>
        </w:rPr>
      </w:pPr>
      <w:r>
        <w:rPr>
          <w:lang w:val="en-US"/>
        </w:rPr>
        <w:br/>
        <w:t>Evaporators:</w:t>
      </w:r>
      <w:r>
        <w:rPr>
          <w:lang w:val="en-US"/>
        </w:rPr>
        <w:br/>
        <w:t>ATP test report number:</w:t>
      </w:r>
      <w:r>
        <w:rPr>
          <w:lang w:val="en-US"/>
        </w:rPr>
        <w:br/>
        <w:t>Make:</w:t>
      </w:r>
      <w:r>
        <w:rPr>
          <w:lang w:val="en-US"/>
        </w:rPr>
        <w:br/>
        <w:t xml:space="preserve">Type: </w:t>
      </w:r>
    </w:p>
    <w:p w14:paraId="17AB40BC" w14:textId="77777777" w:rsidR="00C777E9" w:rsidRDefault="00C777E9" w:rsidP="00C777E9">
      <w:pPr>
        <w:pStyle w:val="SingleTxtG"/>
        <w:jc w:val="left"/>
        <w:rPr>
          <w:lang w:val="en-US"/>
        </w:rPr>
      </w:pPr>
    </w:p>
    <w:p w14:paraId="1FDF1B21" w14:textId="77777777" w:rsidR="00C777E9" w:rsidRDefault="00C777E9" w:rsidP="00C777E9">
      <w:pPr>
        <w:pStyle w:val="SingleTxtG"/>
        <w:jc w:val="left"/>
        <w:rPr>
          <w:lang w:val="en-US"/>
        </w:rPr>
      </w:pPr>
      <w:r>
        <w:rPr>
          <w:lang w:val="en-US"/>
        </w:rPr>
        <w:t xml:space="preserve">Remarks: </w:t>
      </w:r>
    </w:p>
    <w:p w14:paraId="4D20889F" w14:textId="77777777" w:rsidR="00C777E9" w:rsidRPr="00C777E9" w:rsidRDefault="00C777E9" w:rsidP="00C777E9">
      <w:pPr>
        <w:pStyle w:val="SingleTxtG"/>
        <w:rPr>
          <w:sz w:val="18"/>
          <w:szCs w:val="18"/>
          <w:lang w:val="en-US"/>
        </w:rPr>
      </w:pPr>
      <w:r w:rsidRPr="00C777E9">
        <w:rPr>
          <w:sz w:val="18"/>
          <w:szCs w:val="18"/>
          <w:lang w:val="en-US"/>
        </w:rPr>
        <w:lastRenderedPageBreak/>
        <w:t>(for example limitations in compartment temperatures or dimensions, use of particular accessories as curtains etc.)</w:t>
      </w:r>
    </w:p>
    <w:p w14:paraId="7426081C" w14:textId="77777777" w:rsidR="00C777E9" w:rsidRDefault="00C777E9" w:rsidP="00C777E9">
      <w:pPr>
        <w:rPr>
          <w:sz w:val="16"/>
          <w:szCs w:val="16"/>
          <w:lang w:val="en-US"/>
        </w:rPr>
      </w:pPr>
    </w:p>
    <w:p w14:paraId="72121DE5" w14:textId="16BF34EF" w:rsidR="00C777E9" w:rsidRPr="009240B4" w:rsidRDefault="00C777E9" w:rsidP="00C777E9">
      <w:pPr>
        <w:pStyle w:val="SingleTxtG"/>
        <w:jc w:val="left"/>
        <w:rPr>
          <w:lang w:val="en-US"/>
        </w:rPr>
      </w:pPr>
      <w:r w:rsidRPr="00921F99">
        <w:rPr>
          <w:lang w:val="en-US"/>
        </w:rPr>
        <w:t>Authentication</w:t>
      </w:r>
      <w:r w:rsidRPr="009240B4">
        <w:rPr>
          <w:lang w:val="en-US"/>
        </w:rPr>
        <w:t xml:space="preserve"> </w:t>
      </w:r>
    </w:p>
    <w:p w14:paraId="3C11C09E" w14:textId="77777777" w:rsidR="00C777E9" w:rsidRPr="00C777E9" w:rsidRDefault="00C777E9" w:rsidP="00C777E9">
      <w:pPr>
        <w:pStyle w:val="SingleTxtG"/>
        <w:jc w:val="left"/>
      </w:pPr>
      <w:r w:rsidRPr="00C777E9">
        <w:t>Name of competent authority:</w:t>
      </w:r>
      <w:r w:rsidRPr="00C777E9">
        <w:br/>
        <w:t>Address:</w:t>
      </w:r>
      <w:r w:rsidRPr="00C777E9">
        <w:br/>
        <w:t>Telephone number:</w:t>
      </w:r>
      <w:r w:rsidRPr="00C777E9">
        <w:br/>
        <w:t>E-mail address:</w:t>
      </w:r>
      <w:r w:rsidRPr="00C777E9">
        <w:br/>
      </w:r>
    </w:p>
    <w:p w14:paraId="101752EE" w14:textId="360F526C" w:rsidR="00C777E9" w:rsidRPr="00C777E9" w:rsidRDefault="00C777E9" w:rsidP="00C777E9">
      <w:pPr>
        <w:pStyle w:val="SingleTxtG"/>
      </w:pPr>
      <w:r w:rsidRPr="00C777E9">
        <w:t>Date and Place of signature</w:t>
      </w:r>
      <w:r w:rsidRPr="00C777E9">
        <w:tab/>
      </w:r>
      <w:r w:rsidRPr="00C777E9">
        <w:tab/>
      </w:r>
      <w:r w:rsidRPr="00C777E9">
        <w:tab/>
        <w:t>Stamps signature, and name signing officer.</w:t>
      </w:r>
    </w:p>
    <w:p w14:paraId="2DE53101" w14:textId="4E1E54D5" w:rsidR="003A6A6A" w:rsidRPr="008250C8" w:rsidRDefault="008250C8" w:rsidP="008250C8">
      <w:pPr>
        <w:spacing w:before="240"/>
        <w:jc w:val="center"/>
        <w:rPr>
          <w:u w:val="single"/>
        </w:rPr>
      </w:pPr>
      <w:bookmarkStart w:id="0" w:name="_GoBack"/>
      <w:bookmarkEnd w:id="0"/>
      <w:r>
        <w:rPr>
          <w:u w:val="single"/>
        </w:rPr>
        <w:tab/>
      </w:r>
      <w:r>
        <w:rPr>
          <w:u w:val="single"/>
        </w:rPr>
        <w:tab/>
      </w:r>
      <w:r>
        <w:rPr>
          <w:u w:val="single"/>
        </w:rPr>
        <w:tab/>
      </w:r>
    </w:p>
    <w:sectPr w:rsidR="003A6A6A" w:rsidRPr="008250C8" w:rsidSect="003A6A6A">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2CF3" w14:textId="1F34744D" w:rsidR="004708E4" w:rsidRDefault="004708E4" w:rsidP="004708E4">
    <w:pPr>
      <w:pStyle w:val="Footer"/>
    </w:pPr>
    <w:r>
      <w:rPr>
        <w:noProof/>
        <w:lang w:eastAsia="zh-CN"/>
      </w:rPr>
      <w:drawing>
        <wp:anchor distT="0" distB="0" distL="114300" distR="114300" simplePos="0" relativeHeight="251659264" behindDoc="1" locked="1" layoutInCell="1" allowOverlap="1" wp14:anchorId="69238B65" wp14:editId="13A796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5E5FF3" w14:textId="08E7D573" w:rsidR="004708E4" w:rsidRDefault="004708E4" w:rsidP="004708E4">
    <w:pPr>
      <w:pStyle w:val="Footer"/>
      <w:ind w:right="1134"/>
      <w:rPr>
        <w:sz w:val="20"/>
      </w:rPr>
    </w:pPr>
    <w:r>
      <w:rPr>
        <w:sz w:val="20"/>
      </w:rPr>
      <w:t>GE.20-10053(E)</w:t>
    </w:r>
  </w:p>
  <w:p w14:paraId="40F4429E" w14:textId="6D157749" w:rsidR="004708E4" w:rsidRPr="004708E4" w:rsidRDefault="004708E4" w:rsidP="004708E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D3DB5F8" wp14:editId="3865EEA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46BE9253" w:rsidR="003A6A6A" w:rsidRPr="003A6A6A" w:rsidRDefault="003A6A6A">
    <w:pPr>
      <w:pStyle w:val="Header"/>
    </w:pPr>
    <w:r>
      <w:t>ECE/TRANS/WP.11/2020/</w:t>
    </w:r>
    <w:r w:rsidR="007E2B83">
      <w:t>1</w:t>
    </w:r>
    <w:r w:rsidR="00430AF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22066AF1" w:rsidR="003A6A6A" w:rsidRPr="003A6A6A" w:rsidRDefault="003A6A6A" w:rsidP="003A6A6A">
    <w:pPr>
      <w:pStyle w:val="Header"/>
      <w:jc w:val="right"/>
    </w:pPr>
    <w:r>
      <w:t>ECE/TRANS/WP.11/2020/</w:t>
    </w:r>
    <w:r w:rsidR="00F919EF">
      <w:t>1</w:t>
    </w:r>
    <w:r w:rsidR="00430AF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45B5B"/>
    <w:multiLevelType w:val="hybridMultilevel"/>
    <w:tmpl w:val="0434B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9407C5B"/>
    <w:multiLevelType w:val="hybridMultilevel"/>
    <w:tmpl w:val="51D25FA4"/>
    <w:lvl w:ilvl="0" w:tplc="664A7E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2D429CEC"/>
    <w:lvl w:ilvl="0" w:tplc="7C321C40">
      <w:start w:val="1"/>
      <w:numFmt w:val="decimal"/>
      <w:lvlText w:val="%1."/>
      <w:lvlJc w:val="left"/>
      <w:pPr>
        <w:ind w:left="1689" w:hanging="555"/>
      </w:pPr>
      <w:rPr>
        <w:rFonts w:ascii="Times New Roman" w:eastAsia="Times New Roman" w:hAnsi="Times New Roman" w:cs="Times New Roman"/>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7412AF"/>
    <w:multiLevelType w:val="hybridMultilevel"/>
    <w:tmpl w:val="D4B00FD6"/>
    <w:lvl w:ilvl="0" w:tplc="04240001">
      <w:start w:val="1"/>
      <w:numFmt w:val="bullet"/>
      <w:lvlText w:val=""/>
      <w:lvlJc w:val="left"/>
      <w:pPr>
        <w:ind w:left="1430" w:hanging="360"/>
      </w:pPr>
      <w:rPr>
        <w:rFonts w:ascii="Symbol" w:hAnsi="Symbol" w:hint="default"/>
      </w:r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869E9"/>
    <w:multiLevelType w:val="hybridMultilevel"/>
    <w:tmpl w:val="995E3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1"/>
  </w:num>
  <w:num w:numId="18">
    <w:abstractNumId w:val="24"/>
  </w:num>
  <w:num w:numId="19">
    <w:abstractNumId w:val="13"/>
  </w:num>
  <w:num w:numId="20">
    <w:abstractNumId w:val="13"/>
  </w:num>
  <w:num w:numId="21">
    <w:abstractNumId w:val="23"/>
  </w:num>
  <w:num w:numId="22">
    <w:abstractNumId w:val="11"/>
  </w:num>
  <w:num w:numId="23">
    <w:abstractNumId w:val="12"/>
  </w:num>
  <w:num w:numId="24">
    <w:abstractNumId w:val="22"/>
  </w:num>
  <w:num w:numId="25">
    <w:abstractNumId w:val="20"/>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2004"/>
    <w:rsid w:val="0006380D"/>
    <w:rsid w:val="000678CD"/>
    <w:rsid w:val="00072C8C"/>
    <w:rsid w:val="00081CE0"/>
    <w:rsid w:val="00084D30"/>
    <w:rsid w:val="00090320"/>
    <w:rsid w:val="000931C0"/>
    <w:rsid w:val="00093C9F"/>
    <w:rsid w:val="0009732C"/>
    <w:rsid w:val="000A01F9"/>
    <w:rsid w:val="000A2E09"/>
    <w:rsid w:val="000A7B4A"/>
    <w:rsid w:val="000B175B"/>
    <w:rsid w:val="000B3A0F"/>
    <w:rsid w:val="000E0415"/>
    <w:rsid w:val="000F7715"/>
    <w:rsid w:val="0015371D"/>
    <w:rsid w:val="00156B99"/>
    <w:rsid w:val="00166124"/>
    <w:rsid w:val="00184DDA"/>
    <w:rsid w:val="001900CD"/>
    <w:rsid w:val="001A0452"/>
    <w:rsid w:val="001B4B04"/>
    <w:rsid w:val="001B5875"/>
    <w:rsid w:val="001B5B9C"/>
    <w:rsid w:val="001C4B9C"/>
    <w:rsid w:val="001C6663"/>
    <w:rsid w:val="001C7895"/>
    <w:rsid w:val="001D26DF"/>
    <w:rsid w:val="001F1599"/>
    <w:rsid w:val="001F19C4"/>
    <w:rsid w:val="001F62AC"/>
    <w:rsid w:val="002043F0"/>
    <w:rsid w:val="00211E0B"/>
    <w:rsid w:val="00232575"/>
    <w:rsid w:val="00240844"/>
    <w:rsid w:val="00247258"/>
    <w:rsid w:val="00257CAC"/>
    <w:rsid w:val="00264441"/>
    <w:rsid w:val="00265988"/>
    <w:rsid w:val="00271EFE"/>
    <w:rsid w:val="0027237A"/>
    <w:rsid w:val="002974E9"/>
    <w:rsid w:val="002A7F94"/>
    <w:rsid w:val="002B109A"/>
    <w:rsid w:val="002C6D45"/>
    <w:rsid w:val="002D6E53"/>
    <w:rsid w:val="002F046D"/>
    <w:rsid w:val="002F3023"/>
    <w:rsid w:val="00301764"/>
    <w:rsid w:val="00311304"/>
    <w:rsid w:val="003229D8"/>
    <w:rsid w:val="00330F55"/>
    <w:rsid w:val="00336C97"/>
    <w:rsid w:val="00337F88"/>
    <w:rsid w:val="00342432"/>
    <w:rsid w:val="0035223F"/>
    <w:rsid w:val="00352D4B"/>
    <w:rsid w:val="0035638C"/>
    <w:rsid w:val="003838E7"/>
    <w:rsid w:val="003923B7"/>
    <w:rsid w:val="003A46BB"/>
    <w:rsid w:val="003A4EC7"/>
    <w:rsid w:val="003A6A6A"/>
    <w:rsid w:val="003A7295"/>
    <w:rsid w:val="003B1F60"/>
    <w:rsid w:val="003C2CC4"/>
    <w:rsid w:val="003C5A21"/>
    <w:rsid w:val="003D2F55"/>
    <w:rsid w:val="003D4B23"/>
    <w:rsid w:val="003E278A"/>
    <w:rsid w:val="00413520"/>
    <w:rsid w:val="00430AF6"/>
    <w:rsid w:val="004325CB"/>
    <w:rsid w:val="00440A07"/>
    <w:rsid w:val="004553A4"/>
    <w:rsid w:val="00462880"/>
    <w:rsid w:val="004708E4"/>
    <w:rsid w:val="00476F24"/>
    <w:rsid w:val="0048255B"/>
    <w:rsid w:val="00493DF5"/>
    <w:rsid w:val="004C55B0"/>
    <w:rsid w:val="004F21FD"/>
    <w:rsid w:val="004F6BA0"/>
    <w:rsid w:val="00503BEA"/>
    <w:rsid w:val="00520C59"/>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333BB"/>
    <w:rsid w:val="00640B26"/>
    <w:rsid w:val="0065766B"/>
    <w:rsid w:val="00671953"/>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2B83"/>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21F99"/>
    <w:rsid w:val="00926E47"/>
    <w:rsid w:val="00927205"/>
    <w:rsid w:val="00945176"/>
    <w:rsid w:val="00947162"/>
    <w:rsid w:val="00957DE3"/>
    <w:rsid w:val="009610D0"/>
    <w:rsid w:val="009616FC"/>
    <w:rsid w:val="0096375C"/>
    <w:rsid w:val="009662E6"/>
    <w:rsid w:val="0097095E"/>
    <w:rsid w:val="0098592B"/>
    <w:rsid w:val="00985FC4"/>
    <w:rsid w:val="00990766"/>
    <w:rsid w:val="00991261"/>
    <w:rsid w:val="009964C4"/>
    <w:rsid w:val="009A6FA7"/>
    <w:rsid w:val="009A7B81"/>
    <w:rsid w:val="009D01C0"/>
    <w:rsid w:val="009D6A08"/>
    <w:rsid w:val="009E0A16"/>
    <w:rsid w:val="009E0C88"/>
    <w:rsid w:val="009E27B8"/>
    <w:rsid w:val="009E6CB7"/>
    <w:rsid w:val="009E7970"/>
    <w:rsid w:val="009F2EAC"/>
    <w:rsid w:val="009F57E3"/>
    <w:rsid w:val="00A10F4F"/>
    <w:rsid w:val="00A11067"/>
    <w:rsid w:val="00A12C41"/>
    <w:rsid w:val="00A1704A"/>
    <w:rsid w:val="00A425EB"/>
    <w:rsid w:val="00A72F22"/>
    <w:rsid w:val="00A733BC"/>
    <w:rsid w:val="00A748A6"/>
    <w:rsid w:val="00A76A69"/>
    <w:rsid w:val="00A879A4"/>
    <w:rsid w:val="00AA0FF8"/>
    <w:rsid w:val="00AC0F2C"/>
    <w:rsid w:val="00AC502A"/>
    <w:rsid w:val="00AF0F96"/>
    <w:rsid w:val="00AF58C1"/>
    <w:rsid w:val="00B04A3F"/>
    <w:rsid w:val="00B06643"/>
    <w:rsid w:val="00B15055"/>
    <w:rsid w:val="00B20551"/>
    <w:rsid w:val="00B23F12"/>
    <w:rsid w:val="00B30179"/>
    <w:rsid w:val="00B33FC7"/>
    <w:rsid w:val="00B37B15"/>
    <w:rsid w:val="00B45C02"/>
    <w:rsid w:val="00B67D22"/>
    <w:rsid w:val="00B70B63"/>
    <w:rsid w:val="00B72A1E"/>
    <w:rsid w:val="00B81E12"/>
    <w:rsid w:val="00BA339B"/>
    <w:rsid w:val="00BB23CC"/>
    <w:rsid w:val="00BC1E7E"/>
    <w:rsid w:val="00BC6006"/>
    <w:rsid w:val="00BC74E9"/>
    <w:rsid w:val="00BC7D30"/>
    <w:rsid w:val="00BE1F5C"/>
    <w:rsid w:val="00BE364A"/>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777E9"/>
    <w:rsid w:val="00C978F5"/>
    <w:rsid w:val="00CA24A4"/>
    <w:rsid w:val="00CA54F1"/>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621B0"/>
    <w:rsid w:val="00D704E5"/>
    <w:rsid w:val="00D72727"/>
    <w:rsid w:val="00D978C6"/>
    <w:rsid w:val="00DA0956"/>
    <w:rsid w:val="00DA357F"/>
    <w:rsid w:val="00DA3E12"/>
    <w:rsid w:val="00DC18AD"/>
    <w:rsid w:val="00DD2B82"/>
    <w:rsid w:val="00DF7CAE"/>
    <w:rsid w:val="00E244D1"/>
    <w:rsid w:val="00E37079"/>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F0137E"/>
    <w:rsid w:val="00F21786"/>
    <w:rsid w:val="00F36CAB"/>
    <w:rsid w:val="00F3742B"/>
    <w:rsid w:val="00F41FDB"/>
    <w:rsid w:val="00F50596"/>
    <w:rsid w:val="00F56D63"/>
    <w:rsid w:val="00F609A9"/>
    <w:rsid w:val="00F62175"/>
    <w:rsid w:val="00F62575"/>
    <w:rsid w:val="00F62F07"/>
    <w:rsid w:val="00F80C99"/>
    <w:rsid w:val="00F867EC"/>
    <w:rsid w:val="00F919EF"/>
    <w:rsid w:val="00F91B2B"/>
    <w:rsid w:val="00FC03CD"/>
    <w:rsid w:val="00FC0646"/>
    <w:rsid w:val="00FC50E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8674"/>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 w:type="paragraph" w:styleId="ListParagraph">
    <w:name w:val="List Paragraph"/>
    <w:basedOn w:val="Normal"/>
    <w:uiPriority w:val="34"/>
    <w:qFormat/>
    <w:rsid w:val="007E2B83"/>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3A1E-FD9E-4B46-BFC6-C9ACE622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4904</Characters>
  <Application>Microsoft Office Word</Application>
  <DocSecurity>0</DocSecurity>
  <Lines>134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ECE/TRANS/WP.11/2020/14</dc:title>
  <dc:subject>2010053</dc:subject>
  <dc:creator>Lucille CAILLOT</dc:creator>
  <cp:keywords/>
  <dc:description/>
  <cp:lastModifiedBy>Don Canete Martin</cp:lastModifiedBy>
  <cp:revision>2</cp:revision>
  <cp:lastPrinted>2009-02-18T09:36:00Z</cp:lastPrinted>
  <dcterms:created xsi:type="dcterms:W3CDTF">2020-07-27T09:17:00Z</dcterms:created>
  <dcterms:modified xsi:type="dcterms:W3CDTF">2020-07-27T09:17:00Z</dcterms:modified>
</cp:coreProperties>
</file>