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E07FE8F" w14:textId="77777777" w:rsidTr="00C97039">
        <w:trPr>
          <w:trHeight w:hRule="exact" w:val="851"/>
        </w:trPr>
        <w:tc>
          <w:tcPr>
            <w:tcW w:w="1276" w:type="dxa"/>
            <w:tcBorders>
              <w:bottom w:val="single" w:sz="4" w:space="0" w:color="auto"/>
            </w:tcBorders>
          </w:tcPr>
          <w:p w14:paraId="3DD3A04A" w14:textId="77777777" w:rsidR="00F35BAF" w:rsidRPr="00DB58B5" w:rsidRDefault="00F35BAF" w:rsidP="00345DAD"/>
        </w:tc>
        <w:tc>
          <w:tcPr>
            <w:tcW w:w="2268" w:type="dxa"/>
            <w:tcBorders>
              <w:bottom w:val="single" w:sz="4" w:space="0" w:color="auto"/>
            </w:tcBorders>
            <w:vAlign w:val="bottom"/>
          </w:tcPr>
          <w:p w14:paraId="7AB90D0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8368138" w14:textId="77777777" w:rsidR="00F35BAF" w:rsidRPr="00DB58B5" w:rsidRDefault="00345DAD" w:rsidP="00345DAD">
            <w:pPr>
              <w:jc w:val="right"/>
            </w:pPr>
            <w:r w:rsidRPr="00345DAD">
              <w:rPr>
                <w:sz w:val="40"/>
              </w:rPr>
              <w:t>ECE</w:t>
            </w:r>
            <w:r>
              <w:t>/TRANS/WP.11/2020/10</w:t>
            </w:r>
          </w:p>
        </w:tc>
      </w:tr>
      <w:tr w:rsidR="00F35BAF" w:rsidRPr="00DB58B5" w14:paraId="5E19E0B6" w14:textId="77777777" w:rsidTr="00C97039">
        <w:trPr>
          <w:trHeight w:hRule="exact" w:val="2835"/>
        </w:trPr>
        <w:tc>
          <w:tcPr>
            <w:tcW w:w="1276" w:type="dxa"/>
            <w:tcBorders>
              <w:top w:val="single" w:sz="4" w:space="0" w:color="auto"/>
              <w:bottom w:val="single" w:sz="12" w:space="0" w:color="auto"/>
            </w:tcBorders>
          </w:tcPr>
          <w:p w14:paraId="23BD9D27" w14:textId="77777777" w:rsidR="00F35BAF" w:rsidRPr="00DB58B5" w:rsidRDefault="00F35BAF" w:rsidP="00C97039">
            <w:pPr>
              <w:spacing w:before="120"/>
              <w:jc w:val="center"/>
            </w:pPr>
            <w:r>
              <w:rPr>
                <w:noProof/>
                <w:lang w:eastAsia="fr-CH"/>
              </w:rPr>
              <w:drawing>
                <wp:inline distT="0" distB="0" distL="0" distR="0" wp14:anchorId="76E24DFA" wp14:editId="62D65A5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42958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16FCE0F" w14:textId="77777777" w:rsidR="00F35BAF" w:rsidRDefault="00345DAD" w:rsidP="00C97039">
            <w:pPr>
              <w:spacing w:before="240"/>
            </w:pPr>
            <w:r>
              <w:t>Distr. générale</w:t>
            </w:r>
          </w:p>
          <w:p w14:paraId="19410A1E" w14:textId="77777777" w:rsidR="00345DAD" w:rsidRDefault="00345DAD" w:rsidP="00345DAD">
            <w:pPr>
              <w:spacing w:line="240" w:lineRule="exact"/>
            </w:pPr>
            <w:r>
              <w:t>27 juillet 2020</w:t>
            </w:r>
          </w:p>
          <w:p w14:paraId="6F2DCD41" w14:textId="77777777" w:rsidR="00345DAD" w:rsidRDefault="00345DAD" w:rsidP="00345DAD">
            <w:pPr>
              <w:spacing w:line="240" w:lineRule="exact"/>
            </w:pPr>
            <w:r>
              <w:t>Français</w:t>
            </w:r>
          </w:p>
          <w:p w14:paraId="4B2824D5" w14:textId="77777777" w:rsidR="00345DAD" w:rsidRPr="00DB58B5" w:rsidRDefault="00345DAD" w:rsidP="00345DAD">
            <w:pPr>
              <w:spacing w:line="240" w:lineRule="exact"/>
            </w:pPr>
            <w:r>
              <w:t>Original : anglais</w:t>
            </w:r>
          </w:p>
        </w:tc>
      </w:tr>
    </w:tbl>
    <w:p w14:paraId="21CE7E16" w14:textId="77777777" w:rsidR="007F20FA" w:rsidRPr="000312C0" w:rsidRDefault="007F20FA" w:rsidP="007F20FA">
      <w:pPr>
        <w:spacing w:before="120"/>
        <w:rPr>
          <w:b/>
          <w:sz w:val="28"/>
          <w:szCs w:val="28"/>
        </w:rPr>
      </w:pPr>
      <w:r w:rsidRPr="000312C0">
        <w:rPr>
          <w:b/>
          <w:sz w:val="28"/>
          <w:szCs w:val="28"/>
        </w:rPr>
        <w:t>Commission économique pour l</w:t>
      </w:r>
      <w:r w:rsidR="00345DAD">
        <w:rPr>
          <w:b/>
          <w:sz w:val="28"/>
          <w:szCs w:val="28"/>
        </w:rPr>
        <w:t>’</w:t>
      </w:r>
      <w:r w:rsidRPr="000312C0">
        <w:rPr>
          <w:b/>
          <w:sz w:val="28"/>
          <w:szCs w:val="28"/>
        </w:rPr>
        <w:t>Europe</w:t>
      </w:r>
    </w:p>
    <w:p w14:paraId="09C7CEEA" w14:textId="77777777" w:rsidR="007F20FA" w:rsidRDefault="007F20FA" w:rsidP="007F20FA">
      <w:pPr>
        <w:spacing w:before="120"/>
        <w:rPr>
          <w:sz w:val="28"/>
          <w:szCs w:val="28"/>
        </w:rPr>
      </w:pPr>
      <w:r w:rsidRPr="00685843">
        <w:rPr>
          <w:sz w:val="28"/>
          <w:szCs w:val="28"/>
        </w:rPr>
        <w:t>Comité des transports intérieurs</w:t>
      </w:r>
    </w:p>
    <w:p w14:paraId="51598DF8" w14:textId="77777777" w:rsidR="00345DAD" w:rsidRPr="00685843" w:rsidRDefault="00345DAD" w:rsidP="00305801">
      <w:pPr>
        <w:spacing w:before="120"/>
        <w:rPr>
          <w:b/>
          <w:sz w:val="24"/>
          <w:szCs w:val="24"/>
        </w:rPr>
      </w:pPr>
      <w:r>
        <w:rPr>
          <w:b/>
          <w:sz w:val="24"/>
          <w:szCs w:val="24"/>
        </w:rPr>
        <w:t>Groupe de travail du transport des denrées périssables</w:t>
      </w:r>
    </w:p>
    <w:p w14:paraId="73A84E50" w14:textId="77777777" w:rsidR="00345DAD" w:rsidRPr="00345DAD" w:rsidRDefault="00345DAD" w:rsidP="00345DAD">
      <w:pPr>
        <w:spacing w:before="120" w:line="240" w:lineRule="auto"/>
        <w:rPr>
          <w:b/>
          <w:lang w:val="fr-FR"/>
        </w:rPr>
      </w:pPr>
      <w:r w:rsidRPr="00345DAD">
        <w:rPr>
          <w:b/>
          <w:bCs/>
          <w:lang w:val="fr-FR"/>
        </w:rPr>
        <w:t>Soixante-seizième session</w:t>
      </w:r>
    </w:p>
    <w:p w14:paraId="1AD1507F" w14:textId="77777777" w:rsidR="00345DAD" w:rsidRPr="00345DAD" w:rsidRDefault="00345DAD" w:rsidP="00345DAD">
      <w:pPr>
        <w:spacing w:line="240" w:lineRule="auto"/>
        <w:rPr>
          <w:lang w:val="fr-FR"/>
        </w:rPr>
      </w:pPr>
      <w:r w:rsidRPr="00345DAD">
        <w:rPr>
          <w:lang w:val="fr-FR"/>
        </w:rPr>
        <w:t>Genève, 13-16 octobre 2020</w:t>
      </w:r>
    </w:p>
    <w:p w14:paraId="6B09CE4F" w14:textId="77777777" w:rsidR="00345DAD" w:rsidRPr="00345DAD" w:rsidRDefault="00345DAD" w:rsidP="00345DAD">
      <w:pPr>
        <w:spacing w:line="240" w:lineRule="auto"/>
        <w:rPr>
          <w:lang w:val="fr-FR"/>
        </w:rPr>
      </w:pPr>
      <w:r w:rsidRPr="00345DAD">
        <w:rPr>
          <w:lang w:val="fr-FR"/>
        </w:rPr>
        <w:t>Point 6 a) de l</w:t>
      </w:r>
      <w:r>
        <w:rPr>
          <w:lang w:val="fr-FR"/>
        </w:rPr>
        <w:t>’</w:t>
      </w:r>
      <w:r w:rsidRPr="00345DAD">
        <w:rPr>
          <w:lang w:val="fr-FR"/>
        </w:rPr>
        <w:t>ordre du jour provisoire</w:t>
      </w:r>
    </w:p>
    <w:p w14:paraId="723C930C" w14:textId="77777777" w:rsidR="00345DAD" w:rsidRPr="00345DAD" w:rsidRDefault="00345DAD" w:rsidP="00345DAD">
      <w:pPr>
        <w:spacing w:line="240" w:lineRule="auto"/>
      </w:pPr>
      <w:r w:rsidRPr="00345DAD">
        <w:rPr>
          <w:b/>
          <w:bCs/>
          <w:lang w:val="fr-FR"/>
        </w:rPr>
        <w:t>Propositions d</w:t>
      </w:r>
      <w:r>
        <w:rPr>
          <w:b/>
          <w:bCs/>
          <w:lang w:val="fr-FR"/>
        </w:rPr>
        <w:t>’</w:t>
      </w:r>
      <w:r w:rsidRPr="00345DAD">
        <w:rPr>
          <w:b/>
          <w:bCs/>
          <w:lang w:val="fr-FR"/>
        </w:rPr>
        <w:t>amendements à l</w:t>
      </w:r>
      <w:r>
        <w:rPr>
          <w:b/>
          <w:bCs/>
          <w:lang w:val="fr-FR"/>
        </w:rPr>
        <w:t>’</w:t>
      </w:r>
      <w:r w:rsidRPr="00345DAD">
        <w:rPr>
          <w:b/>
          <w:bCs/>
          <w:lang w:val="fr-FR"/>
        </w:rPr>
        <w:t>ATP</w:t>
      </w:r>
      <w:r>
        <w:rPr>
          <w:b/>
          <w:bCs/>
          <w:lang w:val="fr-FR"/>
        </w:rPr>
        <w:t> </w:t>
      </w:r>
      <w:r w:rsidRPr="00345DAD">
        <w:rPr>
          <w:b/>
          <w:bCs/>
          <w:lang w:val="fr-FR"/>
        </w:rPr>
        <w:t>:</w:t>
      </w:r>
      <w:r>
        <w:rPr>
          <w:b/>
          <w:bCs/>
          <w:lang w:val="fr-FR"/>
        </w:rPr>
        <w:br/>
      </w:r>
      <w:r w:rsidRPr="00345DAD">
        <w:rPr>
          <w:b/>
          <w:bCs/>
          <w:lang w:val="fr-FR"/>
        </w:rPr>
        <w:t>propositions en suspens</w:t>
      </w:r>
    </w:p>
    <w:p w14:paraId="18E2385C" w14:textId="77777777" w:rsidR="00345DAD" w:rsidRPr="00345DAD" w:rsidRDefault="00345DAD" w:rsidP="0095242F">
      <w:pPr>
        <w:pStyle w:val="HChG"/>
        <w:spacing w:before="320"/>
        <w:rPr>
          <w:szCs w:val="28"/>
          <w:lang w:val="fr-FR"/>
        </w:rPr>
      </w:pPr>
      <w:r w:rsidRPr="00A21ECB">
        <w:rPr>
          <w:lang w:val="fr-FR"/>
        </w:rPr>
        <w:tab/>
      </w:r>
      <w:r w:rsidRPr="00A21ECB">
        <w:rPr>
          <w:lang w:val="fr-FR"/>
        </w:rPr>
        <w:tab/>
        <w:t>Proposition d</w:t>
      </w:r>
      <w:r>
        <w:rPr>
          <w:lang w:val="fr-FR"/>
        </w:rPr>
        <w:t>’</w:t>
      </w:r>
      <w:r w:rsidRPr="00A21ECB">
        <w:rPr>
          <w:lang w:val="fr-FR"/>
        </w:rPr>
        <w:t xml:space="preserve">amendement </w:t>
      </w:r>
      <w:r>
        <w:rPr>
          <w:lang w:val="fr-FR"/>
        </w:rPr>
        <w:t xml:space="preserve">du modèle de procès-verbal d’essai </w:t>
      </w:r>
      <w:r w:rsidRPr="00395147">
        <w:rPr>
          <w:lang w:val="fr-FR"/>
        </w:rPr>
        <w:t>n</w:t>
      </w:r>
      <w:r w:rsidRPr="00395147">
        <w:rPr>
          <w:vertAlign w:val="superscript"/>
          <w:lang w:val="fr-FR"/>
        </w:rPr>
        <w:t>o</w:t>
      </w:r>
      <w:r>
        <w:rPr>
          <w:vertAlign w:val="superscript"/>
          <w:lang w:val="fr-FR"/>
        </w:rPr>
        <w:t> </w:t>
      </w:r>
      <w:r>
        <w:rPr>
          <w:lang w:val="fr-FR"/>
        </w:rPr>
        <w:t xml:space="preserve">12 à l’appendice 2 de l’annexe 1, </w:t>
      </w:r>
      <w:r w:rsidRPr="00A21ECB">
        <w:rPr>
          <w:lang w:val="fr-FR"/>
        </w:rPr>
        <w:t xml:space="preserve">après </w:t>
      </w:r>
      <w:r>
        <w:rPr>
          <w:lang w:val="fr-FR"/>
        </w:rPr>
        <w:br/>
        <w:t>« </w:t>
      </w:r>
      <w:r w:rsidRPr="00A21ECB">
        <w:rPr>
          <w:lang w:val="fr-FR"/>
        </w:rPr>
        <w:t>d) Observations</w:t>
      </w:r>
      <w:r>
        <w:rPr>
          <w:lang w:val="fr-FR"/>
        </w:rPr>
        <w:t> </w:t>
      </w:r>
      <w:r w:rsidRPr="00A21ECB">
        <w:rPr>
          <w:lang w:val="fr-FR"/>
        </w:rPr>
        <w:t>:</w:t>
      </w:r>
      <w:r>
        <w:rPr>
          <w:lang w:val="fr-FR"/>
        </w:rPr>
        <w:t xml:space="preserve"> » </w:t>
      </w:r>
      <w:r>
        <w:rPr>
          <w:lang w:val="fr-FR"/>
        </w:rPr>
        <w:br/>
      </w:r>
      <w:r w:rsidRPr="00345DAD">
        <w:rPr>
          <w:bCs/>
          <w:szCs w:val="28"/>
          <w:lang w:val="fr-FR"/>
        </w:rPr>
        <w:t>Validité des procès-verbaux d’essai pour les groupes frigorifiques</w:t>
      </w:r>
    </w:p>
    <w:p w14:paraId="3998E4C8" w14:textId="77777777" w:rsidR="00345DAD" w:rsidRPr="00A21ECB" w:rsidRDefault="00345DAD" w:rsidP="0095242F">
      <w:pPr>
        <w:pStyle w:val="H1G"/>
        <w:spacing w:before="320"/>
      </w:pPr>
      <w:r w:rsidRPr="00A21ECB">
        <w:rPr>
          <w:lang w:val="fr-FR"/>
        </w:rPr>
        <w:tab/>
      </w:r>
      <w:r w:rsidRPr="00A21ECB">
        <w:rPr>
          <w:lang w:val="fr-FR"/>
        </w:rPr>
        <w:tab/>
        <w:t>Communication du Gouvernement allemand</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345DAD" w14:paraId="0BEB3449" w14:textId="77777777">
        <w:trPr>
          <w:jc w:val="center"/>
        </w:trPr>
        <w:tc>
          <w:tcPr>
            <w:tcW w:w="9637" w:type="dxa"/>
            <w:shd w:val="clear" w:color="auto" w:fill="auto"/>
          </w:tcPr>
          <w:p w14:paraId="398DB1CF" w14:textId="77777777" w:rsidR="00345DAD" w:rsidRDefault="00345DAD">
            <w:pPr>
              <w:spacing w:before="240" w:after="120"/>
              <w:ind w:left="255"/>
              <w:rPr>
                <w:i/>
                <w:sz w:val="24"/>
              </w:rPr>
            </w:pPr>
            <w:r>
              <w:rPr>
                <w:i/>
                <w:sz w:val="24"/>
              </w:rPr>
              <w:t>Résumé</w:t>
            </w:r>
          </w:p>
        </w:tc>
      </w:tr>
      <w:tr w:rsidR="00345DAD" w14:paraId="40B502B3" w14:textId="77777777">
        <w:trPr>
          <w:jc w:val="center"/>
        </w:trPr>
        <w:tc>
          <w:tcPr>
            <w:tcW w:w="9637" w:type="dxa"/>
            <w:shd w:val="clear" w:color="auto" w:fill="auto"/>
          </w:tcPr>
          <w:p w14:paraId="59417F14" w14:textId="77777777" w:rsidR="00345DAD" w:rsidRDefault="00345DAD" w:rsidP="0095242F">
            <w:pPr>
              <w:pStyle w:val="SingleTxtG"/>
              <w:spacing w:after="90"/>
              <w:ind w:left="2523" w:hanging="2268"/>
            </w:pPr>
            <w:r w:rsidRPr="00345DAD">
              <w:rPr>
                <w:b/>
                <w:bCs/>
                <w:lang w:val="fr-FR"/>
              </w:rPr>
              <w:t>Résumé analytique</w:t>
            </w:r>
            <w:r>
              <w:rPr>
                <w:b/>
                <w:bCs/>
                <w:lang w:val="fr-FR"/>
              </w:rPr>
              <w:t> </w:t>
            </w:r>
            <w:r w:rsidRPr="00345DAD">
              <w:rPr>
                <w:b/>
                <w:bCs/>
                <w:lang w:val="fr-FR"/>
              </w:rPr>
              <w:t>:</w:t>
            </w:r>
            <w:r w:rsidRPr="00345DAD">
              <w:rPr>
                <w:lang w:val="fr-FR"/>
              </w:rPr>
              <w:tab/>
              <w:t>La limite de validité de six ans du procès-verbal d</w:t>
            </w:r>
            <w:r>
              <w:rPr>
                <w:lang w:val="fr-FR"/>
              </w:rPr>
              <w:t>’</w:t>
            </w:r>
            <w:r w:rsidRPr="00345DAD">
              <w:rPr>
                <w:lang w:val="fr-FR"/>
              </w:rPr>
              <w:t>essai pour les groupes frigorifiques figurant dans le modèle n</w:t>
            </w:r>
            <w:r w:rsidRPr="00345DAD">
              <w:rPr>
                <w:vertAlign w:val="superscript"/>
                <w:lang w:val="fr-FR"/>
              </w:rPr>
              <w:t>o </w:t>
            </w:r>
            <w:r w:rsidRPr="00345DAD">
              <w:rPr>
                <w:lang w:val="fr-FR"/>
              </w:rPr>
              <w:t>12 à l</w:t>
            </w:r>
            <w:r>
              <w:rPr>
                <w:lang w:val="fr-FR"/>
              </w:rPr>
              <w:t>’</w:t>
            </w:r>
            <w:r w:rsidRPr="00345DAD">
              <w:rPr>
                <w:lang w:val="fr-FR"/>
              </w:rPr>
              <w:t>appendice 2 de l</w:t>
            </w:r>
            <w:r>
              <w:rPr>
                <w:lang w:val="fr-FR"/>
              </w:rPr>
              <w:t>’</w:t>
            </w:r>
            <w:r w:rsidRPr="00345DAD">
              <w:rPr>
                <w:lang w:val="fr-FR"/>
              </w:rPr>
              <w:t>annexe 1 devrait être supprimée, pour des raisons de forme et de fond à la fois.</w:t>
            </w:r>
          </w:p>
        </w:tc>
      </w:tr>
      <w:tr w:rsidR="00345DAD" w14:paraId="4967D373" w14:textId="77777777">
        <w:trPr>
          <w:jc w:val="center"/>
        </w:trPr>
        <w:tc>
          <w:tcPr>
            <w:tcW w:w="9637" w:type="dxa"/>
            <w:shd w:val="clear" w:color="auto" w:fill="auto"/>
          </w:tcPr>
          <w:p w14:paraId="7B355E19" w14:textId="77777777" w:rsidR="00345DAD" w:rsidRPr="00345DAD" w:rsidRDefault="00345DAD" w:rsidP="0095242F">
            <w:pPr>
              <w:pStyle w:val="SingleTxtG"/>
              <w:spacing w:after="90"/>
              <w:ind w:left="2523"/>
              <w:rPr>
                <w:spacing w:val="-2"/>
                <w:lang w:val="fr-FR"/>
              </w:rPr>
            </w:pPr>
            <w:r w:rsidRPr="00345DAD">
              <w:rPr>
                <w:spacing w:val="-2"/>
                <w:lang w:val="fr-FR"/>
              </w:rPr>
              <w:t>Jusqu’à présent, aucune limite de durée n’est indiquée dans le texte de l’Accord relatif aux transports internationaux de denrées périssables et aux engins spéciaux à utiliser pour ces transports (ATP) pour les procès</w:t>
            </w:r>
            <w:r w:rsidRPr="00345DAD">
              <w:rPr>
                <w:spacing w:val="-2"/>
                <w:lang w:val="fr-FR"/>
              </w:rPr>
              <w:noBreakHyphen/>
              <w:t xml:space="preserve">verbaux d’essai des groupes frigorifiques de transport. Le paragraphe 6 a) de l’appendice 1 de l’annexe 1, auquel renvoie le modèle </w:t>
            </w:r>
            <w:r w:rsidRPr="00345DAD">
              <w:rPr>
                <w:rFonts w:eastAsia="MS Mincho"/>
                <w:spacing w:val="-2"/>
                <w:lang w:val="fr-FR"/>
              </w:rPr>
              <w:t>n</w:t>
            </w:r>
            <w:r w:rsidRPr="00345DAD">
              <w:rPr>
                <w:rFonts w:eastAsia="MS Mincho"/>
                <w:spacing w:val="-2"/>
                <w:vertAlign w:val="superscript"/>
                <w:lang w:val="fr-FR"/>
              </w:rPr>
              <w:t>o </w:t>
            </w:r>
            <w:r w:rsidRPr="00345DAD">
              <w:rPr>
                <w:spacing w:val="-2"/>
                <w:lang w:val="fr-FR"/>
              </w:rPr>
              <w:t>12, et qui vise les engins produits en série, ne s’applique pas aux groupes frigorifiques.</w:t>
            </w:r>
          </w:p>
        </w:tc>
      </w:tr>
      <w:tr w:rsidR="00345DAD" w14:paraId="25B1E616" w14:textId="77777777">
        <w:trPr>
          <w:jc w:val="center"/>
        </w:trPr>
        <w:tc>
          <w:tcPr>
            <w:tcW w:w="9637" w:type="dxa"/>
            <w:shd w:val="clear" w:color="auto" w:fill="auto"/>
          </w:tcPr>
          <w:p w14:paraId="2F27D20C" w14:textId="77777777" w:rsidR="00345DAD" w:rsidRPr="0095242F" w:rsidRDefault="00345DAD" w:rsidP="0095242F">
            <w:pPr>
              <w:pStyle w:val="SingleTxtG"/>
              <w:spacing w:after="90"/>
              <w:ind w:left="2523"/>
              <w:rPr>
                <w:spacing w:val="-2"/>
                <w:lang w:val="fr-FR"/>
              </w:rPr>
            </w:pPr>
            <w:r w:rsidRPr="0095242F">
              <w:rPr>
                <w:spacing w:val="-2"/>
                <w:lang w:val="fr-FR"/>
              </w:rPr>
              <w:t xml:space="preserve">En outre, tant que le groupe frigorifique n’a pas subi de modification, un nouvel essai d’un type précédemment homologué ne fera que reproduire les résultats du premier essai. Il n’aboutira pas à de nouvelles conclusions ou à une amélioration de la sécurité alimentaire, mais </w:t>
            </w:r>
            <w:bookmarkStart w:id="0" w:name="_Hlk48726967"/>
            <w:r w:rsidRPr="0095242F">
              <w:rPr>
                <w:spacing w:val="-2"/>
                <w:lang w:val="fr-FR"/>
              </w:rPr>
              <w:t>désavantagera tout particulièrement les petites et moyennes entreprises fabriquant des groupes frigorifiques en termes de compétitivité et produira à terme une distorsion de la concurrence</w:t>
            </w:r>
            <w:bookmarkEnd w:id="0"/>
            <w:r w:rsidRPr="0095242F">
              <w:rPr>
                <w:spacing w:val="-2"/>
                <w:lang w:val="fr-FR"/>
              </w:rPr>
              <w:t>.</w:t>
            </w:r>
          </w:p>
        </w:tc>
      </w:tr>
      <w:tr w:rsidR="00345DAD" w14:paraId="5ACAF4AD" w14:textId="77777777">
        <w:trPr>
          <w:jc w:val="center"/>
        </w:trPr>
        <w:tc>
          <w:tcPr>
            <w:tcW w:w="9637" w:type="dxa"/>
            <w:shd w:val="clear" w:color="auto" w:fill="auto"/>
          </w:tcPr>
          <w:p w14:paraId="34D497A9" w14:textId="77777777" w:rsidR="00345DAD" w:rsidRPr="00345DAD" w:rsidRDefault="00345DAD" w:rsidP="0095242F">
            <w:pPr>
              <w:pStyle w:val="SingleTxtG"/>
              <w:spacing w:after="90"/>
              <w:ind w:left="2523" w:hanging="2268"/>
              <w:rPr>
                <w:lang w:val="fr-FR"/>
              </w:rPr>
            </w:pPr>
            <w:r w:rsidRPr="00345DAD">
              <w:rPr>
                <w:b/>
                <w:bCs/>
                <w:lang w:val="fr-FR"/>
              </w:rPr>
              <w:t>Mesure à prendre</w:t>
            </w:r>
            <w:r>
              <w:rPr>
                <w:b/>
                <w:bCs/>
                <w:lang w:val="fr-FR"/>
              </w:rPr>
              <w:t> </w:t>
            </w:r>
            <w:r w:rsidRPr="00345DAD">
              <w:rPr>
                <w:b/>
                <w:bCs/>
                <w:lang w:val="fr-FR"/>
              </w:rPr>
              <w:t>:</w:t>
            </w:r>
            <w:r w:rsidRPr="00345DAD">
              <w:rPr>
                <w:lang w:val="fr-FR"/>
              </w:rPr>
              <w:tab/>
              <w:t>Modifier les dispositions du modèle de procès-verbal d</w:t>
            </w:r>
            <w:r>
              <w:rPr>
                <w:lang w:val="fr-FR"/>
              </w:rPr>
              <w:t>’</w:t>
            </w:r>
            <w:r w:rsidRPr="00345DAD">
              <w:rPr>
                <w:lang w:val="fr-FR"/>
              </w:rPr>
              <w:t>essai n</w:t>
            </w:r>
            <w:r w:rsidRPr="00345DAD">
              <w:rPr>
                <w:vertAlign w:val="superscript"/>
                <w:lang w:val="fr-FR"/>
              </w:rPr>
              <w:t>o </w:t>
            </w:r>
            <w:r w:rsidRPr="00345DAD">
              <w:rPr>
                <w:lang w:val="fr-FR"/>
              </w:rPr>
              <w:t>12 à l</w:t>
            </w:r>
            <w:r>
              <w:rPr>
                <w:lang w:val="fr-FR"/>
              </w:rPr>
              <w:t>’</w:t>
            </w:r>
            <w:r w:rsidRPr="00345DAD">
              <w:rPr>
                <w:lang w:val="fr-FR"/>
              </w:rPr>
              <w:t>appendice 2 de l</w:t>
            </w:r>
            <w:r>
              <w:rPr>
                <w:lang w:val="fr-FR"/>
              </w:rPr>
              <w:t>’</w:t>
            </w:r>
            <w:r w:rsidRPr="00345DAD">
              <w:rPr>
                <w:lang w:val="fr-FR"/>
              </w:rPr>
              <w:t>annexe 1</w:t>
            </w:r>
          </w:p>
        </w:tc>
      </w:tr>
      <w:tr w:rsidR="00345DAD" w14:paraId="674C5A85" w14:textId="77777777">
        <w:trPr>
          <w:jc w:val="center"/>
        </w:trPr>
        <w:tc>
          <w:tcPr>
            <w:tcW w:w="9637" w:type="dxa"/>
            <w:shd w:val="clear" w:color="auto" w:fill="auto"/>
          </w:tcPr>
          <w:p w14:paraId="37197939" w14:textId="77777777" w:rsidR="00345DAD" w:rsidRPr="00345DAD" w:rsidRDefault="00345DAD" w:rsidP="0095242F">
            <w:pPr>
              <w:pStyle w:val="SingleTxtG"/>
              <w:spacing w:after="90"/>
              <w:ind w:left="2523" w:hanging="2268"/>
              <w:rPr>
                <w:b/>
                <w:bCs/>
                <w:lang w:val="fr-FR"/>
              </w:rPr>
            </w:pPr>
            <w:r w:rsidRPr="00345DAD">
              <w:rPr>
                <w:b/>
                <w:bCs/>
                <w:lang w:val="fr-FR"/>
              </w:rPr>
              <w:t>Documents connexes</w:t>
            </w:r>
            <w:r>
              <w:rPr>
                <w:b/>
                <w:bCs/>
                <w:lang w:val="fr-FR"/>
              </w:rPr>
              <w:t> </w:t>
            </w:r>
            <w:r w:rsidRPr="00345DAD">
              <w:rPr>
                <w:b/>
                <w:bCs/>
                <w:lang w:val="fr-FR"/>
              </w:rPr>
              <w:t>:</w:t>
            </w:r>
            <w:r w:rsidRPr="00345DAD">
              <w:rPr>
                <w:lang w:val="fr-FR"/>
              </w:rPr>
              <w:tab/>
            </w:r>
            <w:r w:rsidRPr="0095242F">
              <w:rPr>
                <w:spacing w:val="-4"/>
                <w:lang w:val="fr-FR"/>
              </w:rPr>
              <w:t>ECE/TRANS/WP.11/2015/1, ECE/TRANS/WP.11/2018/13 et ECE/TRANS/WP.11/2019/4.</w:t>
            </w:r>
          </w:p>
        </w:tc>
      </w:tr>
      <w:tr w:rsidR="00345DAD" w14:paraId="73EA985F" w14:textId="77777777">
        <w:trPr>
          <w:jc w:val="center"/>
        </w:trPr>
        <w:tc>
          <w:tcPr>
            <w:tcW w:w="9637" w:type="dxa"/>
            <w:shd w:val="clear" w:color="auto" w:fill="auto"/>
          </w:tcPr>
          <w:p w14:paraId="77397FD9" w14:textId="77777777" w:rsidR="00345DAD" w:rsidRDefault="00345DAD"/>
        </w:tc>
      </w:tr>
    </w:tbl>
    <w:p w14:paraId="09E46E20" w14:textId="77777777" w:rsidR="00345DAD" w:rsidRPr="00345DAD" w:rsidRDefault="00345DAD" w:rsidP="0095242F">
      <w:pPr>
        <w:pStyle w:val="HChG"/>
        <w:rPr>
          <w:lang w:val="fr-FR"/>
        </w:rPr>
      </w:pPr>
      <w:r w:rsidRPr="00345DAD">
        <w:rPr>
          <w:lang w:val="fr-FR"/>
        </w:rPr>
        <w:lastRenderedPageBreak/>
        <w:tab/>
      </w:r>
      <w:r w:rsidRPr="00345DAD">
        <w:rPr>
          <w:lang w:val="fr-FR"/>
        </w:rPr>
        <w:tab/>
        <w:t>Introduction</w:t>
      </w:r>
    </w:p>
    <w:p w14:paraId="1B616D9C" w14:textId="77777777" w:rsidR="00345DAD" w:rsidRPr="00345DAD" w:rsidRDefault="00345DAD" w:rsidP="00345DAD">
      <w:pPr>
        <w:pStyle w:val="SingleTxtG"/>
        <w:rPr>
          <w:lang w:val="fr-FR"/>
        </w:rPr>
      </w:pPr>
      <w:r w:rsidRPr="00345DAD">
        <w:rPr>
          <w:lang w:val="fr-FR"/>
        </w:rPr>
        <w:t>1.</w:t>
      </w:r>
      <w:r w:rsidRPr="00345DAD">
        <w:rPr>
          <w:lang w:val="fr-FR"/>
        </w:rPr>
        <w:tab/>
        <w:t>À la soixante et onzième session, en 2015, le Royaume-Uni a communiqué sous la cote ECE/TRANS/WP.11/2015/1 une proposition qui a abouti à l</w:t>
      </w:r>
      <w:r>
        <w:rPr>
          <w:lang w:val="fr-FR"/>
        </w:rPr>
        <w:t>’</w:t>
      </w:r>
      <w:r w:rsidRPr="00345DAD">
        <w:rPr>
          <w:lang w:val="fr-FR"/>
        </w:rPr>
        <w:t>ajout de l</w:t>
      </w:r>
      <w:r>
        <w:rPr>
          <w:lang w:val="fr-FR"/>
        </w:rPr>
        <w:t>’</w:t>
      </w:r>
      <w:r w:rsidRPr="00345DAD">
        <w:rPr>
          <w:lang w:val="fr-FR"/>
        </w:rPr>
        <w:t>additif suivant au modèle n</w:t>
      </w:r>
      <w:r w:rsidRPr="00345DAD">
        <w:rPr>
          <w:vertAlign w:val="superscript"/>
          <w:lang w:val="fr-FR"/>
        </w:rPr>
        <w:t>o </w:t>
      </w:r>
      <w:r w:rsidRPr="00345DAD">
        <w:rPr>
          <w:lang w:val="fr-FR"/>
        </w:rPr>
        <w:t>12 à l</w:t>
      </w:r>
      <w:r>
        <w:rPr>
          <w:lang w:val="fr-FR"/>
        </w:rPr>
        <w:t>’</w:t>
      </w:r>
      <w:r w:rsidRPr="00345DAD">
        <w:rPr>
          <w:lang w:val="fr-FR"/>
        </w:rPr>
        <w:t>appendice 2 de l</w:t>
      </w:r>
      <w:r>
        <w:rPr>
          <w:lang w:val="fr-FR"/>
        </w:rPr>
        <w:t>’</w:t>
      </w:r>
      <w:r w:rsidRPr="00345DAD">
        <w:rPr>
          <w:lang w:val="fr-FR"/>
        </w:rPr>
        <w:t>annexe 1</w:t>
      </w:r>
      <w:r w:rsidR="0095242F">
        <w:rPr>
          <w:lang w:val="fr-FR"/>
        </w:rPr>
        <w:t> </w:t>
      </w:r>
      <w:r w:rsidRPr="00345DAD">
        <w:rPr>
          <w:lang w:val="fr-FR"/>
        </w:rPr>
        <w:t>:</w:t>
      </w:r>
    </w:p>
    <w:p w14:paraId="03B6C50E" w14:textId="77777777" w:rsidR="00345DAD" w:rsidRPr="00345DAD" w:rsidRDefault="0095242F" w:rsidP="0095242F">
      <w:pPr>
        <w:pStyle w:val="SingleTxtG"/>
        <w:ind w:left="1701"/>
        <w:rPr>
          <w:lang w:val="fr-FR"/>
        </w:rPr>
      </w:pPr>
      <w:r>
        <w:rPr>
          <w:lang w:val="fr-FR"/>
        </w:rPr>
        <w:tab/>
      </w:r>
      <w:r w:rsidR="00345DAD" w:rsidRPr="00345DAD">
        <w:rPr>
          <w:lang w:val="fr-FR"/>
        </w:rPr>
        <w:t>«</w:t>
      </w:r>
      <w:r>
        <w:rPr>
          <w:lang w:val="fr-FR"/>
        </w:rPr>
        <w:t> </w:t>
      </w:r>
      <w:r w:rsidR="00345DAD" w:rsidRPr="00345DAD">
        <w:rPr>
          <w:lang w:val="fr-FR"/>
        </w:rPr>
        <w:t>Selon les résultats des essais ci-dessus, le présent procès-verbal est considéré comme un certificat d</w:t>
      </w:r>
      <w:r w:rsidR="00345DAD">
        <w:rPr>
          <w:lang w:val="fr-FR"/>
        </w:rPr>
        <w:t>’</w:t>
      </w:r>
      <w:r w:rsidR="00345DAD" w:rsidRPr="00345DAD">
        <w:rPr>
          <w:lang w:val="fr-FR"/>
        </w:rPr>
        <w:t>homologation de type au sens de l</w:t>
      </w:r>
      <w:r w:rsidR="00345DAD">
        <w:rPr>
          <w:lang w:val="fr-FR"/>
        </w:rPr>
        <w:t>’</w:t>
      </w:r>
      <w:r w:rsidR="00345DAD" w:rsidRPr="00345DAD">
        <w:rPr>
          <w:lang w:val="fr-FR"/>
        </w:rPr>
        <w:t>alinéa a) du paragraphe 6 de l</w:t>
      </w:r>
      <w:r w:rsidR="00345DAD">
        <w:rPr>
          <w:lang w:val="fr-FR"/>
        </w:rPr>
        <w:t>’</w:t>
      </w:r>
      <w:r w:rsidR="00345DAD" w:rsidRPr="00345DAD">
        <w:rPr>
          <w:lang w:val="fr-FR"/>
        </w:rPr>
        <w:t>appendice 1 de l</w:t>
      </w:r>
      <w:r w:rsidR="00345DAD">
        <w:rPr>
          <w:lang w:val="fr-FR"/>
        </w:rPr>
        <w:t>’</w:t>
      </w:r>
      <w:r w:rsidR="00345DAD" w:rsidRPr="00345DAD">
        <w:rPr>
          <w:lang w:val="fr-FR"/>
        </w:rPr>
        <w:t>annexe 1 de l</w:t>
      </w:r>
      <w:r w:rsidR="00345DAD">
        <w:rPr>
          <w:lang w:val="fr-FR"/>
        </w:rPr>
        <w:t>’</w:t>
      </w:r>
      <w:r w:rsidR="00345DAD" w:rsidRPr="00345DAD">
        <w:rPr>
          <w:lang w:val="fr-FR"/>
        </w:rPr>
        <w:t>ATP, dont la validité ne peut dépasser une période de six ans, soit la date suivante… ».</w:t>
      </w:r>
    </w:p>
    <w:p w14:paraId="15B25339" w14:textId="77777777" w:rsidR="00345DAD" w:rsidRPr="00345DAD" w:rsidRDefault="00345DAD" w:rsidP="00345DAD">
      <w:pPr>
        <w:pStyle w:val="SingleTxtG"/>
        <w:rPr>
          <w:lang w:val="fr-FR"/>
        </w:rPr>
      </w:pPr>
      <w:r w:rsidRPr="00345DAD">
        <w:rPr>
          <w:lang w:val="fr-FR"/>
        </w:rPr>
        <w:t>2.</w:t>
      </w:r>
      <w:r w:rsidRPr="00345DAD">
        <w:rPr>
          <w:lang w:val="fr-FR"/>
        </w:rPr>
        <w:tab/>
        <w:t>Avant que cet additif n</w:t>
      </w:r>
      <w:r>
        <w:rPr>
          <w:lang w:val="fr-FR"/>
        </w:rPr>
        <w:t>’</w:t>
      </w:r>
      <w:r w:rsidRPr="00345DAD">
        <w:rPr>
          <w:lang w:val="fr-FR"/>
        </w:rPr>
        <w:t>entre en vigueur, la validité des certificats d</w:t>
      </w:r>
      <w:r>
        <w:rPr>
          <w:lang w:val="fr-FR"/>
        </w:rPr>
        <w:t>’</w:t>
      </w:r>
      <w:r w:rsidRPr="00345DAD">
        <w:rPr>
          <w:lang w:val="fr-FR"/>
        </w:rPr>
        <w:t>homologation de type des groupes frigorifiques ne faisait l</w:t>
      </w:r>
      <w:r>
        <w:rPr>
          <w:lang w:val="fr-FR"/>
        </w:rPr>
        <w:t>’</w:t>
      </w:r>
      <w:r w:rsidRPr="00345DAD">
        <w:rPr>
          <w:lang w:val="fr-FR"/>
        </w:rPr>
        <w:t>objet d</w:t>
      </w:r>
      <w:r>
        <w:rPr>
          <w:lang w:val="fr-FR"/>
        </w:rPr>
        <w:t>’</w:t>
      </w:r>
      <w:r w:rsidRPr="00345DAD">
        <w:rPr>
          <w:lang w:val="fr-FR"/>
        </w:rPr>
        <w:t>aucune limitation dans le temps, tant qu</w:t>
      </w:r>
      <w:r>
        <w:rPr>
          <w:lang w:val="fr-FR"/>
        </w:rPr>
        <w:t>’</w:t>
      </w:r>
      <w:r w:rsidRPr="00345DAD">
        <w:rPr>
          <w:lang w:val="fr-FR"/>
        </w:rPr>
        <w:t>aucune modification intéressant l</w:t>
      </w:r>
      <w:r>
        <w:rPr>
          <w:lang w:val="fr-FR"/>
        </w:rPr>
        <w:t>’</w:t>
      </w:r>
      <w:r w:rsidRPr="00345DAD">
        <w:rPr>
          <w:lang w:val="fr-FR"/>
        </w:rPr>
        <w:t>ATP n</w:t>
      </w:r>
      <w:r>
        <w:rPr>
          <w:lang w:val="fr-FR"/>
        </w:rPr>
        <w:t>’</w:t>
      </w:r>
      <w:r w:rsidRPr="00345DAD">
        <w:rPr>
          <w:lang w:val="fr-FR"/>
        </w:rPr>
        <w:t xml:space="preserve">avait été réalisée sur le type homologué antérieurement. </w:t>
      </w:r>
    </w:p>
    <w:p w14:paraId="752F80D4" w14:textId="77777777" w:rsidR="00345DAD" w:rsidRPr="00345DAD" w:rsidRDefault="00345DAD" w:rsidP="00345DAD">
      <w:pPr>
        <w:pStyle w:val="SingleTxtG"/>
        <w:rPr>
          <w:lang w:val="fr-FR"/>
        </w:rPr>
      </w:pPr>
      <w:r w:rsidRPr="00345DAD">
        <w:rPr>
          <w:lang w:val="fr-FR"/>
        </w:rPr>
        <w:t>3.</w:t>
      </w:r>
      <w:r w:rsidRPr="00345DAD">
        <w:rPr>
          <w:lang w:val="fr-FR"/>
        </w:rPr>
        <w:tab/>
        <w:t>La validité des procès-verbaux d</w:t>
      </w:r>
      <w:r>
        <w:rPr>
          <w:lang w:val="fr-FR"/>
        </w:rPr>
        <w:t>’</w:t>
      </w:r>
      <w:r w:rsidRPr="00345DAD">
        <w:rPr>
          <w:lang w:val="fr-FR"/>
        </w:rPr>
        <w:t xml:space="preserve">essai des groupes frigorifiques est limitée à six ans dans le modèle </w:t>
      </w:r>
      <w:r w:rsidR="0095242F" w:rsidRPr="0095242F">
        <w:rPr>
          <w:rFonts w:eastAsia="MS Mincho"/>
          <w:lang w:val="fr-FR"/>
        </w:rPr>
        <w:t>n</w:t>
      </w:r>
      <w:r w:rsidR="0095242F" w:rsidRPr="0095242F">
        <w:rPr>
          <w:rFonts w:eastAsia="MS Mincho"/>
          <w:vertAlign w:val="superscript"/>
          <w:lang w:val="fr-FR"/>
        </w:rPr>
        <w:t>o</w:t>
      </w:r>
      <w:r w:rsidR="0095242F">
        <w:rPr>
          <w:lang w:val="fr-FR"/>
        </w:rPr>
        <w:t xml:space="preserve"> </w:t>
      </w:r>
      <w:r w:rsidRPr="00345DAD">
        <w:rPr>
          <w:lang w:val="fr-FR"/>
        </w:rPr>
        <w:t>12 à l</w:t>
      </w:r>
      <w:r>
        <w:rPr>
          <w:lang w:val="fr-FR"/>
        </w:rPr>
        <w:t>’</w:t>
      </w:r>
      <w:r w:rsidRPr="00345DAD">
        <w:rPr>
          <w:lang w:val="fr-FR"/>
        </w:rPr>
        <w:t>appendice 2 de l</w:t>
      </w:r>
      <w:r>
        <w:rPr>
          <w:lang w:val="fr-FR"/>
        </w:rPr>
        <w:t>’</w:t>
      </w:r>
      <w:r w:rsidRPr="00345DAD">
        <w:rPr>
          <w:lang w:val="fr-FR"/>
        </w:rPr>
        <w:t>annexe 1 uniquement ; cette disposition ne figure dans aucune autre partie du texte de l</w:t>
      </w:r>
      <w:r>
        <w:rPr>
          <w:lang w:val="fr-FR"/>
        </w:rPr>
        <w:t>’</w:t>
      </w:r>
      <w:r w:rsidRPr="00345DAD">
        <w:rPr>
          <w:lang w:val="fr-FR"/>
        </w:rPr>
        <w:t xml:space="preserve">ATP. </w:t>
      </w:r>
    </w:p>
    <w:p w14:paraId="3A6E3E07" w14:textId="77777777" w:rsidR="00345DAD" w:rsidRPr="00345DAD" w:rsidRDefault="00345DAD" w:rsidP="00345DAD">
      <w:pPr>
        <w:pStyle w:val="SingleTxtG"/>
        <w:rPr>
          <w:lang w:val="fr-FR"/>
        </w:rPr>
      </w:pPr>
      <w:r w:rsidRPr="00345DAD">
        <w:rPr>
          <w:lang w:val="fr-FR"/>
        </w:rPr>
        <w:t>4.</w:t>
      </w:r>
      <w:r w:rsidRPr="00345DAD">
        <w:rPr>
          <w:lang w:val="fr-FR"/>
        </w:rPr>
        <w:tab/>
        <w:t>C</w:t>
      </w:r>
      <w:r>
        <w:rPr>
          <w:lang w:val="fr-FR"/>
        </w:rPr>
        <w:t>’</w:t>
      </w:r>
      <w:r w:rsidRPr="00345DAD">
        <w:rPr>
          <w:lang w:val="fr-FR"/>
        </w:rPr>
        <w:t>est pourquoi la référence au paragraphe 6 a) de l</w:t>
      </w:r>
      <w:r>
        <w:rPr>
          <w:lang w:val="fr-FR"/>
        </w:rPr>
        <w:t>’</w:t>
      </w:r>
      <w:r w:rsidRPr="00345DAD">
        <w:rPr>
          <w:lang w:val="fr-FR"/>
        </w:rPr>
        <w:t>appendice 1 de l</w:t>
      </w:r>
      <w:r>
        <w:rPr>
          <w:lang w:val="fr-FR"/>
        </w:rPr>
        <w:t>’</w:t>
      </w:r>
      <w:r w:rsidRPr="00345DAD">
        <w:rPr>
          <w:lang w:val="fr-FR"/>
        </w:rPr>
        <w:t xml:space="preserve">annexe 1 figurant dans le modèle </w:t>
      </w:r>
      <w:r w:rsidR="0095242F" w:rsidRPr="0095242F">
        <w:rPr>
          <w:rFonts w:eastAsia="MS Mincho"/>
          <w:lang w:val="fr-FR"/>
        </w:rPr>
        <w:t>n</w:t>
      </w:r>
      <w:r w:rsidR="0095242F" w:rsidRPr="0095242F">
        <w:rPr>
          <w:rFonts w:eastAsia="MS Mincho"/>
          <w:vertAlign w:val="superscript"/>
          <w:lang w:val="fr-FR"/>
        </w:rPr>
        <w:t>o</w:t>
      </w:r>
      <w:r w:rsidRPr="00345DAD">
        <w:rPr>
          <w:lang w:val="fr-FR"/>
        </w:rPr>
        <w:t xml:space="preserve"> 12 à l</w:t>
      </w:r>
      <w:r>
        <w:rPr>
          <w:lang w:val="fr-FR"/>
        </w:rPr>
        <w:t>’</w:t>
      </w:r>
      <w:r w:rsidRPr="00345DAD">
        <w:rPr>
          <w:lang w:val="fr-FR"/>
        </w:rPr>
        <w:t>appendice 2 de l</w:t>
      </w:r>
      <w:r>
        <w:rPr>
          <w:lang w:val="fr-FR"/>
        </w:rPr>
        <w:t>’</w:t>
      </w:r>
      <w:r w:rsidRPr="00345DAD">
        <w:rPr>
          <w:lang w:val="fr-FR"/>
        </w:rPr>
        <w:t>annexe 1 est trompeuse et incorrecte. L</w:t>
      </w:r>
      <w:r>
        <w:rPr>
          <w:lang w:val="fr-FR"/>
        </w:rPr>
        <w:t>’</w:t>
      </w:r>
      <w:r w:rsidRPr="00345DAD">
        <w:rPr>
          <w:lang w:val="fr-FR"/>
        </w:rPr>
        <w:t>appendice 1 de l</w:t>
      </w:r>
      <w:r>
        <w:rPr>
          <w:lang w:val="fr-FR"/>
        </w:rPr>
        <w:t>’</w:t>
      </w:r>
      <w:r w:rsidRPr="00345DAD">
        <w:rPr>
          <w:lang w:val="fr-FR"/>
        </w:rPr>
        <w:t>annexe 1 porte sur les engins produits en série. Dans l</w:t>
      </w:r>
      <w:r>
        <w:rPr>
          <w:lang w:val="fr-FR"/>
        </w:rPr>
        <w:t>’</w:t>
      </w:r>
      <w:r w:rsidRPr="00345DAD">
        <w:rPr>
          <w:lang w:val="fr-FR"/>
        </w:rPr>
        <w:t>ATP, un engin est défini comme une caisse isotherme avec ou sans groupe frigorifique. En tant que tel, un groupe frigorifique ne peut être considéré comme un engin.</w:t>
      </w:r>
    </w:p>
    <w:p w14:paraId="324E5382" w14:textId="77777777" w:rsidR="00345DAD" w:rsidRPr="00345DAD" w:rsidRDefault="00345DAD" w:rsidP="00345DAD">
      <w:pPr>
        <w:pStyle w:val="SingleTxtG"/>
        <w:rPr>
          <w:lang w:val="fr-FR"/>
        </w:rPr>
      </w:pPr>
      <w:r w:rsidRPr="00345DAD">
        <w:rPr>
          <w:lang w:val="fr-FR"/>
        </w:rPr>
        <w:t>5.</w:t>
      </w:r>
      <w:r w:rsidRPr="00345DAD">
        <w:rPr>
          <w:lang w:val="fr-FR"/>
        </w:rPr>
        <w:tab/>
        <w:t>À l</w:t>
      </w:r>
      <w:r>
        <w:rPr>
          <w:lang w:val="fr-FR"/>
        </w:rPr>
        <w:t>’</w:t>
      </w:r>
      <w:r w:rsidRPr="00345DAD">
        <w:rPr>
          <w:lang w:val="fr-FR"/>
        </w:rPr>
        <w:t>heure actuelle, le texte de l</w:t>
      </w:r>
      <w:r>
        <w:rPr>
          <w:lang w:val="fr-FR"/>
        </w:rPr>
        <w:t>’</w:t>
      </w:r>
      <w:r w:rsidRPr="00345DAD">
        <w:rPr>
          <w:lang w:val="fr-FR"/>
        </w:rPr>
        <w:t>ATP ne contient aucune disposition pour les groupes frigorifiques ou d</w:t>
      </w:r>
      <w:r>
        <w:rPr>
          <w:lang w:val="fr-FR"/>
        </w:rPr>
        <w:t>’</w:t>
      </w:r>
      <w:r w:rsidRPr="00345DAD">
        <w:rPr>
          <w:lang w:val="fr-FR"/>
        </w:rPr>
        <w:t>autres dispositifs thermiques qui soit comparable aux dispositions du paragraphe</w:t>
      </w:r>
      <w:r w:rsidR="0095242F">
        <w:rPr>
          <w:lang w:val="fr-FR"/>
        </w:rPr>
        <w:t> </w:t>
      </w:r>
      <w:r w:rsidRPr="00345DAD">
        <w:rPr>
          <w:lang w:val="fr-FR"/>
        </w:rPr>
        <w:t>6 a) de l</w:t>
      </w:r>
      <w:r>
        <w:rPr>
          <w:lang w:val="fr-FR"/>
        </w:rPr>
        <w:t>’</w:t>
      </w:r>
      <w:r w:rsidRPr="00345DAD">
        <w:rPr>
          <w:lang w:val="fr-FR"/>
        </w:rPr>
        <w:t>appendice 1 de l</w:t>
      </w:r>
      <w:r>
        <w:rPr>
          <w:lang w:val="fr-FR"/>
        </w:rPr>
        <w:t>’</w:t>
      </w:r>
      <w:r w:rsidRPr="00345DAD">
        <w:rPr>
          <w:lang w:val="fr-FR"/>
        </w:rPr>
        <w:t xml:space="preserve">annexe 1 pour les engins. </w:t>
      </w:r>
    </w:p>
    <w:p w14:paraId="01E66837" w14:textId="77777777" w:rsidR="00345DAD" w:rsidRPr="00345DAD" w:rsidRDefault="00345DAD" w:rsidP="00345DAD">
      <w:pPr>
        <w:pStyle w:val="SingleTxtG"/>
        <w:rPr>
          <w:lang w:val="fr-FR"/>
        </w:rPr>
      </w:pPr>
      <w:r w:rsidRPr="00345DAD">
        <w:rPr>
          <w:lang w:val="fr-FR"/>
        </w:rPr>
        <w:t>6.</w:t>
      </w:r>
      <w:r w:rsidRPr="00345DAD">
        <w:rPr>
          <w:lang w:val="fr-FR"/>
        </w:rPr>
        <w:tab/>
        <w:t>Cela s</w:t>
      </w:r>
      <w:r>
        <w:rPr>
          <w:lang w:val="fr-FR"/>
        </w:rPr>
        <w:t>’</w:t>
      </w:r>
      <w:r w:rsidRPr="00345DAD">
        <w:rPr>
          <w:lang w:val="fr-FR"/>
        </w:rPr>
        <w:t>explique par l</w:t>
      </w:r>
      <w:r>
        <w:rPr>
          <w:lang w:val="fr-FR"/>
        </w:rPr>
        <w:t>’</w:t>
      </w:r>
      <w:r w:rsidRPr="00345DAD">
        <w:rPr>
          <w:lang w:val="fr-FR"/>
        </w:rPr>
        <w:t>histoire de l</w:t>
      </w:r>
      <w:r>
        <w:rPr>
          <w:lang w:val="fr-FR"/>
        </w:rPr>
        <w:t>’</w:t>
      </w:r>
      <w:r w:rsidRPr="00345DAD">
        <w:rPr>
          <w:lang w:val="fr-FR"/>
        </w:rPr>
        <w:t>ATP et par le fait que les composants d</w:t>
      </w:r>
      <w:r>
        <w:rPr>
          <w:lang w:val="fr-FR"/>
        </w:rPr>
        <w:t>’</w:t>
      </w:r>
      <w:r w:rsidRPr="00345DAD">
        <w:rPr>
          <w:lang w:val="fr-FR"/>
        </w:rPr>
        <w:t xml:space="preserve">un groupe frigorifique de transport </w:t>
      </w:r>
      <w:r w:rsidR="0095242F">
        <w:rPr>
          <w:lang w:val="fr-FR"/>
        </w:rPr>
        <w:t>−</w:t>
      </w:r>
      <w:r w:rsidRPr="00345DAD">
        <w:rPr>
          <w:lang w:val="fr-FR"/>
        </w:rPr>
        <w:t xml:space="preserve"> autres que ceux des engins isothermes − sont facilement accessibles. Ainsi, il est possible de vérifier à l</w:t>
      </w:r>
      <w:r>
        <w:rPr>
          <w:lang w:val="fr-FR"/>
        </w:rPr>
        <w:t>’</w:t>
      </w:r>
      <w:r w:rsidRPr="00345DAD">
        <w:rPr>
          <w:lang w:val="fr-FR"/>
        </w:rPr>
        <w:t>œil nu si les composants du groupe frigorifique de transport en question correspondent aux composants du groupe soumis à l</w:t>
      </w:r>
      <w:r>
        <w:rPr>
          <w:lang w:val="fr-FR"/>
        </w:rPr>
        <w:t>’</w:t>
      </w:r>
      <w:r w:rsidRPr="00345DAD">
        <w:rPr>
          <w:lang w:val="fr-FR"/>
        </w:rPr>
        <w:t>essai décrits dans le procès-verbal d</w:t>
      </w:r>
      <w:r>
        <w:rPr>
          <w:lang w:val="fr-FR"/>
        </w:rPr>
        <w:t>’</w:t>
      </w:r>
      <w:r w:rsidRPr="00345DAD">
        <w:rPr>
          <w:lang w:val="fr-FR"/>
        </w:rPr>
        <w:t>essai.</w:t>
      </w:r>
    </w:p>
    <w:p w14:paraId="7F38AC1E" w14:textId="77777777" w:rsidR="00345DAD" w:rsidRPr="00345DAD" w:rsidRDefault="00345DAD" w:rsidP="00345DAD">
      <w:pPr>
        <w:pStyle w:val="SingleTxtG"/>
        <w:rPr>
          <w:lang w:val="fr-FR"/>
        </w:rPr>
      </w:pPr>
      <w:r w:rsidRPr="00345DAD">
        <w:rPr>
          <w:lang w:val="fr-FR"/>
        </w:rPr>
        <w:t>7.</w:t>
      </w:r>
      <w:r w:rsidRPr="00345DAD">
        <w:rPr>
          <w:lang w:val="fr-FR"/>
        </w:rPr>
        <w:tab/>
        <w:t>Il ressort des débats tenus à la soixante et unième session du WP.11 en 2005 que la conception de la plupart des groupes frigorifiques, en particulier des groupes produits en série, était modifiée après quelques années. Dans de tels cas, avant même l</w:t>
      </w:r>
      <w:r>
        <w:rPr>
          <w:lang w:val="fr-FR"/>
        </w:rPr>
        <w:t>’</w:t>
      </w:r>
      <w:r w:rsidRPr="00345DAD">
        <w:rPr>
          <w:lang w:val="fr-FR"/>
        </w:rPr>
        <w:t>introduction d</w:t>
      </w:r>
      <w:r>
        <w:rPr>
          <w:lang w:val="fr-FR"/>
        </w:rPr>
        <w:t>’</w:t>
      </w:r>
      <w:r w:rsidRPr="00345DAD">
        <w:rPr>
          <w:lang w:val="fr-FR"/>
        </w:rPr>
        <w:t>une date d</w:t>
      </w:r>
      <w:r>
        <w:rPr>
          <w:lang w:val="fr-FR"/>
        </w:rPr>
        <w:t>’</w:t>
      </w:r>
      <w:r w:rsidRPr="00345DAD">
        <w:rPr>
          <w:lang w:val="fr-FR"/>
        </w:rPr>
        <w:t>expiration pour les procès-verbaux d</w:t>
      </w:r>
      <w:r>
        <w:rPr>
          <w:lang w:val="fr-FR"/>
        </w:rPr>
        <w:t>’</w:t>
      </w:r>
      <w:r w:rsidRPr="00345DAD">
        <w:rPr>
          <w:lang w:val="fr-FR"/>
        </w:rPr>
        <w:t xml:space="preserve">essai en 2015, les fabricants devaient demander un nouvel essai de type pour les groupes frigorifiques modifiés. </w:t>
      </w:r>
    </w:p>
    <w:p w14:paraId="3C2FE633" w14:textId="77777777" w:rsidR="00345DAD" w:rsidRPr="00345DAD" w:rsidRDefault="00345DAD" w:rsidP="00345DAD">
      <w:pPr>
        <w:pStyle w:val="SingleTxtG"/>
        <w:rPr>
          <w:lang w:val="fr-FR"/>
        </w:rPr>
      </w:pPr>
      <w:r w:rsidRPr="00345DAD">
        <w:rPr>
          <w:lang w:val="fr-FR"/>
        </w:rPr>
        <w:t>8.</w:t>
      </w:r>
      <w:r w:rsidRPr="00345DAD">
        <w:rPr>
          <w:lang w:val="fr-FR"/>
        </w:rPr>
        <w:tab/>
        <w:t>Pour les petites et moyennes entreprises fabriquant des groupes frigorifiques, la limitation de la validité des procès-verbaux d</w:t>
      </w:r>
      <w:r>
        <w:rPr>
          <w:lang w:val="fr-FR"/>
        </w:rPr>
        <w:t>’</w:t>
      </w:r>
      <w:r w:rsidRPr="00345DAD">
        <w:rPr>
          <w:lang w:val="fr-FR"/>
        </w:rPr>
        <w:t>essai représente un fardeau économique. En effet, ces fabricants doivent souvent répondre aux besoins spécifiques de leurs clients et proposent donc un large éventail de produits spécialement conçus qui sont généralement fabriqués en petit nombre, ce qui est très différent de la production de masse telle qu</w:t>
      </w:r>
      <w:r>
        <w:rPr>
          <w:lang w:val="fr-FR"/>
        </w:rPr>
        <w:t>’</w:t>
      </w:r>
      <w:r w:rsidRPr="00345DAD">
        <w:rPr>
          <w:lang w:val="fr-FR"/>
        </w:rPr>
        <w:t>elle est mentionnée au paragraphe 6 a) de l</w:t>
      </w:r>
      <w:r>
        <w:rPr>
          <w:lang w:val="fr-FR"/>
        </w:rPr>
        <w:t>’</w:t>
      </w:r>
      <w:r w:rsidRPr="00345DAD">
        <w:rPr>
          <w:lang w:val="fr-FR"/>
        </w:rPr>
        <w:t>appendice 1 de l</w:t>
      </w:r>
      <w:r>
        <w:rPr>
          <w:lang w:val="fr-FR"/>
        </w:rPr>
        <w:t>’</w:t>
      </w:r>
      <w:r w:rsidRPr="00345DAD">
        <w:rPr>
          <w:lang w:val="fr-FR"/>
        </w:rPr>
        <w:t xml:space="preserve">annexe 1 pour les engins construits en série. </w:t>
      </w:r>
    </w:p>
    <w:p w14:paraId="149F0148" w14:textId="77777777" w:rsidR="00345DAD" w:rsidRPr="00345DAD" w:rsidRDefault="00345DAD" w:rsidP="00345DAD">
      <w:pPr>
        <w:pStyle w:val="SingleTxtG"/>
        <w:rPr>
          <w:lang w:val="fr-FR"/>
        </w:rPr>
      </w:pPr>
      <w:r w:rsidRPr="00345DAD">
        <w:rPr>
          <w:lang w:val="fr-FR"/>
        </w:rPr>
        <w:t>9.</w:t>
      </w:r>
      <w:r w:rsidRPr="00345DAD">
        <w:rPr>
          <w:lang w:val="fr-FR"/>
        </w:rPr>
        <w:tab/>
        <w:t>Après la délivrance du procès-verbal d</w:t>
      </w:r>
      <w:r>
        <w:rPr>
          <w:lang w:val="fr-FR"/>
        </w:rPr>
        <w:t>’</w:t>
      </w:r>
      <w:r w:rsidRPr="00345DAD">
        <w:rPr>
          <w:lang w:val="fr-FR"/>
        </w:rPr>
        <w:t>essai, les fabricants ci-dessus ne modifient pas le groupe frigorifique soumis à l</w:t>
      </w:r>
      <w:r>
        <w:rPr>
          <w:lang w:val="fr-FR"/>
        </w:rPr>
        <w:t>’</w:t>
      </w:r>
      <w:r w:rsidRPr="00345DAD">
        <w:rPr>
          <w:lang w:val="fr-FR"/>
        </w:rPr>
        <w:t>essai avant de nombreuses années.</w:t>
      </w:r>
      <w:r w:rsidR="0095242F">
        <w:rPr>
          <w:lang w:val="fr-FR"/>
        </w:rPr>
        <w:t xml:space="preserve"> </w:t>
      </w:r>
      <w:r w:rsidRPr="00345DAD">
        <w:rPr>
          <w:lang w:val="fr-FR"/>
        </w:rPr>
        <w:t>Toutefois, les coûts et les efforts qu</w:t>
      </w:r>
      <w:r>
        <w:rPr>
          <w:lang w:val="fr-FR"/>
        </w:rPr>
        <w:t>’</w:t>
      </w:r>
      <w:r w:rsidRPr="00345DAD">
        <w:rPr>
          <w:lang w:val="fr-FR"/>
        </w:rPr>
        <w:t xml:space="preserve">implique le fait de soumettre ces groupes frigorifiques non modifiés à des essais obligatoires tous les six ans sont indûment élevés, en particulier pour les engins à températures multiples, et désavantagent les petites et moyennes entreprises fabriquant des groupes frigorifiques sur le plan de la compétitivité, ce qui produit à terme une distorsion de la concurrence. </w:t>
      </w:r>
    </w:p>
    <w:p w14:paraId="3300D6F6" w14:textId="77777777" w:rsidR="00345DAD" w:rsidRPr="00345DAD" w:rsidRDefault="00345DAD" w:rsidP="00345DAD">
      <w:pPr>
        <w:pStyle w:val="SingleTxtG"/>
        <w:rPr>
          <w:lang w:val="fr-FR"/>
        </w:rPr>
      </w:pPr>
      <w:r w:rsidRPr="00345DAD">
        <w:rPr>
          <w:lang w:val="fr-FR"/>
        </w:rPr>
        <w:t>10.</w:t>
      </w:r>
      <w:r w:rsidRPr="00345DAD">
        <w:rPr>
          <w:lang w:val="fr-FR"/>
        </w:rPr>
        <w:tab/>
        <w:t>Tant qu</w:t>
      </w:r>
      <w:r>
        <w:rPr>
          <w:lang w:val="fr-FR"/>
        </w:rPr>
        <w:t>’</w:t>
      </w:r>
      <w:r w:rsidRPr="00345DAD">
        <w:rPr>
          <w:lang w:val="fr-FR"/>
        </w:rPr>
        <w:t>aucune modification ayant une incidence négative sur les capacités de réfrigération n</w:t>
      </w:r>
      <w:r>
        <w:rPr>
          <w:lang w:val="fr-FR"/>
        </w:rPr>
        <w:t>’</w:t>
      </w:r>
      <w:r w:rsidRPr="00345DAD">
        <w:rPr>
          <w:lang w:val="fr-FR"/>
        </w:rPr>
        <w:t>est effectuée sur un groupe frigorifique, un nouvel essai d</w:t>
      </w:r>
      <w:r>
        <w:rPr>
          <w:lang w:val="fr-FR"/>
        </w:rPr>
        <w:t>’</w:t>
      </w:r>
      <w:r w:rsidRPr="00345DAD">
        <w:rPr>
          <w:lang w:val="fr-FR"/>
        </w:rPr>
        <w:t>un type de groupe frigorifique précédemment homologué ne fera que reproduire les résultats du premier essai. Il n</w:t>
      </w:r>
      <w:r>
        <w:rPr>
          <w:lang w:val="fr-FR"/>
        </w:rPr>
        <w:t>’</w:t>
      </w:r>
      <w:r w:rsidRPr="00345DAD">
        <w:rPr>
          <w:lang w:val="fr-FR"/>
        </w:rPr>
        <w:t xml:space="preserve">aboutira pas à de nouvelles conclusions ou à une amélioration de la sécurité alimentaire, mais désavantagera tout particulièrement les petites et moyennes entreprises fabriquant des groupes frigorifiques sur le plan de la compétitivité et produira à terme une </w:t>
      </w:r>
      <w:bookmarkStart w:id="1" w:name="_GoBack"/>
      <w:bookmarkEnd w:id="1"/>
      <w:r w:rsidRPr="00345DAD">
        <w:rPr>
          <w:lang w:val="fr-FR"/>
        </w:rPr>
        <w:lastRenderedPageBreak/>
        <w:t xml:space="preserve">distorsion de la concurrence. Cela a été prouvé et confirmé par plusieurs essais répétés sur des groupes frigorifiques au cours des dernières années. </w:t>
      </w:r>
    </w:p>
    <w:p w14:paraId="424370DC" w14:textId="77777777" w:rsidR="00345DAD" w:rsidRPr="00345DAD" w:rsidRDefault="00345DAD" w:rsidP="00345DAD">
      <w:pPr>
        <w:pStyle w:val="SingleTxtG"/>
        <w:rPr>
          <w:lang w:val="fr-FR"/>
        </w:rPr>
      </w:pPr>
      <w:r w:rsidRPr="00345DAD">
        <w:rPr>
          <w:lang w:val="fr-FR"/>
        </w:rPr>
        <w:t>11.</w:t>
      </w:r>
      <w:r w:rsidRPr="00345DAD">
        <w:rPr>
          <w:lang w:val="fr-FR"/>
        </w:rPr>
        <w:tab/>
        <w:t>L</w:t>
      </w:r>
      <w:r>
        <w:rPr>
          <w:lang w:val="fr-FR"/>
        </w:rPr>
        <w:t>’</w:t>
      </w:r>
      <w:r w:rsidRPr="00345DAD">
        <w:rPr>
          <w:lang w:val="fr-FR"/>
        </w:rPr>
        <w:t xml:space="preserve">Allemagne a soumis à deux reprises </w:t>
      </w:r>
      <w:r w:rsidR="0095242F">
        <w:rPr>
          <w:lang w:val="fr-FR"/>
        </w:rPr>
        <w:t>−</w:t>
      </w:r>
      <w:r w:rsidRPr="00345DAD">
        <w:rPr>
          <w:lang w:val="fr-FR"/>
        </w:rPr>
        <w:t xml:space="preserve"> à la soixante-quatorzième et à la soixante</w:t>
      </w:r>
      <w:r w:rsidR="0095242F">
        <w:rPr>
          <w:lang w:val="fr-FR"/>
        </w:rPr>
        <w:noBreakHyphen/>
      </w:r>
      <w:r w:rsidRPr="00345DAD">
        <w:rPr>
          <w:lang w:val="fr-FR"/>
        </w:rPr>
        <w:t xml:space="preserve">quinzième session du WP.11, en 2018 et 2019 </w:t>
      </w:r>
      <w:r w:rsidR="0095242F">
        <w:rPr>
          <w:lang w:val="fr-FR"/>
        </w:rPr>
        <w:t>−</w:t>
      </w:r>
      <w:r w:rsidRPr="00345DAD">
        <w:rPr>
          <w:lang w:val="fr-FR"/>
        </w:rPr>
        <w:t xml:space="preserve"> des propositions pour un traitement équitable des intérêts des petites et moyennes entreprises. Les deux fois, les représentants ont accepté la proposition sur le principe, mais se sont demandé dans quelle partie du texte de l</w:t>
      </w:r>
      <w:r>
        <w:rPr>
          <w:lang w:val="fr-FR"/>
        </w:rPr>
        <w:t>’</w:t>
      </w:r>
      <w:r w:rsidRPr="00345DAD">
        <w:rPr>
          <w:lang w:val="fr-FR"/>
        </w:rPr>
        <w:t>ATP il convenait d</w:t>
      </w:r>
      <w:r>
        <w:rPr>
          <w:lang w:val="fr-FR"/>
        </w:rPr>
        <w:t>’</w:t>
      </w:r>
      <w:r w:rsidRPr="00345DAD">
        <w:rPr>
          <w:lang w:val="fr-FR"/>
        </w:rPr>
        <w:t>inclure ces dispositions. Ils se sont également déclarés préoccupés par l</w:t>
      </w:r>
      <w:r>
        <w:rPr>
          <w:lang w:val="fr-FR"/>
        </w:rPr>
        <w:t>’</w:t>
      </w:r>
      <w:r w:rsidRPr="00345DAD">
        <w:rPr>
          <w:lang w:val="fr-FR"/>
        </w:rPr>
        <w:t xml:space="preserve">absence de description claire de tous les aspects de la question. </w:t>
      </w:r>
    </w:p>
    <w:p w14:paraId="304D8B6E" w14:textId="77777777" w:rsidR="00345DAD" w:rsidRPr="00345DAD" w:rsidRDefault="00345DAD" w:rsidP="00345DAD">
      <w:pPr>
        <w:pStyle w:val="SingleTxtG"/>
        <w:rPr>
          <w:lang w:val="fr-FR"/>
        </w:rPr>
      </w:pPr>
      <w:r w:rsidRPr="00345DAD">
        <w:rPr>
          <w:lang w:val="fr-FR"/>
        </w:rPr>
        <w:t>12.</w:t>
      </w:r>
      <w:r w:rsidRPr="00345DAD">
        <w:rPr>
          <w:lang w:val="fr-FR"/>
        </w:rPr>
        <w:tab/>
        <w:t>En conséquence, un chapitre distinct doit être établi pour les dispositifs de refroidissement et de chauffage. En outre, il convient d</w:t>
      </w:r>
      <w:r>
        <w:rPr>
          <w:lang w:val="fr-FR"/>
        </w:rPr>
        <w:t>’</w:t>
      </w:r>
      <w:r w:rsidRPr="00345DAD">
        <w:rPr>
          <w:lang w:val="fr-FR"/>
        </w:rPr>
        <w:t>élaborer un certain nombre de définitions qui contribueront à donner une description détaillée. Il faudra des années avant que l</w:t>
      </w:r>
      <w:r>
        <w:rPr>
          <w:lang w:val="fr-FR"/>
        </w:rPr>
        <w:t>’</w:t>
      </w:r>
      <w:r w:rsidRPr="00345DAD">
        <w:rPr>
          <w:lang w:val="fr-FR"/>
        </w:rPr>
        <w:t>on puisse adopter des règles détaillées concernant la validité des procès-verbaux d</w:t>
      </w:r>
      <w:r>
        <w:rPr>
          <w:lang w:val="fr-FR"/>
        </w:rPr>
        <w:t>’</w:t>
      </w:r>
      <w:r w:rsidRPr="00345DAD">
        <w:rPr>
          <w:lang w:val="fr-FR"/>
        </w:rPr>
        <w:t>essai pour les groupes frigorifiques produits en série et pour ceux qui sont spécialement conçus en petit nombre (comparables aux engins de l</w:t>
      </w:r>
      <w:r>
        <w:rPr>
          <w:lang w:val="fr-FR"/>
        </w:rPr>
        <w:t>’</w:t>
      </w:r>
      <w:r w:rsidRPr="00345DAD">
        <w:rPr>
          <w:lang w:val="fr-FR"/>
        </w:rPr>
        <w:t>appendice 1 de l</w:t>
      </w:r>
      <w:r>
        <w:rPr>
          <w:lang w:val="fr-FR"/>
        </w:rPr>
        <w:t>’</w:t>
      </w:r>
      <w:r w:rsidRPr="00345DAD">
        <w:rPr>
          <w:lang w:val="fr-FR"/>
        </w:rPr>
        <w:t>annexe 1) et les intégrer au texte de l</w:t>
      </w:r>
      <w:r>
        <w:rPr>
          <w:lang w:val="fr-FR"/>
        </w:rPr>
        <w:t>’</w:t>
      </w:r>
      <w:r w:rsidRPr="00345DAD">
        <w:rPr>
          <w:lang w:val="fr-FR"/>
        </w:rPr>
        <w:t>ATP.</w:t>
      </w:r>
    </w:p>
    <w:p w14:paraId="29EAB6D5" w14:textId="77777777" w:rsidR="00345DAD" w:rsidRPr="00345DAD" w:rsidRDefault="00345DAD" w:rsidP="00345DAD">
      <w:pPr>
        <w:pStyle w:val="SingleTxtG"/>
        <w:rPr>
          <w:lang w:val="fr-FR"/>
        </w:rPr>
      </w:pPr>
      <w:r w:rsidRPr="00345DAD">
        <w:rPr>
          <w:lang w:val="fr-FR"/>
        </w:rPr>
        <w:t>13.</w:t>
      </w:r>
      <w:r w:rsidRPr="00345DAD">
        <w:rPr>
          <w:lang w:val="fr-FR"/>
        </w:rPr>
        <w:tab/>
        <w:t>En l</w:t>
      </w:r>
      <w:r>
        <w:rPr>
          <w:lang w:val="fr-FR"/>
        </w:rPr>
        <w:t>’</w:t>
      </w:r>
      <w:r w:rsidRPr="00345DAD">
        <w:rPr>
          <w:lang w:val="fr-FR"/>
        </w:rPr>
        <w:t>absence dans le texte de l</w:t>
      </w:r>
      <w:r>
        <w:rPr>
          <w:lang w:val="fr-FR"/>
        </w:rPr>
        <w:t>’</w:t>
      </w:r>
      <w:r w:rsidRPr="00345DAD">
        <w:rPr>
          <w:lang w:val="fr-FR"/>
        </w:rPr>
        <w:t>ATP de description de la limite de validité des procès-verbaux d</w:t>
      </w:r>
      <w:r>
        <w:rPr>
          <w:lang w:val="fr-FR"/>
        </w:rPr>
        <w:t>’</w:t>
      </w:r>
      <w:r w:rsidRPr="00345DAD">
        <w:rPr>
          <w:lang w:val="fr-FR"/>
        </w:rPr>
        <w:t>essai, l</w:t>
      </w:r>
      <w:r>
        <w:rPr>
          <w:lang w:val="fr-FR"/>
        </w:rPr>
        <w:t>’</w:t>
      </w:r>
      <w:r w:rsidRPr="00345DAD">
        <w:rPr>
          <w:lang w:val="fr-FR"/>
        </w:rPr>
        <w:t xml:space="preserve">Allemagne propose de supprimer la dernière partie des observations du modèle </w:t>
      </w:r>
      <w:r w:rsidR="0095242F" w:rsidRPr="0095242F">
        <w:rPr>
          <w:rFonts w:eastAsia="MS Mincho"/>
          <w:lang w:val="fr-FR"/>
        </w:rPr>
        <w:t>n</w:t>
      </w:r>
      <w:r w:rsidR="0095242F" w:rsidRPr="0095242F">
        <w:rPr>
          <w:rFonts w:eastAsia="MS Mincho"/>
          <w:vertAlign w:val="superscript"/>
          <w:lang w:val="fr-FR"/>
        </w:rPr>
        <w:t>o</w:t>
      </w:r>
      <w:r w:rsidR="0095242F">
        <w:rPr>
          <w:lang w:val="fr-FR"/>
        </w:rPr>
        <w:t> </w:t>
      </w:r>
      <w:r w:rsidRPr="00345DAD">
        <w:rPr>
          <w:lang w:val="fr-FR"/>
        </w:rPr>
        <w:t>12 à l</w:t>
      </w:r>
      <w:r>
        <w:rPr>
          <w:lang w:val="fr-FR"/>
        </w:rPr>
        <w:t>’</w:t>
      </w:r>
      <w:r w:rsidRPr="00345DAD">
        <w:rPr>
          <w:lang w:val="fr-FR"/>
        </w:rPr>
        <w:t>appendice 2 de l</w:t>
      </w:r>
      <w:r>
        <w:rPr>
          <w:lang w:val="fr-FR"/>
        </w:rPr>
        <w:t>’</w:t>
      </w:r>
      <w:r w:rsidRPr="00345DAD">
        <w:rPr>
          <w:lang w:val="fr-FR"/>
        </w:rPr>
        <w:t>annexe 1.</w:t>
      </w:r>
    </w:p>
    <w:p w14:paraId="2C74C1E0" w14:textId="77777777" w:rsidR="00345DAD" w:rsidRPr="00345DAD" w:rsidRDefault="00345DAD" w:rsidP="0095242F">
      <w:pPr>
        <w:pStyle w:val="HChG"/>
        <w:rPr>
          <w:lang w:val="fr-FR"/>
        </w:rPr>
      </w:pPr>
      <w:r w:rsidRPr="00345DAD">
        <w:rPr>
          <w:lang w:val="fr-FR"/>
        </w:rPr>
        <w:tab/>
      </w:r>
      <w:r w:rsidRPr="00345DAD">
        <w:rPr>
          <w:lang w:val="fr-FR"/>
        </w:rPr>
        <w:tab/>
        <w:t>Proposition d</w:t>
      </w:r>
      <w:r>
        <w:rPr>
          <w:lang w:val="fr-FR"/>
        </w:rPr>
        <w:t>’</w:t>
      </w:r>
      <w:r w:rsidRPr="00345DAD">
        <w:rPr>
          <w:lang w:val="fr-FR"/>
        </w:rPr>
        <w:t>amendement</w:t>
      </w:r>
    </w:p>
    <w:p w14:paraId="163E8692" w14:textId="77777777" w:rsidR="00345DAD" w:rsidRPr="00345DAD" w:rsidRDefault="00345DAD" w:rsidP="00345DAD">
      <w:pPr>
        <w:pStyle w:val="SingleTxtG"/>
        <w:rPr>
          <w:lang w:val="fr-FR"/>
        </w:rPr>
      </w:pPr>
      <w:r w:rsidRPr="00345DAD">
        <w:rPr>
          <w:lang w:val="fr-FR"/>
        </w:rPr>
        <w:t>14.</w:t>
      </w:r>
      <w:r w:rsidRPr="00345DAD">
        <w:rPr>
          <w:lang w:val="fr-FR"/>
        </w:rPr>
        <w:tab/>
        <w:t xml:space="preserve">Supprimer le texte suivant du modèle </w:t>
      </w:r>
      <w:r w:rsidR="0095242F" w:rsidRPr="0095242F">
        <w:rPr>
          <w:rFonts w:eastAsia="MS Mincho"/>
          <w:lang w:val="fr-FR"/>
        </w:rPr>
        <w:t>n</w:t>
      </w:r>
      <w:r w:rsidR="0095242F" w:rsidRPr="0095242F">
        <w:rPr>
          <w:rFonts w:eastAsia="MS Mincho"/>
          <w:vertAlign w:val="superscript"/>
          <w:lang w:val="fr-FR"/>
        </w:rPr>
        <w:t>o</w:t>
      </w:r>
      <w:r w:rsidR="0095242F">
        <w:rPr>
          <w:lang w:val="fr-FR"/>
        </w:rPr>
        <w:t> </w:t>
      </w:r>
      <w:r w:rsidRPr="00345DAD">
        <w:rPr>
          <w:lang w:val="fr-FR"/>
        </w:rPr>
        <w:t>12 à l</w:t>
      </w:r>
      <w:r>
        <w:rPr>
          <w:lang w:val="fr-FR"/>
        </w:rPr>
        <w:t>’</w:t>
      </w:r>
      <w:r w:rsidRPr="00345DAD">
        <w:rPr>
          <w:lang w:val="fr-FR"/>
        </w:rPr>
        <w:t>appendice 2 de l</w:t>
      </w:r>
      <w:r>
        <w:rPr>
          <w:lang w:val="fr-FR"/>
        </w:rPr>
        <w:t>’</w:t>
      </w:r>
      <w:r w:rsidRPr="00345DAD">
        <w:rPr>
          <w:lang w:val="fr-FR"/>
        </w:rPr>
        <w:t>annexe 1, après d)</w:t>
      </w:r>
      <w:r w:rsidR="0095242F">
        <w:rPr>
          <w:lang w:val="fr-FR"/>
        </w:rPr>
        <w:t> </w:t>
      </w:r>
      <w:r w:rsidRPr="00345DAD">
        <w:rPr>
          <w:lang w:val="fr-FR"/>
        </w:rPr>
        <w:t>Observations</w:t>
      </w:r>
      <w:r w:rsidR="0095242F">
        <w:rPr>
          <w:lang w:val="fr-FR"/>
        </w:rPr>
        <w:t> </w:t>
      </w:r>
      <w:r w:rsidRPr="00345DAD">
        <w:rPr>
          <w:lang w:val="fr-FR"/>
        </w:rPr>
        <w:t>:</w:t>
      </w:r>
    </w:p>
    <w:p w14:paraId="77BD3A7F" w14:textId="77777777" w:rsidR="00F9573C" w:rsidRPr="00345DAD" w:rsidRDefault="0095242F" w:rsidP="0095242F">
      <w:pPr>
        <w:pStyle w:val="SingleTxtG"/>
        <w:ind w:left="1701"/>
        <w:rPr>
          <w:lang w:val="fr-FR"/>
        </w:rPr>
      </w:pPr>
      <w:r>
        <w:rPr>
          <w:lang w:val="fr-FR"/>
        </w:rPr>
        <w:tab/>
      </w:r>
      <w:r w:rsidR="00345DAD" w:rsidRPr="00345DAD">
        <w:rPr>
          <w:lang w:val="fr-FR"/>
        </w:rPr>
        <w:t xml:space="preserve">« Selon les résultats des essais ci-dessus, le présent procès-verbal est considéré comme un certificat d’homologation de type au sens de </w:t>
      </w:r>
      <w:r w:rsidR="00345DAD" w:rsidRPr="00345DAD">
        <w:rPr>
          <w:strike/>
          <w:lang w:val="fr-FR"/>
        </w:rPr>
        <w:t>l’alinéa a) du paragraphe 6 de l’appendice 1 de l’annexe 1 de</w:t>
      </w:r>
      <w:r>
        <w:rPr>
          <w:strike/>
          <w:lang w:val="fr-FR"/>
        </w:rPr>
        <w:t xml:space="preserve"> </w:t>
      </w:r>
      <w:r w:rsidR="00345DAD" w:rsidRPr="00345DAD">
        <w:rPr>
          <w:lang w:val="fr-FR"/>
        </w:rPr>
        <w:t>l’ATP</w:t>
      </w:r>
      <w:r w:rsidR="00345DAD" w:rsidRPr="00345DAD">
        <w:rPr>
          <w:strike/>
          <w:lang w:val="fr-FR"/>
        </w:rPr>
        <w:t>, dont la validité ne peut dépasser une période de six ans, soit la date suivante........................</w:t>
      </w:r>
      <w:r w:rsidR="00345DAD" w:rsidRPr="00345DAD">
        <w:rPr>
          <w:lang w:val="fr-FR"/>
        </w:rPr>
        <w:t> ».</w:t>
      </w:r>
    </w:p>
    <w:p w14:paraId="317A0177" w14:textId="77777777" w:rsidR="00345DAD" w:rsidRPr="00345DAD" w:rsidRDefault="00345DAD" w:rsidP="0095242F">
      <w:pPr>
        <w:pStyle w:val="HChG"/>
        <w:rPr>
          <w:lang w:val="fr-FR"/>
        </w:rPr>
      </w:pPr>
      <w:r w:rsidRPr="00345DAD">
        <w:rPr>
          <w:lang w:val="fr-FR"/>
        </w:rPr>
        <w:tab/>
      </w:r>
      <w:r w:rsidRPr="00345DAD">
        <w:rPr>
          <w:lang w:val="fr-FR"/>
        </w:rPr>
        <w:tab/>
        <w:t>Incidences</w:t>
      </w:r>
    </w:p>
    <w:p w14:paraId="3096F84A" w14:textId="77777777" w:rsidR="00345DAD" w:rsidRPr="00345DAD" w:rsidRDefault="00345DAD" w:rsidP="00345DAD">
      <w:pPr>
        <w:pStyle w:val="SingleTxtG"/>
        <w:rPr>
          <w:lang w:val="fr-FR"/>
        </w:rPr>
      </w:pPr>
      <w:r w:rsidRPr="00345DAD">
        <w:rPr>
          <w:lang w:val="fr-FR"/>
        </w:rPr>
        <w:t>15.</w:t>
      </w:r>
      <w:r w:rsidRPr="00345DAD">
        <w:rPr>
          <w:lang w:val="fr-FR"/>
        </w:rPr>
        <w:tab/>
        <w:t>Coût</w:t>
      </w:r>
      <w:r w:rsidR="0095242F">
        <w:rPr>
          <w:lang w:val="fr-FR"/>
        </w:rPr>
        <w:t> </w:t>
      </w:r>
      <w:r w:rsidRPr="00345DAD">
        <w:rPr>
          <w:lang w:val="fr-FR"/>
        </w:rPr>
        <w:t>: Les coûts et l</w:t>
      </w:r>
      <w:r>
        <w:rPr>
          <w:lang w:val="fr-FR"/>
        </w:rPr>
        <w:t>’</w:t>
      </w:r>
      <w:r w:rsidRPr="00345DAD">
        <w:rPr>
          <w:lang w:val="fr-FR"/>
        </w:rPr>
        <w:t>impact environnemental négatif dû à la consommation d</w:t>
      </w:r>
      <w:r>
        <w:rPr>
          <w:lang w:val="fr-FR"/>
        </w:rPr>
        <w:t>’</w:t>
      </w:r>
      <w:r w:rsidRPr="00345DAD">
        <w:rPr>
          <w:lang w:val="fr-FR"/>
        </w:rPr>
        <w:t>énergie et à la pollution atmosphérique pendant les nouveaux essais des types de groupes frigorifiques précédemment homologués et non modifiés seront sensiblement réduits.</w:t>
      </w:r>
    </w:p>
    <w:p w14:paraId="2AC0025B" w14:textId="77777777" w:rsidR="00345DAD" w:rsidRPr="00345DAD" w:rsidRDefault="00345DAD" w:rsidP="00345DAD">
      <w:pPr>
        <w:pStyle w:val="SingleTxtG"/>
        <w:rPr>
          <w:lang w:val="fr-FR"/>
        </w:rPr>
      </w:pPr>
      <w:r w:rsidRPr="00345DAD">
        <w:rPr>
          <w:lang w:val="fr-FR"/>
        </w:rPr>
        <w:t>16.</w:t>
      </w:r>
      <w:r w:rsidRPr="00345DAD">
        <w:rPr>
          <w:lang w:val="fr-FR"/>
        </w:rPr>
        <w:tab/>
        <w:t>Faisabilité</w:t>
      </w:r>
      <w:r w:rsidR="0095242F">
        <w:rPr>
          <w:lang w:val="fr-FR"/>
        </w:rPr>
        <w:t> </w:t>
      </w:r>
      <w:r w:rsidRPr="00345DAD">
        <w:rPr>
          <w:lang w:val="fr-FR"/>
        </w:rPr>
        <w:t>: L</w:t>
      </w:r>
      <w:r>
        <w:rPr>
          <w:lang w:val="fr-FR"/>
        </w:rPr>
        <w:t>’</w:t>
      </w:r>
      <w:r w:rsidRPr="00345DAD">
        <w:rPr>
          <w:lang w:val="fr-FR"/>
        </w:rPr>
        <w:t>amendement proposé peut aisément être introduit dans l</w:t>
      </w:r>
      <w:r>
        <w:rPr>
          <w:lang w:val="fr-FR"/>
        </w:rPr>
        <w:t>’</w:t>
      </w:r>
      <w:r w:rsidRPr="00345DAD">
        <w:rPr>
          <w:lang w:val="fr-FR"/>
        </w:rPr>
        <w:t>ATP. Il n</w:t>
      </w:r>
      <w:r>
        <w:rPr>
          <w:lang w:val="fr-FR"/>
        </w:rPr>
        <w:t>’</w:t>
      </w:r>
      <w:r w:rsidRPr="00345DAD">
        <w:rPr>
          <w:lang w:val="fr-FR"/>
        </w:rPr>
        <w:t>est pas nécessaire de prévoir une période de transition.</w:t>
      </w:r>
    </w:p>
    <w:p w14:paraId="23271DE0" w14:textId="77777777" w:rsidR="00345DAD" w:rsidRPr="00345DAD" w:rsidRDefault="00345DAD" w:rsidP="00345DAD">
      <w:pPr>
        <w:pStyle w:val="SingleTxtG"/>
        <w:rPr>
          <w:lang w:val="fr-FR"/>
        </w:rPr>
      </w:pPr>
      <w:r w:rsidRPr="00345DAD">
        <w:rPr>
          <w:lang w:val="fr-FR"/>
        </w:rPr>
        <w:t>17.</w:t>
      </w:r>
      <w:r w:rsidRPr="00345DAD">
        <w:rPr>
          <w:lang w:val="fr-FR"/>
        </w:rPr>
        <w:tab/>
        <w:t>Applicabilité</w:t>
      </w:r>
      <w:r w:rsidR="0095242F">
        <w:rPr>
          <w:lang w:val="fr-FR"/>
        </w:rPr>
        <w:t> </w:t>
      </w:r>
      <w:r w:rsidRPr="00345DAD">
        <w:rPr>
          <w:lang w:val="fr-FR"/>
        </w:rPr>
        <w:t>: Aucune difficulté n</w:t>
      </w:r>
      <w:r>
        <w:rPr>
          <w:lang w:val="fr-FR"/>
        </w:rPr>
        <w:t>’</w:t>
      </w:r>
      <w:r w:rsidRPr="00345DAD">
        <w:rPr>
          <w:lang w:val="fr-FR"/>
        </w:rPr>
        <w:t>est à prévoir.</w:t>
      </w:r>
    </w:p>
    <w:p w14:paraId="2EB1D26C" w14:textId="77777777" w:rsidR="00345DAD" w:rsidRPr="00345DAD" w:rsidRDefault="00345DAD" w:rsidP="00345DA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45DAD" w:rsidRPr="00345DAD" w:rsidSect="00345DA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CD1A2" w14:textId="77777777" w:rsidR="00743410" w:rsidRDefault="00743410" w:rsidP="00F95C08">
      <w:pPr>
        <w:spacing w:line="240" w:lineRule="auto"/>
      </w:pPr>
    </w:p>
  </w:endnote>
  <w:endnote w:type="continuationSeparator" w:id="0">
    <w:p w14:paraId="6C16D0B6" w14:textId="77777777" w:rsidR="00743410" w:rsidRPr="00AC3823" w:rsidRDefault="00743410" w:rsidP="00AC3823">
      <w:pPr>
        <w:pStyle w:val="Footer"/>
      </w:pPr>
    </w:p>
  </w:endnote>
  <w:endnote w:type="continuationNotice" w:id="1">
    <w:p w14:paraId="574A6889" w14:textId="77777777" w:rsidR="00743410" w:rsidRDefault="007434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7535" w14:textId="77777777" w:rsidR="00345DAD" w:rsidRPr="00345DAD" w:rsidRDefault="00345DAD" w:rsidP="00345DAD">
    <w:pPr>
      <w:pStyle w:val="Footer"/>
      <w:tabs>
        <w:tab w:val="right" w:pos="9638"/>
      </w:tabs>
    </w:pPr>
    <w:r w:rsidRPr="00345DAD">
      <w:rPr>
        <w:b/>
        <w:sz w:val="18"/>
      </w:rPr>
      <w:fldChar w:fldCharType="begin"/>
    </w:r>
    <w:r w:rsidRPr="00345DAD">
      <w:rPr>
        <w:b/>
        <w:sz w:val="18"/>
      </w:rPr>
      <w:instrText xml:space="preserve"> PAGE  \* MERGEFORMAT </w:instrText>
    </w:r>
    <w:r w:rsidRPr="00345DAD">
      <w:rPr>
        <w:b/>
        <w:sz w:val="18"/>
      </w:rPr>
      <w:fldChar w:fldCharType="separate"/>
    </w:r>
    <w:r w:rsidRPr="00345DAD">
      <w:rPr>
        <w:b/>
        <w:noProof/>
        <w:sz w:val="18"/>
      </w:rPr>
      <w:t>2</w:t>
    </w:r>
    <w:r w:rsidRPr="00345DAD">
      <w:rPr>
        <w:b/>
        <w:sz w:val="18"/>
      </w:rPr>
      <w:fldChar w:fldCharType="end"/>
    </w:r>
    <w:r>
      <w:rPr>
        <w:b/>
        <w:sz w:val="18"/>
      </w:rPr>
      <w:tab/>
    </w:r>
    <w:r>
      <w:t>GE.20-10049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E95E" w14:textId="77777777" w:rsidR="00345DAD" w:rsidRPr="00345DAD" w:rsidRDefault="00345DAD" w:rsidP="00345DAD">
    <w:pPr>
      <w:pStyle w:val="Footer"/>
      <w:tabs>
        <w:tab w:val="right" w:pos="9638"/>
      </w:tabs>
      <w:rPr>
        <w:b/>
        <w:sz w:val="18"/>
      </w:rPr>
    </w:pPr>
    <w:r>
      <w:t>GE.20-10049</w:t>
    </w:r>
    <w:r>
      <w:tab/>
    </w:r>
    <w:r w:rsidRPr="00345DAD">
      <w:rPr>
        <w:b/>
        <w:sz w:val="18"/>
      </w:rPr>
      <w:fldChar w:fldCharType="begin"/>
    </w:r>
    <w:r w:rsidRPr="00345DAD">
      <w:rPr>
        <w:b/>
        <w:sz w:val="18"/>
      </w:rPr>
      <w:instrText xml:space="preserve"> PAGE  \* MERGEFORMAT </w:instrText>
    </w:r>
    <w:r w:rsidRPr="00345DAD">
      <w:rPr>
        <w:b/>
        <w:sz w:val="18"/>
      </w:rPr>
      <w:fldChar w:fldCharType="separate"/>
    </w:r>
    <w:r w:rsidRPr="00345DAD">
      <w:rPr>
        <w:b/>
        <w:noProof/>
        <w:sz w:val="18"/>
      </w:rPr>
      <w:t>3</w:t>
    </w:r>
    <w:r w:rsidRPr="00345D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4368" w14:textId="77777777" w:rsidR="007F20FA" w:rsidRPr="00345DAD" w:rsidRDefault="00345DAD" w:rsidP="00345DAD">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4EF81CED" wp14:editId="1F7A9A6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20-10049  (F)    250820    250820</w:t>
    </w:r>
    <w:r>
      <w:rPr>
        <w:sz w:val="20"/>
      </w:rPr>
      <w:br/>
    </w:r>
    <w:r w:rsidRPr="00345DAD">
      <w:rPr>
        <w:rFonts w:ascii="C39T30Lfz" w:hAnsi="C39T30Lfz"/>
        <w:sz w:val="56"/>
      </w:rPr>
      <w:t>*2010049*</w:t>
    </w:r>
    <w:r>
      <w:rPr>
        <w:noProof/>
        <w:sz w:val="20"/>
      </w:rPr>
      <w:drawing>
        <wp:anchor distT="0" distB="0" distL="114300" distR="114300" simplePos="0" relativeHeight="251658240" behindDoc="0" locked="0" layoutInCell="1" allowOverlap="1" wp14:anchorId="3D82F168" wp14:editId="63740A4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5AD60" w14:textId="77777777" w:rsidR="00743410" w:rsidRPr="00AC3823" w:rsidRDefault="00743410" w:rsidP="00AC3823">
      <w:pPr>
        <w:pStyle w:val="Footer"/>
        <w:tabs>
          <w:tab w:val="right" w:pos="2155"/>
        </w:tabs>
        <w:spacing w:after="80" w:line="240" w:lineRule="atLeast"/>
        <w:ind w:left="680"/>
        <w:rPr>
          <w:u w:val="single"/>
        </w:rPr>
      </w:pPr>
      <w:r>
        <w:rPr>
          <w:u w:val="single"/>
        </w:rPr>
        <w:tab/>
      </w:r>
    </w:p>
  </w:footnote>
  <w:footnote w:type="continuationSeparator" w:id="0">
    <w:p w14:paraId="0C3A64E7" w14:textId="77777777" w:rsidR="00743410" w:rsidRPr="00AC3823" w:rsidRDefault="00743410" w:rsidP="00AC3823">
      <w:pPr>
        <w:pStyle w:val="Footer"/>
        <w:tabs>
          <w:tab w:val="right" w:pos="2155"/>
        </w:tabs>
        <w:spacing w:after="80" w:line="240" w:lineRule="atLeast"/>
        <w:ind w:left="680"/>
        <w:rPr>
          <w:u w:val="single"/>
        </w:rPr>
      </w:pPr>
      <w:r>
        <w:rPr>
          <w:u w:val="single"/>
        </w:rPr>
        <w:tab/>
      </w:r>
    </w:p>
  </w:footnote>
  <w:footnote w:type="continuationNotice" w:id="1">
    <w:p w14:paraId="540D1935" w14:textId="77777777" w:rsidR="00743410" w:rsidRPr="00AC3823" w:rsidRDefault="0074341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8D91" w14:textId="77777777" w:rsidR="00345DAD" w:rsidRPr="00345DAD" w:rsidRDefault="001D5374">
    <w:pPr>
      <w:pStyle w:val="Header"/>
    </w:pPr>
    <w:r>
      <w:fldChar w:fldCharType="begin"/>
    </w:r>
    <w:r>
      <w:instrText xml:space="preserve"> TITLE  \* MERGEFORMAT </w:instrText>
    </w:r>
    <w:r>
      <w:fldChar w:fldCharType="separate"/>
    </w:r>
    <w:r w:rsidR="00345DAD">
      <w:t>ECE/TRANS/WP.11/2020/10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A1D25" w14:textId="77777777" w:rsidR="00345DAD" w:rsidRPr="00345DAD" w:rsidRDefault="001D5374" w:rsidP="00345DAD">
    <w:pPr>
      <w:pStyle w:val="Header"/>
      <w:jc w:val="right"/>
    </w:pPr>
    <w:r>
      <w:fldChar w:fldCharType="begin"/>
    </w:r>
    <w:r>
      <w:instrText xml:space="preserve"> TITLE  \* MERGEFORMAT </w:instrText>
    </w:r>
    <w:r>
      <w:fldChar w:fldCharType="separate"/>
    </w:r>
    <w:r w:rsidR="00345DAD">
      <w:t>ECE/TRANS/WP.11/2020/10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10"/>
    <w:rsid w:val="00017F94"/>
    <w:rsid w:val="00023842"/>
    <w:rsid w:val="000334F9"/>
    <w:rsid w:val="00045FEB"/>
    <w:rsid w:val="0007796D"/>
    <w:rsid w:val="000B7790"/>
    <w:rsid w:val="00111F2F"/>
    <w:rsid w:val="0014365E"/>
    <w:rsid w:val="00143C66"/>
    <w:rsid w:val="00176178"/>
    <w:rsid w:val="001D5374"/>
    <w:rsid w:val="001F525A"/>
    <w:rsid w:val="00223272"/>
    <w:rsid w:val="0024779E"/>
    <w:rsid w:val="00257168"/>
    <w:rsid w:val="002744B8"/>
    <w:rsid w:val="002832AC"/>
    <w:rsid w:val="002D7C93"/>
    <w:rsid w:val="00305801"/>
    <w:rsid w:val="00345DAD"/>
    <w:rsid w:val="003916DE"/>
    <w:rsid w:val="00421996"/>
    <w:rsid w:val="00441C3B"/>
    <w:rsid w:val="00446FE5"/>
    <w:rsid w:val="00452396"/>
    <w:rsid w:val="004837D8"/>
    <w:rsid w:val="004E2EED"/>
    <w:rsid w:val="004E468C"/>
    <w:rsid w:val="005505B7"/>
    <w:rsid w:val="00573BE5"/>
    <w:rsid w:val="00586ED3"/>
    <w:rsid w:val="00596AA9"/>
    <w:rsid w:val="0071601D"/>
    <w:rsid w:val="00743410"/>
    <w:rsid w:val="007A62E6"/>
    <w:rsid w:val="007F20FA"/>
    <w:rsid w:val="0080684C"/>
    <w:rsid w:val="00871C75"/>
    <w:rsid w:val="008776DC"/>
    <w:rsid w:val="009446C0"/>
    <w:rsid w:val="0095242F"/>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21BF7"/>
    <w:rsid w:val="00C97039"/>
    <w:rsid w:val="00D3439C"/>
    <w:rsid w:val="00D674BA"/>
    <w:rsid w:val="00DB1831"/>
    <w:rsid w:val="00DD3BFD"/>
    <w:rsid w:val="00DF0149"/>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1790D1"/>
  <w15:docId w15:val="{9AED8CE2-F8EC-47BA-AD0E-9BFF9E2D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345DA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1275</Words>
  <Characters>7271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ECE/TRANS/WP.11/2020/10</vt:lpstr>
    </vt:vector>
  </TitlesOfParts>
  <Company>DCM</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ECE/TRANS/WP.11/2020/10</dc:title>
  <dc:subject/>
  <dc:creator>Sandrine CLERE</dc:creator>
  <cp:keywords/>
  <cp:lastModifiedBy>Secretariat</cp:lastModifiedBy>
  <cp:revision>2</cp:revision>
  <cp:lastPrinted>2014-05-14T10:59:00Z</cp:lastPrinted>
  <dcterms:created xsi:type="dcterms:W3CDTF">2020-09-23T07:33:00Z</dcterms:created>
  <dcterms:modified xsi:type="dcterms:W3CDTF">2020-09-23T07:33:00Z</dcterms:modified>
</cp:coreProperties>
</file>