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73BB912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035BAD8" w14:textId="77777777" w:rsidR="00F35BAF" w:rsidRPr="00DB58B5" w:rsidRDefault="00F35BAF" w:rsidP="00D85EE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4DC82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B03AE20" w14:textId="77777777" w:rsidR="00F35BAF" w:rsidRPr="00DB58B5" w:rsidRDefault="00D85EE0" w:rsidP="00D85EE0">
            <w:pPr>
              <w:jc w:val="right"/>
            </w:pPr>
            <w:r w:rsidRPr="00D85EE0">
              <w:rPr>
                <w:sz w:val="40"/>
              </w:rPr>
              <w:t>ECE</w:t>
            </w:r>
            <w:r>
              <w:t>/TRANS/WP.11/2020/5/Rev.1</w:t>
            </w:r>
          </w:p>
        </w:tc>
      </w:tr>
      <w:tr w:rsidR="00F35BAF" w:rsidRPr="00DB58B5" w14:paraId="5FF7DB7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37D143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03993D" wp14:editId="031AAAC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D63DC7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0EAFDC" w14:textId="77777777" w:rsidR="00F35BAF" w:rsidRDefault="00D85EE0" w:rsidP="00C97039">
            <w:pPr>
              <w:spacing w:before="240"/>
            </w:pPr>
            <w:r>
              <w:t>Distr. générale</w:t>
            </w:r>
          </w:p>
          <w:p w14:paraId="4D7D357B" w14:textId="77777777" w:rsidR="00D85EE0" w:rsidRDefault="00D85EE0" w:rsidP="00D85EE0">
            <w:pPr>
              <w:spacing w:line="240" w:lineRule="exact"/>
            </w:pPr>
            <w:r>
              <w:t>24 juillet 2020</w:t>
            </w:r>
          </w:p>
          <w:p w14:paraId="5779901D" w14:textId="77777777" w:rsidR="00D85EE0" w:rsidRDefault="00D85EE0" w:rsidP="00D85EE0">
            <w:pPr>
              <w:spacing w:line="240" w:lineRule="exact"/>
            </w:pPr>
            <w:r>
              <w:t>Français</w:t>
            </w:r>
          </w:p>
          <w:p w14:paraId="6D9A9FF8" w14:textId="77777777" w:rsidR="00D85EE0" w:rsidRPr="00DB58B5" w:rsidRDefault="00D85EE0" w:rsidP="00D85EE0">
            <w:pPr>
              <w:spacing w:line="240" w:lineRule="exact"/>
            </w:pPr>
            <w:r>
              <w:t>Original : anglais</w:t>
            </w:r>
          </w:p>
        </w:tc>
      </w:tr>
    </w:tbl>
    <w:p w14:paraId="42AB2D23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D85EE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3BEF677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6017B7" w14:textId="77777777" w:rsidR="00D85EE0" w:rsidRPr="00685843" w:rsidRDefault="00D85EE0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037AB421" w14:textId="77777777" w:rsidR="00D85EE0" w:rsidRPr="00D13AEE" w:rsidRDefault="00D85EE0" w:rsidP="00D85EE0">
      <w:pPr>
        <w:spacing w:before="120"/>
        <w:rPr>
          <w:b/>
          <w:lang w:val="fr-FR"/>
        </w:rPr>
      </w:pPr>
      <w:r w:rsidRPr="00D13AEE">
        <w:rPr>
          <w:b/>
          <w:lang w:val="fr-FR"/>
        </w:rPr>
        <w:t>S</w:t>
      </w:r>
      <w:r>
        <w:rPr>
          <w:b/>
          <w:lang w:val="fr-FR"/>
        </w:rPr>
        <w:t>oixante-seizième</w:t>
      </w:r>
      <w:r w:rsidRPr="00D13AEE">
        <w:rPr>
          <w:b/>
          <w:lang w:val="fr-FR"/>
        </w:rPr>
        <w:t xml:space="preserve"> session</w:t>
      </w:r>
    </w:p>
    <w:p w14:paraId="155D1801" w14:textId="77777777" w:rsidR="00D85EE0" w:rsidRPr="00D13AEE" w:rsidRDefault="00D85EE0" w:rsidP="00D85EE0">
      <w:pPr>
        <w:rPr>
          <w:lang w:val="fr-FR"/>
        </w:rPr>
      </w:pPr>
      <w:r w:rsidRPr="00D13AEE">
        <w:rPr>
          <w:lang w:val="fr-FR"/>
        </w:rPr>
        <w:t>Gen</w:t>
      </w:r>
      <w:r>
        <w:rPr>
          <w:lang w:val="fr-FR"/>
        </w:rPr>
        <w:t>ève</w:t>
      </w:r>
      <w:r w:rsidRPr="00D13AEE">
        <w:rPr>
          <w:lang w:val="fr-FR"/>
        </w:rPr>
        <w:t xml:space="preserve">, 13-16 </w:t>
      </w:r>
      <w:r>
        <w:rPr>
          <w:lang w:val="fr-FR"/>
        </w:rPr>
        <w:t>octobre</w:t>
      </w:r>
      <w:r w:rsidRPr="00D13AEE">
        <w:rPr>
          <w:lang w:val="fr-FR"/>
        </w:rPr>
        <w:t xml:space="preserve"> 2020</w:t>
      </w:r>
    </w:p>
    <w:p w14:paraId="2F6E92D0" w14:textId="77777777" w:rsidR="00D85EE0" w:rsidRPr="00D13AEE" w:rsidRDefault="00D85EE0" w:rsidP="00D85EE0">
      <w:pPr>
        <w:rPr>
          <w:lang w:val="fr-FR"/>
        </w:rPr>
      </w:pPr>
      <w:r>
        <w:rPr>
          <w:lang w:val="fr-FR"/>
        </w:rPr>
        <w:t>Point</w:t>
      </w:r>
      <w:r w:rsidRPr="00D13AEE">
        <w:rPr>
          <w:lang w:val="fr-FR"/>
        </w:rPr>
        <w:t xml:space="preserve"> 6 a) </w:t>
      </w:r>
      <w:r>
        <w:rPr>
          <w:lang w:val="fr-FR"/>
        </w:rPr>
        <w:t>de l</w:t>
      </w:r>
      <w:r>
        <w:rPr>
          <w:lang w:val="fr-FR"/>
        </w:rPr>
        <w:t>’</w:t>
      </w:r>
      <w:r>
        <w:rPr>
          <w:lang w:val="fr-FR"/>
        </w:rPr>
        <w:t>ordre du jour provisoire</w:t>
      </w:r>
    </w:p>
    <w:p w14:paraId="40031519" w14:textId="77777777" w:rsidR="00F9573C" w:rsidRDefault="00D85EE0" w:rsidP="00D85EE0">
      <w:pPr>
        <w:spacing w:line="276" w:lineRule="auto"/>
        <w:rPr>
          <w:b/>
          <w:lang w:val="fr-FR"/>
        </w:rPr>
      </w:pPr>
      <w:r w:rsidRPr="00D13AEE">
        <w:rPr>
          <w:b/>
          <w:lang w:val="fr-FR"/>
        </w:rPr>
        <w:t>Propos</w:t>
      </w:r>
      <w:r>
        <w:rPr>
          <w:b/>
          <w:lang w:val="fr-FR"/>
        </w:rPr>
        <w:t>itions d</w:t>
      </w:r>
      <w:r>
        <w:rPr>
          <w:b/>
          <w:lang w:val="fr-FR"/>
        </w:rPr>
        <w:t>’</w:t>
      </w:r>
      <w:r>
        <w:rPr>
          <w:b/>
          <w:lang w:val="fr-FR"/>
        </w:rPr>
        <w:t>amendements à l</w:t>
      </w:r>
      <w:r>
        <w:rPr>
          <w:b/>
          <w:lang w:val="fr-FR"/>
        </w:rPr>
        <w:t>’</w:t>
      </w:r>
      <w:r w:rsidRPr="00D13AEE">
        <w:rPr>
          <w:b/>
          <w:lang w:val="fr-FR"/>
        </w:rPr>
        <w:t>ATP</w:t>
      </w:r>
      <w:r>
        <w:rPr>
          <w:b/>
          <w:lang w:val="fr-FR"/>
        </w:rPr>
        <w:t> </w:t>
      </w:r>
      <w:r w:rsidRPr="00D13AEE">
        <w:rPr>
          <w:b/>
          <w:lang w:val="fr-FR"/>
        </w:rPr>
        <w:t>:</w:t>
      </w:r>
      <w:r>
        <w:rPr>
          <w:b/>
          <w:lang w:val="fr-FR"/>
        </w:rPr>
        <w:br/>
      </w:r>
      <w:r>
        <w:rPr>
          <w:b/>
          <w:lang w:val="fr-FR"/>
        </w:rPr>
        <w:t>Propositions en suspens</w:t>
      </w:r>
    </w:p>
    <w:p w14:paraId="514D2A43" w14:textId="77777777" w:rsidR="00D85EE0" w:rsidRPr="00D85EE0" w:rsidRDefault="00D85EE0" w:rsidP="00D85EE0">
      <w:pPr>
        <w:pStyle w:val="HCh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Amendements au paragraphe 3.2.6 de l</w:t>
      </w:r>
      <w:r>
        <w:rPr>
          <w:lang w:val="fr-FR"/>
        </w:rPr>
        <w:t>’</w:t>
      </w:r>
      <w:r w:rsidRPr="00D85EE0">
        <w:rPr>
          <w:lang w:val="fr-FR"/>
        </w:rPr>
        <w:t xml:space="preserve">appendice 2 </w:t>
      </w:r>
      <w:r w:rsidRPr="00D85EE0">
        <w:rPr>
          <w:lang w:val="fr-FR"/>
        </w:rPr>
        <w:br/>
        <w:t>de l</w:t>
      </w:r>
      <w:r>
        <w:rPr>
          <w:lang w:val="fr-FR"/>
        </w:rPr>
        <w:t>’</w:t>
      </w:r>
      <w:r w:rsidRPr="00D85EE0">
        <w:rPr>
          <w:lang w:val="fr-FR"/>
        </w:rPr>
        <w:t xml:space="preserve">annexe 1 et au Manuel ATP </w:t>
      </w:r>
    </w:p>
    <w:p w14:paraId="185B1F70" w14:textId="77777777" w:rsidR="00D85EE0" w:rsidRPr="00D85EE0" w:rsidRDefault="00D85EE0" w:rsidP="00D85EE0">
      <w:pPr>
        <w:pStyle w:val="H1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Communication du Gouvernement du Royaume-Uni</w:t>
      </w:r>
    </w:p>
    <w:p w14:paraId="7AD1D005" w14:textId="77777777" w:rsidR="00D85EE0" w:rsidRPr="00D85EE0" w:rsidRDefault="00D85EE0" w:rsidP="00D85EE0">
      <w:pPr>
        <w:pStyle w:val="H23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Révision</w:t>
      </w:r>
    </w:p>
    <w:p w14:paraId="5E2642D4" w14:textId="77777777" w:rsidR="00D85EE0" w:rsidRPr="00D85EE0" w:rsidRDefault="00D85EE0" w:rsidP="00D85EE0">
      <w:pPr>
        <w:pStyle w:val="HCh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Introduction</w:t>
      </w:r>
    </w:p>
    <w:p w14:paraId="7CDEB852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1.</w:t>
      </w:r>
      <w:r w:rsidRPr="00D85EE0">
        <w:rPr>
          <w:lang w:val="fr-FR"/>
        </w:rPr>
        <w:tab/>
        <w:t>Cambridge Refrigeration Technology a été invité à justifier les chiffres proposés dans le document de travail ECE/TRANS/WP.11/2019/17 pour les prescriptions concernant le débit d</w:t>
      </w:r>
      <w:r>
        <w:rPr>
          <w:lang w:val="fr-FR"/>
        </w:rPr>
        <w:t>’</w:t>
      </w:r>
      <w:r w:rsidRPr="00D85EE0">
        <w:rPr>
          <w:lang w:val="fr-FR"/>
        </w:rPr>
        <w:t>air. Il a aussi été prié de simplifier sa proposition lors de la réunion de la sous</w:t>
      </w:r>
      <w:r>
        <w:rPr>
          <w:lang w:val="fr-FR"/>
        </w:rPr>
        <w:noBreakHyphen/>
      </w:r>
      <w:r w:rsidRPr="00D85EE0">
        <w:rPr>
          <w:lang w:val="fr-FR"/>
        </w:rPr>
        <w:t>commission CERTE de 2020.</w:t>
      </w:r>
    </w:p>
    <w:p w14:paraId="075224EB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2.</w:t>
      </w:r>
      <w:r w:rsidRPr="00D85EE0">
        <w:rPr>
          <w:lang w:val="fr-FR"/>
        </w:rPr>
        <w:tab/>
        <w:t>Des prescriptions de 40 à 60 changements d</w:t>
      </w:r>
      <w:r>
        <w:rPr>
          <w:lang w:val="fr-FR"/>
        </w:rPr>
        <w:t>’</w:t>
      </w:r>
      <w:r w:rsidRPr="00D85EE0">
        <w:rPr>
          <w:lang w:val="fr-FR"/>
        </w:rPr>
        <w:t>air ont été proposées pour le mode congélation, et de 50 à 90 pour le mode frigorifique/calorifique. Si les membres du Groupe de travail ont largement convenu qu</w:t>
      </w:r>
      <w:r>
        <w:rPr>
          <w:lang w:val="fr-FR"/>
        </w:rPr>
        <w:t>’</w:t>
      </w:r>
      <w:r w:rsidRPr="00D85EE0">
        <w:rPr>
          <w:lang w:val="fr-FR"/>
        </w:rPr>
        <w:t>un débit d</w:t>
      </w:r>
      <w:r>
        <w:rPr>
          <w:lang w:val="fr-FR"/>
        </w:rPr>
        <w:t>’</w:t>
      </w:r>
      <w:r w:rsidRPr="00D85EE0">
        <w:rPr>
          <w:lang w:val="fr-FR"/>
        </w:rPr>
        <w:t>air suffisant était nécessaire pour le refroidissement, tous n</w:t>
      </w:r>
      <w:r>
        <w:rPr>
          <w:lang w:val="fr-FR"/>
        </w:rPr>
        <w:t>’</w:t>
      </w:r>
      <w:r w:rsidRPr="00D85EE0">
        <w:rPr>
          <w:lang w:val="fr-FR"/>
        </w:rPr>
        <w:t>étaient pas d</w:t>
      </w:r>
      <w:r>
        <w:rPr>
          <w:lang w:val="fr-FR"/>
        </w:rPr>
        <w:t>’</w:t>
      </w:r>
      <w:r w:rsidRPr="00D85EE0">
        <w:rPr>
          <w:lang w:val="fr-FR"/>
        </w:rPr>
        <w:t xml:space="preserve">accord sur ce qui constituait un débit suffisant. </w:t>
      </w:r>
    </w:p>
    <w:p w14:paraId="755EFA0C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3.</w:t>
      </w:r>
      <w:r w:rsidRPr="00D85EE0">
        <w:rPr>
          <w:lang w:val="fr-FR"/>
        </w:rPr>
        <w:tab/>
        <w:t>Les mesures habituelles ont été utilisées pour la surface intérieure et le volume de la remorque, à savoir 155,445 m² et 87,1 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 xml:space="preserve"> respectivement.</w:t>
      </w:r>
    </w:p>
    <w:p w14:paraId="57ABA4C8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4.</w:t>
      </w:r>
      <w:r w:rsidRPr="00D85EE0">
        <w:rPr>
          <w:lang w:val="fr-FR"/>
        </w:rPr>
        <w:tab/>
        <w:t>Initialement, la capacité requise par l</w:t>
      </w:r>
      <w:r>
        <w:rPr>
          <w:lang w:val="fr-FR"/>
        </w:rPr>
        <w:t>’</w:t>
      </w:r>
      <w:r w:rsidRPr="00D85EE0">
        <w:rPr>
          <w:lang w:val="fr-FR"/>
        </w:rPr>
        <w:t>ATP pour le transport de denrées congelées était calculée comme suit :</w:t>
      </w:r>
    </w:p>
    <w:p w14:paraId="6EDD6166" w14:textId="77777777" w:rsidR="00D85EE0" w:rsidRPr="00D85EE0" w:rsidRDefault="00D85EE0" w:rsidP="00D85EE0">
      <w:pPr>
        <w:pStyle w:val="SingleTxtG"/>
        <w:rPr>
          <w:iCs/>
          <w:lang w:val="fr-F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fr-FR"/>
            </w:rPr>
            <m:t>Q=K·A·ΔT=0,4 x 155,5 x 50=3 109 W</m:t>
          </m:r>
        </m:oMath>
      </m:oMathPara>
    </w:p>
    <w:p w14:paraId="3DEE709A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5.</w:t>
      </w:r>
      <w:r w:rsidRPr="00D85EE0">
        <w:rPr>
          <w:lang w:val="fr-FR"/>
        </w:rPr>
        <w:tab/>
        <w:t>Ce chiffre monte à 5 441 W lorsque l</w:t>
      </w:r>
      <w:r>
        <w:rPr>
          <w:lang w:val="fr-FR"/>
        </w:rPr>
        <w:t>’</w:t>
      </w:r>
      <w:r w:rsidRPr="00D85EE0">
        <w:rPr>
          <w:lang w:val="fr-FR"/>
        </w:rPr>
        <w:t>on applique le facteur de sécurité de 1,75 mentionné dans le texte de l</w:t>
      </w:r>
      <w:r>
        <w:rPr>
          <w:lang w:val="fr-FR"/>
        </w:rPr>
        <w:t>’</w:t>
      </w:r>
      <w:r w:rsidRPr="00D85EE0">
        <w:rPr>
          <w:lang w:val="fr-FR"/>
        </w:rPr>
        <w:t xml:space="preserve">Accord. Pour le mode frigorifique, la capacité est de 3 265 W. </w:t>
      </w:r>
    </w:p>
    <w:p w14:paraId="7F62A92B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6.</w:t>
      </w:r>
      <w:r w:rsidRPr="00D85EE0">
        <w:rPr>
          <w:lang w:val="fr-FR"/>
        </w:rPr>
        <w:tab/>
        <w:t>Cambridge Refrigeration Technology a examiné des données issues des systèmes de réfrigération des remorques munis d</w:t>
      </w:r>
      <w:r>
        <w:rPr>
          <w:lang w:val="fr-FR"/>
        </w:rPr>
        <w:t>’</w:t>
      </w:r>
      <w:r w:rsidRPr="00D85EE0">
        <w:rPr>
          <w:lang w:val="fr-FR"/>
        </w:rPr>
        <w:t xml:space="preserve">un dispositif de réglage thermostatique. Habituellement, les systèmes utilisés pour le transport routier fonctionnent selon un mode « arrêt-démarrage » pour les marchandises congelées et selon un mode continu pour les marchandises réfrigérées. Les denrées congelées sont moins sensibles à la température que </w:t>
      </w:r>
      <w:r w:rsidRPr="00D85EE0">
        <w:rPr>
          <w:lang w:val="fr-FR"/>
        </w:rPr>
        <w:lastRenderedPageBreak/>
        <w:t>les réfrigérées. En effet, les produits réfrigérés doivent être maintenus à une température suffisamment basse pour garantir la qualité et l</w:t>
      </w:r>
      <w:r>
        <w:rPr>
          <w:lang w:val="fr-FR"/>
        </w:rPr>
        <w:t>’</w:t>
      </w:r>
      <w:r w:rsidRPr="00D85EE0">
        <w:rPr>
          <w:lang w:val="fr-FR"/>
        </w:rPr>
        <w:t xml:space="preserve">innocuité des aliments mais aussi suffisamment élevée pour éviter une congélation partielle, ce qui nécessite une régulation de température rigoureuse et, partant, un fonctionnement en continu. </w:t>
      </w:r>
    </w:p>
    <w:p w14:paraId="0700E60A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7.</w:t>
      </w:r>
      <w:r w:rsidRPr="00D85EE0">
        <w:rPr>
          <w:lang w:val="fr-FR"/>
        </w:rPr>
        <w:tab/>
        <w:t>Sans régulation de température selon une marge de fluctuation très réduite, les denrées qui se trouvent près de l</w:t>
      </w:r>
      <w:r>
        <w:rPr>
          <w:lang w:val="fr-FR"/>
        </w:rPr>
        <w:t>’</w:t>
      </w:r>
      <w:r w:rsidRPr="00D85EE0">
        <w:rPr>
          <w:lang w:val="fr-FR"/>
        </w:rPr>
        <w:t>arrivée d</w:t>
      </w:r>
      <w:r>
        <w:rPr>
          <w:lang w:val="fr-FR"/>
        </w:rPr>
        <w:t>’</w:t>
      </w:r>
      <w:r w:rsidRPr="00D85EE0">
        <w:rPr>
          <w:lang w:val="fr-FR"/>
        </w:rPr>
        <w:t>air peuvent se congeler tandis que celles qui se trouvent près de la porte de l</w:t>
      </w:r>
      <w:r>
        <w:rPr>
          <w:lang w:val="fr-FR"/>
        </w:rPr>
        <w:t>’</w:t>
      </w:r>
      <w:r w:rsidRPr="00D85EE0">
        <w:rPr>
          <w:lang w:val="fr-FR"/>
        </w:rPr>
        <w:t>engin peuvent se réchauffer suffisamment pour se dégrader. Lorsqu</w:t>
      </w:r>
      <w:r>
        <w:rPr>
          <w:lang w:val="fr-FR"/>
        </w:rPr>
        <w:t>’</w:t>
      </w:r>
      <w:r w:rsidRPr="00D85EE0">
        <w:rPr>
          <w:lang w:val="fr-FR"/>
        </w:rPr>
        <w:t>une cargaison est chargée à la bonne température, elle reste à une température comprise entre celle de l</w:t>
      </w:r>
      <w:r>
        <w:rPr>
          <w:lang w:val="fr-FR"/>
        </w:rPr>
        <w:t>’</w:t>
      </w:r>
      <w:r w:rsidRPr="00D85EE0">
        <w:rPr>
          <w:lang w:val="fr-FR"/>
        </w:rPr>
        <w:t>air entrant et celle de l</w:t>
      </w:r>
      <w:r>
        <w:rPr>
          <w:lang w:val="fr-FR"/>
        </w:rPr>
        <w:t>’</w:t>
      </w:r>
      <w:r w:rsidRPr="00D85EE0">
        <w:rPr>
          <w:lang w:val="fr-FR"/>
        </w:rPr>
        <w:t xml:space="preserve">air évacué tant que le système de réfrigération est en marche. </w:t>
      </w:r>
    </w:p>
    <w:p w14:paraId="4885B438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8.</w:t>
      </w:r>
      <w:r w:rsidRPr="00D85EE0">
        <w:rPr>
          <w:lang w:val="fr-FR"/>
        </w:rPr>
        <w:tab/>
        <w:t>Il ressort des données que la différence de température entre l</w:t>
      </w:r>
      <w:r>
        <w:rPr>
          <w:lang w:val="fr-FR"/>
        </w:rPr>
        <w:t>’</w:t>
      </w:r>
      <w:r w:rsidRPr="00D85EE0">
        <w:rPr>
          <w:lang w:val="fr-FR"/>
        </w:rPr>
        <w:t>air entrant et l</w:t>
      </w:r>
      <w:r>
        <w:rPr>
          <w:lang w:val="fr-FR"/>
        </w:rPr>
        <w:t>’</w:t>
      </w:r>
      <w:r w:rsidRPr="00D85EE0">
        <w:rPr>
          <w:lang w:val="fr-FR"/>
        </w:rPr>
        <w:t>air évacué</w:t>
      </w:r>
      <w:bookmarkStart w:id="0" w:name="_GoBack"/>
      <w:bookmarkEnd w:id="0"/>
      <w:r w:rsidRPr="00D85EE0">
        <w:rPr>
          <w:lang w:val="fr-FR"/>
        </w:rPr>
        <w:t xml:space="preserve"> varie entre 4 et 5 K pour le mode congélation et qu</w:t>
      </w:r>
      <w:r>
        <w:rPr>
          <w:lang w:val="fr-FR"/>
        </w:rPr>
        <w:t>’</w:t>
      </w:r>
      <w:r w:rsidRPr="00D85EE0">
        <w:rPr>
          <w:lang w:val="fr-FR"/>
        </w:rPr>
        <w:t>elle est proche de 2 K pour les systèmes de réfrigération fonctionnant en continu. À partir de ces chiffres et de la capacité requise par l</w:t>
      </w:r>
      <w:r>
        <w:rPr>
          <w:lang w:val="fr-FR"/>
        </w:rPr>
        <w:t>’</w:t>
      </w:r>
      <w:r w:rsidRPr="00D85EE0">
        <w:rPr>
          <w:lang w:val="fr-FR"/>
        </w:rPr>
        <w:t>ATP, le débit d</w:t>
      </w:r>
      <w:r>
        <w:rPr>
          <w:lang w:val="fr-FR"/>
        </w:rPr>
        <w:t>’</w:t>
      </w:r>
      <w:r w:rsidRPr="00D85EE0">
        <w:rPr>
          <w:lang w:val="fr-FR"/>
        </w:rPr>
        <w:t>air nécessaire a été calculé à l</w:t>
      </w:r>
      <w:r>
        <w:rPr>
          <w:lang w:val="fr-FR"/>
        </w:rPr>
        <w:t>’</w:t>
      </w:r>
      <w:r w:rsidRPr="00D85EE0">
        <w:rPr>
          <w:lang w:val="fr-FR"/>
        </w:rPr>
        <w:t>aide de la formule suivante :</w:t>
      </w:r>
    </w:p>
    <w:p w14:paraId="4C5FB716" w14:textId="77777777" w:rsidR="00D85EE0" w:rsidRPr="00D85EE0" w:rsidRDefault="00D85EE0" w:rsidP="00D85EE0">
      <w:pPr>
        <w:pStyle w:val="SingleTxtG"/>
        <w:rPr>
          <w:iCs/>
          <w:lang w:val="fr-FR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Cs/>
                  <w:lang w:val="fr-F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v</m:t>
              </m:r>
            </m:e>
          </m:acc>
          <m:r>
            <m:rPr>
              <m:sty m:val="p"/>
            </m:rPr>
            <w:rPr>
              <w:rFonts w:ascii="Cambria Math" w:hAnsi="Cambria Math"/>
              <w:lang w:val="fr-FR"/>
            </w:rPr>
            <m:t xml:space="preserve">= </m:t>
          </m:r>
          <m:f>
            <m:fPr>
              <m:ctrlPr>
                <w:rPr>
                  <w:rFonts w:ascii="Cambria Math" w:hAnsi="Cambria Math"/>
                  <w:iCs/>
                  <w:lang w:val="fr-F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  <w:lang w:val="fr-F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fr-FR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·ρ·ΔT</m:t>
              </m:r>
            </m:den>
          </m:f>
        </m:oMath>
      </m:oMathPara>
    </w:p>
    <w:p w14:paraId="0EFFB2AB" w14:textId="77777777" w:rsidR="00D85EE0" w:rsidRPr="00D85EE0" w:rsidRDefault="00D85EE0" w:rsidP="00D85EE0">
      <w:pPr>
        <w:pStyle w:val="SingleTxtG"/>
        <w:ind w:left="1701"/>
        <w:rPr>
          <w:b/>
          <w:bCs/>
          <w:i/>
          <w:iCs/>
          <w:u w:val="single"/>
          <w:lang w:val="fr-FR"/>
        </w:rPr>
      </w:pPr>
      <w:r w:rsidRPr="00D85EE0">
        <w:rPr>
          <w:lang w:val="fr-FR"/>
        </w:rPr>
        <w:t>où v̇ est le débit d</w:t>
      </w:r>
      <w:r>
        <w:rPr>
          <w:lang w:val="fr-FR"/>
        </w:rPr>
        <w:t>’</w:t>
      </w:r>
      <w:r w:rsidRPr="00D85EE0">
        <w:rPr>
          <w:lang w:val="fr-FR"/>
        </w:rPr>
        <w:t>air, c</w:t>
      </w:r>
      <w:r w:rsidRPr="00D85EE0">
        <w:rPr>
          <w:vertAlign w:val="subscript"/>
          <w:lang w:val="fr-FR"/>
        </w:rPr>
        <w:t>p</w:t>
      </w:r>
      <w:r w:rsidRPr="00D85EE0">
        <w:rPr>
          <w:lang w:val="fr-FR"/>
        </w:rPr>
        <w:t xml:space="preserve"> la chaleur spécifique et ρ la densité.</w:t>
      </w:r>
    </w:p>
    <w:p w14:paraId="0275FE46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9.</w:t>
      </w:r>
      <w:r w:rsidRPr="00D85EE0">
        <w:rPr>
          <w:lang w:val="fr-FR"/>
        </w:rPr>
        <w:tab/>
        <w:t xml:space="preserve">Le tableau ci-après présente les valeurs utilisées et les résultats du calcul. </w:t>
      </w:r>
    </w:p>
    <w:tbl>
      <w:tblPr>
        <w:tblStyle w:val="Grilledutableau"/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1"/>
        <w:gridCol w:w="1723"/>
        <w:gridCol w:w="1861"/>
      </w:tblGrid>
      <w:tr w:rsidR="008171FC" w:rsidRPr="008171FC" w14:paraId="3E174CCB" w14:textId="77777777" w:rsidTr="008171FC">
        <w:trPr>
          <w:tblHeader/>
        </w:trPr>
        <w:tc>
          <w:tcPr>
            <w:tcW w:w="2235" w:type="dxa"/>
            <w:shd w:val="clear" w:color="auto" w:fill="auto"/>
            <w:vAlign w:val="bottom"/>
          </w:tcPr>
          <w:p w14:paraId="03A88718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Air évacué</w:t>
            </w:r>
          </w:p>
        </w:tc>
        <w:tc>
          <w:tcPr>
            <w:tcW w:w="1551" w:type="dxa"/>
            <w:shd w:val="clear" w:color="auto" w:fill="auto"/>
            <w:vAlign w:val="bottom"/>
          </w:tcPr>
          <w:p w14:paraId="73535805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-20</w:t>
            </w:r>
          </w:p>
        </w:tc>
        <w:tc>
          <w:tcPr>
            <w:tcW w:w="1723" w:type="dxa"/>
            <w:shd w:val="clear" w:color="auto" w:fill="auto"/>
            <w:vAlign w:val="bottom"/>
          </w:tcPr>
          <w:p w14:paraId="5F64A068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0</w:t>
            </w:r>
          </w:p>
        </w:tc>
        <w:tc>
          <w:tcPr>
            <w:tcW w:w="1861" w:type="dxa"/>
            <w:shd w:val="clear" w:color="auto" w:fill="auto"/>
            <w:vAlign w:val="bottom"/>
          </w:tcPr>
          <w:p w14:paraId="326A965D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°C</w:t>
            </w:r>
          </w:p>
        </w:tc>
      </w:tr>
      <w:tr w:rsidR="00D85EE0" w:rsidRPr="008171FC" w14:paraId="43D2CCAD" w14:textId="77777777" w:rsidTr="008171FC">
        <w:tc>
          <w:tcPr>
            <w:tcW w:w="2235" w:type="dxa"/>
            <w:shd w:val="clear" w:color="auto" w:fill="auto"/>
          </w:tcPr>
          <w:p w14:paraId="1EE9EDE0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ΔT moyen</w:t>
            </w:r>
          </w:p>
        </w:tc>
        <w:tc>
          <w:tcPr>
            <w:tcW w:w="1551" w:type="dxa"/>
            <w:shd w:val="clear" w:color="auto" w:fill="auto"/>
          </w:tcPr>
          <w:p w14:paraId="0F5773F5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4</w:t>
            </w:r>
            <w:r w:rsidR="008171FC">
              <w:rPr>
                <w:lang w:val="fr-FR"/>
              </w:rPr>
              <w:t>,</w:t>
            </w:r>
            <w:r w:rsidRPr="008171FC">
              <w:rPr>
                <w:lang w:val="fr-FR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14:paraId="29083FB8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2</w:t>
            </w:r>
            <w:r w:rsidR="008171FC">
              <w:rPr>
                <w:lang w:val="fr-FR"/>
              </w:rPr>
              <w:t>,</w:t>
            </w:r>
            <w:r w:rsidRPr="008171FC">
              <w:rPr>
                <w:lang w:val="fr-FR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14:paraId="3C8134C9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K</w:t>
            </w:r>
          </w:p>
        </w:tc>
      </w:tr>
      <w:tr w:rsidR="00D85EE0" w:rsidRPr="008171FC" w14:paraId="650388F5" w14:textId="77777777" w:rsidTr="008171FC">
        <w:tc>
          <w:tcPr>
            <w:tcW w:w="2235" w:type="dxa"/>
            <w:shd w:val="clear" w:color="auto" w:fill="auto"/>
          </w:tcPr>
          <w:p w14:paraId="0902D188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Q</w:t>
            </w:r>
            <w:r w:rsidRPr="008171FC">
              <w:rPr>
                <w:vertAlign w:val="subscript"/>
                <w:lang w:val="fr-FR"/>
              </w:rPr>
              <w:t>req</w:t>
            </w:r>
          </w:p>
        </w:tc>
        <w:tc>
          <w:tcPr>
            <w:tcW w:w="1551" w:type="dxa"/>
            <w:shd w:val="clear" w:color="auto" w:fill="auto"/>
          </w:tcPr>
          <w:p w14:paraId="4C2D0939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5</w:t>
            </w:r>
            <w:r w:rsidR="008171FC">
              <w:rPr>
                <w:lang w:val="fr-FR"/>
              </w:rPr>
              <w:t xml:space="preserve"> </w:t>
            </w:r>
            <w:r w:rsidRPr="008171FC">
              <w:rPr>
                <w:lang w:val="fr-FR"/>
              </w:rPr>
              <w:t>441</w:t>
            </w:r>
          </w:p>
        </w:tc>
        <w:tc>
          <w:tcPr>
            <w:tcW w:w="1723" w:type="dxa"/>
            <w:shd w:val="clear" w:color="auto" w:fill="auto"/>
          </w:tcPr>
          <w:p w14:paraId="76C7C019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3</w:t>
            </w:r>
            <w:r w:rsidR="008171FC">
              <w:rPr>
                <w:lang w:val="fr-FR"/>
              </w:rPr>
              <w:t xml:space="preserve"> </w:t>
            </w:r>
            <w:r w:rsidRPr="008171FC">
              <w:rPr>
                <w:lang w:val="fr-FR"/>
              </w:rPr>
              <w:t>265</w:t>
            </w:r>
          </w:p>
        </w:tc>
        <w:tc>
          <w:tcPr>
            <w:tcW w:w="1861" w:type="dxa"/>
            <w:shd w:val="clear" w:color="auto" w:fill="auto"/>
          </w:tcPr>
          <w:p w14:paraId="68216A9A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W</w:t>
            </w:r>
          </w:p>
        </w:tc>
      </w:tr>
      <w:tr w:rsidR="00D85EE0" w:rsidRPr="008171FC" w14:paraId="7177DEA6" w14:textId="77777777" w:rsidTr="008171FC">
        <w:tc>
          <w:tcPr>
            <w:tcW w:w="2235" w:type="dxa"/>
            <w:shd w:val="clear" w:color="auto" w:fill="auto"/>
          </w:tcPr>
          <w:p w14:paraId="53AA183D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c</w:t>
            </w:r>
            <w:r w:rsidRPr="008171FC">
              <w:rPr>
                <w:vertAlign w:val="subscript"/>
                <w:lang w:val="fr-FR"/>
              </w:rPr>
              <w:t>p</w:t>
            </w:r>
          </w:p>
        </w:tc>
        <w:tc>
          <w:tcPr>
            <w:tcW w:w="1551" w:type="dxa"/>
            <w:shd w:val="clear" w:color="auto" w:fill="auto"/>
          </w:tcPr>
          <w:p w14:paraId="3F70B1F4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1,003</w:t>
            </w:r>
          </w:p>
        </w:tc>
        <w:tc>
          <w:tcPr>
            <w:tcW w:w="1723" w:type="dxa"/>
            <w:shd w:val="clear" w:color="auto" w:fill="auto"/>
          </w:tcPr>
          <w:p w14:paraId="6167B6A7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1,004</w:t>
            </w:r>
          </w:p>
        </w:tc>
        <w:tc>
          <w:tcPr>
            <w:tcW w:w="1861" w:type="dxa"/>
            <w:shd w:val="clear" w:color="auto" w:fill="auto"/>
          </w:tcPr>
          <w:p w14:paraId="62D71CC7" w14:textId="77777777" w:rsidR="00D85EE0" w:rsidRPr="008171FC" w:rsidRDefault="00D85EE0" w:rsidP="008171FC">
            <w:pPr>
              <w:spacing w:before="40" w:after="120"/>
              <w:ind w:left="113" w:right="113"/>
              <w:rPr>
                <w:vertAlign w:val="superscript"/>
                <w:lang w:val="fr-FR"/>
              </w:rPr>
            </w:pPr>
            <w:r w:rsidRPr="008171FC">
              <w:rPr>
                <w:lang w:val="fr-FR"/>
              </w:rPr>
              <w:t>kJ·kg</w:t>
            </w:r>
            <w:r w:rsidRPr="008171FC">
              <w:rPr>
                <w:vertAlign w:val="superscript"/>
                <w:lang w:val="fr-FR"/>
              </w:rPr>
              <w:t>-1</w:t>
            </w:r>
            <w:r w:rsidRPr="008171FC">
              <w:rPr>
                <w:lang w:val="fr-FR"/>
              </w:rPr>
              <w:t>·K</w:t>
            </w:r>
            <w:r w:rsidRPr="008171FC">
              <w:rPr>
                <w:vertAlign w:val="superscript"/>
                <w:lang w:val="fr-FR"/>
              </w:rPr>
              <w:t>-1</w:t>
            </w:r>
          </w:p>
        </w:tc>
      </w:tr>
      <w:tr w:rsidR="00D85EE0" w:rsidRPr="008171FC" w14:paraId="1331118C" w14:textId="77777777" w:rsidTr="008171FC">
        <w:tc>
          <w:tcPr>
            <w:tcW w:w="2235" w:type="dxa"/>
            <w:shd w:val="clear" w:color="auto" w:fill="auto"/>
          </w:tcPr>
          <w:p w14:paraId="1EA576C6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ρ</w:t>
            </w:r>
          </w:p>
        </w:tc>
        <w:tc>
          <w:tcPr>
            <w:tcW w:w="1551" w:type="dxa"/>
            <w:shd w:val="clear" w:color="auto" w:fill="auto"/>
          </w:tcPr>
          <w:p w14:paraId="4CCA5622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1,290</w:t>
            </w:r>
          </w:p>
        </w:tc>
        <w:tc>
          <w:tcPr>
            <w:tcW w:w="1723" w:type="dxa"/>
            <w:shd w:val="clear" w:color="auto" w:fill="auto"/>
          </w:tcPr>
          <w:p w14:paraId="095725C7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1,230</w:t>
            </w:r>
          </w:p>
        </w:tc>
        <w:tc>
          <w:tcPr>
            <w:tcW w:w="1861" w:type="dxa"/>
            <w:shd w:val="clear" w:color="auto" w:fill="auto"/>
          </w:tcPr>
          <w:p w14:paraId="6F510B72" w14:textId="77777777" w:rsidR="00D85EE0" w:rsidRPr="008171FC" w:rsidRDefault="00D85EE0" w:rsidP="008171FC">
            <w:pPr>
              <w:spacing w:before="40" w:after="120"/>
              <w:ind w:left="113" w:right="113"/>
              <w:rPr>
                <w:vertAlign w:val="superscript"/>
                <w:lang w:val="fr-FR"/>
              </w:rPr>
            </w:pPr>
            <w:r w:rsidRPr="008171FC">
              <w:rPr>
                <w:lang w:val="fr-FR"/>
              </w:rPr>
              <w:t>kg·m</w:t>
            </w:r>
            <w:r w:rsidRPr="008171FC">
              <w:rPr>
                <w:vertAlign w:val="superscript"/>
                <w:lang w:val="fr-FR"/>
              </w:rPr>
              <w:t>-3</w:t>
            </w:r>
          </w:p>
        </w:tc>
      </w:tr>
      <w:tr w:rsidR="00D85EE0" w:rsidRPr="008171FC" w14:paraId="4337EAB9" w14:textId="77777777" w:rsidTr="008171FC">
        <w:tc>
          <w:tcPr>
            <w:tcW w:w="2235" w:type="dxa"/>
            <w:shd w:val="clear" w:color="auto" w:fill="auto"/>
          </w:tcPr>
          <w:p w14:paraId="5C7AE885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v̇</w:t>
            </w:r>
          </w:p>
        </w:tc>
        <w:tc>
          <w:tcPr>
            <w:tcW w:w="1551" w:type="dxa"/>
            <w:shd w:val="clear" w:color="auto" w:fill="auto"/>
          </w:tcPr>
          <w:p w14:paraId="72372D26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0,934</w:t>
            </w:r>
          </w:p>
        </w:tc>
        <w:tc>
          <w:tcPr>
            <w:tcW w:w="1723" w:type="dxa"/>
            <w:shd w:val="clear" w:color="auto" w:fill="auto"/>
          </w:tcPr>
          <w:p w14:paraId="49CC0E27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1,322</w:t>
            </w:r>
          </w:p>
        </w:tc>
        <w:tc>
          <w:tcPr>
            <w:tcW w:w="1861" w:type="dxa"/>
            <w:shd w:val="clear" w:color="auto" w:fill="auto"/>
          </w:tcPr>
          <w:p w14:paraId="3447D80B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m</w:t>
            </w:r>
            <w:r w:rsidRPr="008171FC">
              <w:rPr>
                <w:vertAlign w:val="superscript"/>
                <w:lang w:val="fr-FR"/>
              </w:rPr>
              <w:t>3</w:t>
            </w:r>
            <w:r w:rsidRPr="008171FC">
              <w:rPr>
                <w:lang w:val="fr-FR"/>
              </w:rPr>
              <w:t>·s</w:t>
            </w:r>
            <w:r w:rsidRPr="008171FC">
              <w:rPr>
                <w:vertAlign w:val="superscript"/>
                <w:lang w:val="fr-FR"/>
              </w:rPr>
              <w:t>-1</w:t>
            </w:r>
          </w:p>
        </w:tc>
      </w:tr>
      <w:tr w:rsidR="00D85EE0" w:rsidRPr="008171FC" w14:paraId="7DB9D17E" w14:textId="77777777" w:rsidTr="008171FC">
        <w:tc>
          <w:tcPr>
            <w:tcW w:w="2235" w:type="dxa"/>
            <w:shd w:val="clear" w:color="auto" w:fill="auto"/>
          </w:tcPr>
          <w:p w14:paraId="5334950C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v̇</w:t>
            </w:r>
          </w:p>
        </w:tc>
        <w:tc>
          <w:tcPr>
            <w:tcW w:w="1551" w:type="dxa"/>
            <w:shd w:val="clear" w:color="auto" w:fill="auto"/>
          </w:tcPr>
          <w:p w14:paraId="2346BF09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3</w:t>
            </w:r>
            <w:r w:rsidR="008171FC">
              <w:rPr>
                <w:lang w:val="fr-FR"/>
              </w:rPr>
              <w:t xml:space="preserve"> </w:t>
            </w:r>
            <w:r w:rsidRPr="008171FC">
              <w:rPr>
                <w:lang w:val="fr-FR"/>
              </w:rPr>
              <w:t>364</w:t>
            </w:r>
          </w:p>
        </w:tc>
        <w:tc>
          <w:tcPr>
            <w:tcW w:w="1723" w:type="dxa"/>
            <w:shd w:val="clear" w:color="auto" w:fill="auto"/>
          </w:tcPr>
          <w:p w14:paraId="6C1B6F4B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4</w:t>
            </w:r>
            <w:r w:rsidR="008171FC">
              <w:rPr>
                <w:lang w:val="fr-FR"/>
              </w:rPr>
              <w:t xml:space="preserve"> </w:t>
            </w:r>
            <w:r w:rsidRPr="008171FC">
              <w:rPr>
                <w:lang w:val="fr-FR"/>
              </w:rPr>
              <w:t>758</w:t>
            </w:r>
          </w:p>
        </w:tc>
        <w:tc>
          <w:tcPr>
            <w:tcW w:w="1861" w:type="dxa"/>
            <w:shd w:val="clear" w:color="auto" w:fill="auto"/>
          </w:tcPr>
          <w:p w14:paraId="738984D5" w14:textId="77777777" w:rsidR="00D85EE0" w:rsidRPr="008171FC" w:rsidRDefault="00D85EE0" w:rsidP="008171FC">
            <w:pPr>
              <w:spacing w:before="40" w:after="120"/>
              <w:ind w:left="113" w:right="113"/>
              <w:rPr>
                <w:vertAlign w:val="superscript"/>
                <w:lang w:val="fr-FR"/>
              </w:rPr>
            </w:pPr>
            <w:r w:rsidRPr="008171FC">
              <w:rPr>
                <w:lang w:val="fr-FR"/>
              </w:rPr>
              <w:t>m</w:t>
            </w:r>
            <w:r w:rsidRPr="008171FC">
              <w:rPr>
                <w:vertAlign w:val="superscript"/>
                <w:lang w:val="fr-FR"/>
              </w:rPr>
              <w:t>3</w:t>
            </w:r>
            <w:r w:rsidRPr="008171FC">
              <w:rPr>
                <w:lang w:val="fr-FR"/>
              </w:rPr>
              <w:t>·hr</w:t>
            </w:r>
            <w:r w:rsidRPr="008171FC">
              <w:rPr>
                <w:vertAlign w:val="superscript"/>
                <w:lang w:val="fr-FR"/>
              </w:rPr>
              <w:t>-1</w:t>
            </w:r>
          </w:p>
        </w:tc>
      </w:tr>
      <w:tr w:rsidR="00D85EE0" w:rsidRPr="008171FC" w14:paraId="6DBB631B" w14:textId="77777777" w:rsidTr="008171FC">
        <w:tc>
          <w:tcPr>
            <w:tcW w:w="2235" w:type="dxa"/>
            <w:shd w:val="clear" w:color="auto" w:fill="auto"/>
          </w:tcPr>
          <w:p w14:paraId="5CA6C130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Changements d</w:t>
            </w:r>
            <w:r w:rsidRPr="008171FC">
              <w:rPr>
                <w:lang w:val="fr-FR"/>
              </w:rPr>
              <w:t>’</w:t>
            </w:r>
            <w:r w:rsidRPr="008171FC">
              <w:rPr>
                <w:lang w:val="fr-FR"/>
              </w:rPr>
              <w:t>air</w:t>
            </w:r>
          </w:p>
        </w:tc>
        <w:tc>
          <w:tcPr>
            <w:tcW w:w="1551" w:type="dxa"/>
            <w:shd w:val="clear" w:color="auto" w:fill="auto"/>
          </w:tcPr>
          <w:p w14:paraId="044E365E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39</w:t>
            </w:r>
          </w:p>
        </w:tc>
        <w:tc>
          <w:tcPr>
            <w:tcW w:w="1723" w:type="dxa"/>
            <w:shd w:val="clear" w:color="auto" w:fill="auto"/>
          </w:tcPr>
          <w:p w14:paraId="47886527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55</w:t>
            </w:r>
          </w:p>
        </w:tc>
        <w:tc>
          <w:tcPr>
            <w:tcW w:w="1861" w:type="dxa"/>
            <w:shd w:val="clear" w:color="auto" w:fill="auto"/>
          </w:tcPr>
          <w:p w14:paraId="569D5B10" w14:textId="77777777" w:rsidR="00D85EE0" w:rsidRPr="008171FC" w:rsidRDefault="00D85EE0" w:rsidP="008171FC">
            <w:pPr>
              <w:spacing w:before="40" w:after="120"/>
              <w:ind w:left="113" w:right="113"/>
              <w:rPr>
                <w:lang w:val="fr-FR"/>
              </w:rPr>
            </w:pPr>
            <w:r w:rsidRPr="008171FC">
              <w:rPr>
                <w:lang w:val="fr-FR"/>
              </w:rPr>
              <w:t>-</w:t>
            </w:r>
          </w:p>
        </w:tc>
      </w:tr>
    </w:tbl>
    <w:p w14:paraId="48D5EB09" w14:textId="77777777" w:rsidR="00D85EE0" w:rsidRPr="00D85EE0" w:rsidRDefault="00D85EE0" w:rsidP="008171FC">
      <w:pPr>
        <w:pStyle w:val="SingleTxtG"/>
        <w:spacing w:before="240"/>
        <w:rPr>
          <w:lang w:val="fr-FR"/>
        </w:rPr>
      </w:pPr>
      <w:r w:rsidRPr="00D85EE0">
        <w:rPr>
          <w:lang w:val="fr-FR"/>
        </w:rPr>
        <w:t>10.</w:t>
      </w:r>
      <w:r w:rsidRPr="00D85EE0">
        <w:rPr>
          <w:lang w:val="fr-FR"/>
        </w:rPr>
        <w:tab/>
        <w:t>La capacité requise est certes moins élevée pour la réfrigération, mais étant donné la nature des marchandises transportées, ce type de refroidissement nécessite un débit d</w:t>
      </w:r>
      <w:r>
        <w:rPr>
          <w:lang w:val="fr-FR"/>
        </w:rPr>
        <w:t>’</w:t>
      </w:r>
      <w:r w:rsidRPr="00D85EE0">
        <w:rPr>
          <w:lang w:val="fr-FR"/>
        </w:rPr>
        <w:t>air plus important, en raison du différentiel de température limité dans un serpentin d</w:t>
      </w:r>
      <w:r>
        <w:rPr>
          <w:lang w:val="fr-FR"/>
        </w:rPr>
        <w:t>’</w:t>
      </w:r>
      <w:r w:rsidRPr="00D85EE0">
        <w:rPr>
          <w:lang w:val="fr-FR"/>
        </w:rPr>
        <w:t>évaporateur.</w:t>
      </w:r>
    </w:p>
    <w:p w14:paraId="51A68538" w14:textId="77777777" w:rsidR="00D85EE0" w:rsidRPr="00D85EE0" w:rsidRDefault="00D85EE0" w:rsidP="008171FC">
      <w:pPr>
        <w:pStyle w:val="HCh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Proposition d</w:t>
      </w:r>
      <w:r>
        <w:rPr>
          <w:lang w:val="fr-FR"/>
        </w:rPr>
        <w:t>’</w:t>
      </w:r>
      <w:r w:rsidRPr="00D85EE0">
        <w:rPr>
          <w:lang w:val="fr-FR"/>
        </w:rPr>
        <w:t>amendement</w:t>
      </w:r>
    </w:p>
    <w:p w14:paraId="7C51A416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11.</w:t>
      </w:r>
      <w:r w:rsidRPr="00D85EE0">
        <w:rPr>
          <w:lang w:val="fr-FR"/>
        </w:rPr>
        <w:tab/>
        <w:t>Il est proposé de modifier le texte comme suit, avec un nouveau paragraphe ajouté au point 3.2.6</w:t>
      </w:r>
      <w:r w:rsidR="008171FC">
        <w:rPr>
          <w:lang w:val="fr-FR"/>
        </w:rPr>
        <w:t> </w:t>
      </w:r>
      <w:r w:rsidRPr="00D85EE0">
        <w:rPr>
          <w:lang w:val="fr-FR"/>
        </w:rPr>
        <w:t>:</w:t>
      </w:r>
    </w:p>
    <w:p w14:paraId="6310CBAA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Le débit d</w:t>
      </w:r>
      <w:r>
        <w:rPr>
          <w:lang w:val="fr-FR"/>
        </w:rPr>
        <w:t>’</w:t>
      </w:r>
      <w:r w:rsidRPr="00D85EE0">
        <w:rPr>
          <w:lang w:val="fr-FR"/>
        </w:rPr>
        <w:t>air prescrit pour un engin dont le volume est compris entre 2 et 100 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 xml:space="preserve"> est calculé à l</w:t>
      </w:r>
      <w:r>
        <w:rPr>
          <w:lang w:val="fr-FR"/>
        </w:rPr>
        <w:t>’</w:t>
      </w:r>
      <w:r w:rsidRPr="00D85EE0">
        <w:rPr>
          <w:lang w:val="fr-FR"/>
        </w:rPr>
        <w:t>aide de la formule suivante :</w:t>
      </w:r>
    </w:p>
    <w:p w14:paraId="16621359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V̇</w:t>
      </w:r>
      <w:r w:rsidRPr="00D85EE0">
        <w:rPr>
          <w:vertAlign w:val="subscript"/>
          <w:lang w:val="fr-FR"/>
        </w:rPr>
        <w:t xml:space="preserve">L </w:t>
      </w:r>
      <w:r w:rsidRPr="00D85EE0">
        <w:rPr>
          <w:lang w:val="fr-FR"/>
        </w:rPr>
        <w:t xml:space="preserve">= N·V  </w:t>
      </w:r>
    </w:p>
    <w:p w14:paraId="4B8D07F6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où le débit d</w:t>
      </w:r>
      <w:r>
        <w:rPr>
          <w:lang w:val="fr-FR"/>
        </w:rPr>
        <w:t>’</w:t>
      </w:r>
      <w:r w:rsidRPr="00D85EE0">
        <w:rPr>
          <w:lang w:val="fr-FR"/>
        </w:rPr>
        <w:t>air V̇</w:t>
      </w:r>
      <w:r w:rsidRPr="00D85EE0">
        <w:rPr>
          <w:vertAlign w:val="subscript"/>
          <w:lang w:val="fr-FR"/>
        </w:rPr>
        <w:t>L</w:t>
      </w:r>
      <w:r w:rsidRPr="00D85EE0">
        <w:rPr>
          <w:lang w:val="fr-FR"/>
        </w:rPr>
        <w:t xml:space="preserve"> est égal au nombre de changements d</w:t>
      </w:r>
      <w:r>
        <w:rPr>
          <w:lang w:val="fr-FR"/>
        </w:rPr>
        <w:t>’</w:t>
      </w:r>
      <w:r w:rsidRPr="00D85EE0">
        <w:rPr>
          <w:lang w:val="fr-FR"/>
        </w:rPr>
        <w:t>air par heure, N, multiplié par le volume à vide, V. »</w:t>
      </w:r>
      <w:r w:rsidR="008171FC">
        <w:rPr>
          <w:lang w:val="fr-FR"/>
        </w:rPr>
        <w:t>.</w:t>
      </w:r>
    </w:p>
    <w:p w14:paraId="7C773EE8" w14:textId="77777777" w:rsidR="00D85EE0" w:rsidRPr="00D85EE0" w:rsidRDefault="008171FC" w:rsidP="008171F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85EE0" w:rsidRPr="00D85EE0">
        <w:rPr>
          <w:lang w:val="fr-FR"/>
        </w:rPr>
        <w:t>Option 1a</w:t>
      </w:r>
    </w:p>
    <w:p w14:paraId="05B5429F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Avec</w:t>
      </w:r>
      <w:r w:rsidR="008171FC">
        <w:rPr>
          <w:lang w:val="fr-FR"/>
        </w:rPr>
        <w:t> </w:t>
      </w:r>
      <w:r w:rsidRPr="00D85EE0">
        <w:rPr>
          <w:lang w:val="fr-FR"/>
        </w:rPr>
        <w:t>:</w:t>
      </w:r>
    </w:p>
    <w:p w14:paraId="15C97673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40 ≤ N ≤ 65 pour le mode congélation » ou « 50 ≤ N ≤ 90 pour le mode frigorifique/calorifique ».</w:t>
      </w:r>
    </w:p>
    <w:p w14:paraId="6CD1E574" w14:textId="77777777" w:rsidR="00D85EE0" w:rsidRPr="00D85EE0" w:rsidRDefault="008171FC" w:rsidP="008171FC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D85EE0" w:rsidRPr="00D85EE0">
        <w:rPr>
          <w:lang w:val="fr-FR"/>
        </w:rPr>
        <w:t>Option 2a</w:t>
      </w:r>
    </w:p>
    <w:p w14:paraId="4B5C7E83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Avec</w:t>
      </w:r>
      <w:r w:rsidR="008171FC">
        <w:rPr>
          <w:lang w:val="fr-FR"/>
        </w:rPr>
        <w:t> </w:t>
      </w:r>
      <w:r w:rsidRPr="00D85EE0">
        <w:rPr>
          <w:lang w:val="fr-FR"/>
        </w:rPr>
        <w:t>:</w:t>
      </w:r>
    </w:p>
    <w:p w14:paraId="366E4CAB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N ≥ 55 »</w:t>
      </w:r>
    </w:p>
    <w:p w14:paraId="4080173C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12.</w:t>
      </w:r>
      <w:r w:rsidRPr="00D85EE0">
        <w:rPr>
          <w:lang w:val="fr-FR"/>
        </w:rPr>
        <w:tab/>
        <w:t>Le système d</w:t>
      </w:r>
      <w:r>
        <w:rPr>
          <w:lang w:val="fr-FR"/>
        </w:rPr>
        <w:t>’</w:t>
      </w:r>
      <w:r w:rsidRPr="00D85EE0">
        <w:rPr>
          <w:lang w:val="fr-FR"/>
        </w:rPr>
        <w:t>aération ne doit pas nécessairement fonctionner de manière continue, et toute perte de débit d</w:t>
      </w:r>
      <w:r>
        <w:rPr>
          <w:lang w:val="fr-FR"/>
        </w:rPr>
        <w:t>’</w:t>
      </w:r>
      <w:r w:rsidRPr="00D85EE0">
        <w:rPr>
          <w:lang w:val="fr-FR"/>
        </w:rPr>
        <w:t>air dans le système provoquée par des équipements intérieurs tels que des conduites d</w:t>
      </w:r>
      <w:r>
        <w:rPr>
          <w:lang w:val="fr-FR"/>
        </w:rPr>
        <w:t>’</w:t>
      </w:r>
      <w:r w:rsidRPr="00D85EE0">
        <w:rPr>
          <w:lang w:val="fr-FR"/>
        </w:rPr>
        <w:t xml:space="preserve">air et par le givrage des évaporateurs doit être compensée. </w:t>
      </w:r>
    </w:p>
    <w:p w14:paraId="0D082DD8" w14:textId="77777777" w:rsidR="00D85EE0" w:rsidRPr="00D85EE0" w:rsidRDefault="008171FC" w:rsidP="008171F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85EE0" w:rsidRPr="00D85EE0">
        <w:rPr>
          <w:lang w:val="fr-FR"/>
        </w:rPr>
        <w:t>Option 1b</w:t>
      </w:r>
    </w:p>
    <w:p w14:paraId="0DD3712B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Si le volume intérieur V est inférieur à 2 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 xml:space="preserve"> ou supérieur à 100 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>, l</w:t>
      </w:r>
      <w:r>
        <w:rPr>
          <w:lang w:val="fr-FR"/>
        </w:rPr>
        <w:t>’</w:t>
      </w:r>
      <w:r w:rsidRPr="00D85EE0">
        <w:rPr>
          <w:lang w:val="fr-FR"/>
        </w:rPr>
        <w:t>autorité compétente du lieu où l</w:t>
      </w:r>
      <w:r>
        <w:rPr>
          <w:lang w:val="fr-FR"/>
        </w:rPr>
        <w:t>’</w:t>
      </w:r>
      <w:r w:rsidRPr="00D85EE0">
        <w:rPr>
          <w:lang w:val="fr-FR"/>
        </w:rPr>
        <w:t>engin est immatriculé ou enregistré détermine le débit d</w:t>
      </w:r>
      <w:r>
        <w:rPr>
          <w:lang w:val="fr-FR"/>
        </w:rPr>
        <w:t>’</w:t>
      </w:r>
      <w:r w:rsidRPr="00D85EE0">
        <w:rPr>
          <w:lang w:val="fr-FR"/>
        </w:rPr>
        <w:t>air adéquat sur la base de l</w:t>
      </w:r>
      <w:r>
        <w:rPr>
          <w:lang w:val="fr-FR"/>
        </w:rPr>
        <w:t>’</w:t>
      </w:r>
      <w:r w:rsidRPr="00D85EE0">
        <w:rPr>
          <w:lang w:val="fr-FR"/>
        </w:rPr>
        <w:t>échange thermique global. »</w:t>
      </w:r>
    </w:p>
    <w:p w14:paraId="03A92CDB" w14:textId="77777777" w:rsidR="00D85EE0" w:rsidRPr="00D85EE0" w:rsidRDefault="008171FC" w:rsidP="008171FC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D85EE0" w:rsidRPr="00D85EE0">
        <w:rPr>
          <w:lang w:val="fr-FR"/>
        </w:rPr>
        <w:t>Option 2b</w:t>
      </w:r>
    </w:p>
    <w:p w14:paraId="0C2A83CF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Si le volume intérieur de l</w:t>
      </w:r>
      <w:r>
        <w:rPr>
          <w:lang w:val="fr-FR"/>
        </w:rPr>
        <w:t>’</w:t>
      </w:r>
      <w:r w:rsidRPr="00D85EE0">
        <w:rPr>
          <w:lang w:val="fr-FR"/>
        </w:rPr>
        <w:t>engin V est inférieur à 2 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 xml:space="preserve"> ou supérieur à 100 m</w:t>
      </w:r>
      <w:r w:rsidRPr="00D85EE0">
        <w:rPr>
          <w:vertAlign w:val="superscript"/>
          <w:lang w:val="fr-FR"/>
        </w:rPr>
        <w:t>3</w:t>
      </w:r>
      <w:r w:rsidRPr="00D85EE0">
        <w:rPr>
          <w:lang w:val="fr-FR"/>
        </w:rPr>
        <w:t>, l</w:t>
      </w:r>
      <w:r>
        <w:rPr>
          <w:lang w:val="fr-FR"/>
        </w:rPr>
        <w:t>’</w:t>
      </w:r>
      <w:r w:rsidRPr="00D85EE0">
        <w:rPr>
          <w:lang w:val="fr-FR"/>
        </w:rPr>
        <w:t>autorité compétente peut délivrer une attestation de conformité même si la prescription concernant le débit d</w:t>
      </w:r>
      <w:r>
        <w:rPr>
          <w:lang w:val="fr-FR"/>
        </w:rPr>
        <w:t>’</w:t>
      </w:r>
      <w:r w:rsidRPr="00D85EE0">
        <w:rPr>
          <w:lang w:val="fr-FR"/>
        </w:rPr>
        <w:t>air n</w:t>
      </w:r>
      <w:r>
        <w:rPr>
          <w:lang w:val="fr-FR"/>
        </w:rPr>
        <w:t>’</w:t>
      </w:r>
      <w:r w:rsidRPr="00D85EE0">
        <w:rPr>
          <w:lang w:val="fr-FR"/>
        </w:rPr>
        <w:t>est pas satisfaite. »</w:t>
      </w:r>
    </w:p>
    <w:p w14:paraId="560F6328" w14:textId="77777777" w:rsidR="00D85EE0" w:rsidRPr="00D85EE0" w:rsidRDefault="00D85EE0" w:rsidP="008171FC">
      <w:pPr>
        <w:pStyle w:val="HCh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Annexe 1, appendice 3</w:t>
      </w:r>
    </w:p>
    <w:p w14:paraId="275BCFE6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13.</w:t>
      </w:r>
      <w:r w:rsidRPr="00D85EE0">
        <w:rPr>
          <w:lang w:val="fr-FR"/>
        </w:rPr>
        <w:tab/>
        <w:t>Une nouvelle section devra être ajoutée à l</w:t>
      </w:r>
      <w:r>
        <w:rPr>
          <w:lang w:val="fr-FR"/>
        </w:rPr>
        <w:t>’</w:t>
      </w:r>
      <w:r w:rsidRPr="00D85EE0">
        <w:rPr>
          <w:lang w:val="fr-FR"/>
        </w:rPr>
        <w:t>attestation ATP figurant à l</w:t>
      </w:r>
      <w:r>
        <w:rPr>
          <w:lang w:val="fr-FR"/>
        </w:rPr>
        <w:t>’</w:t>
      </w:r>
      <w:r w:rsidRPr="00D85EE0">
        <w:rPr>
          <w:lang w:val="fr-FR"/>
        </w:rPr>
        <w:t>appendice 3 de l</w:t>
      </w:r>
      <w:r>
        <w:rPr>
          <w:lang w:val="fr-FR"/>
        </w:rPr>
        <w:t>’</w:t>
      </w:r>
      <w:r w:rsidRPr="00D85EE0">
        <w:rPr>
          <w:lang w:val="fr-FR"/>
        </w:rPr>
        <w:t>annexe 1.</w:t>
      </w:r>
    </w:p>
    <w:p w14:paraId="08436048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</w:t>
      </w:r>
      <w:r w:rsidR="008171FC">
        <w:rPr>
          <w:lang w:val="fr-FR"/>
        </w:rPr>
        <w:t> </w:t>
      </w:r>
      <w:r w:rsidRPr="00D85EE0">
        <w:rPr>
          <w:lang w:val="fr-FR"/>
        </w:rPr>
        <w:t>7.2.6 XX changements d</w:t>
      </w:r>
      <w:r>
        <w:rPr>
          <w:lang w:val="fr-FR"/>
        </w:rPr>
        <w:t>’</w:t>
      </w:r>
      <w:r w:rsidRPr="00D85EE0">
        <w:rPr>
          <w:lang w:val="fr-FR"/>
        </w:rPr>
        <w:t>air à l</w:t>
      </w:r>
      <w:r>
        <w:rPr>
          <w:lang w:val="fr-FR"/>
        </w:rPr>
        <w:t>’</w:t>
      </w:r>
      <w:r w:rsidRPr="00D85EE0">
        <w:rPr>
          <w:lang w:val="fr-FR"/>
        </w:rPr>
        <w:t>heure</w:t>
      </w:r>
      <w:r w:rsidR="008171FC">
        <w:rPr>
          <w:lang w:val="fr-FR"/>
        </w:rPr>
        <w:t> </w:t>
      </w:r>
      <w:r w:rsidRPr="00D85EE0">
        <w:rPr>
          <w:lang w:val="fr-FR"/>
        </w:rPr>
        <w:t>».</w:t>
      </w:r>
    </w:p>
    <w:p w14:paraId="1BD166B3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où XX est le nombre de changements d</w:t>
      </w:r>
      <w:r>
        <w:rPr>
          <w:lang w:val="fr-FR"/>
        </w:rPr>
        <w:t>’</w:t>
      </w:r>
      <w:r w:rsidRPr="00D85EE0">
        <w:rPr>
          <w:lang w:val="fr-FR"/>
        </w:rPr>
        <w:t>air à l</w:t>
      </w:r>
      <w:r>
        <w:rPr>
          <w:lang w:val="fr-FR"/>
        </w:rPr>
        <w:t>’</w:t>
      </w:r>
      <w:r w:rsidRPr="00D85EE0">
        <w:rPr>
          <w:lang w:val="fr-FR"/>
        </w:rPr>
        <w:t>heure, calculé en divisant le débit d</w:t>
      </w:r>
      <w:r>
        <w:rPr>
          <w:lang w:val="fr-FR"/>
        </w:rPr>
        <w:t>’</w:t>
      </w:r>
      <w:r w:rsidRPr="00D85EE0">
        <w:rPr>
          <w:lang w:val="fr-FR"/>
        </w:rPr>
        <w:t>air total des ventilateurs de l</w:t>
      </w:r>
      <w:r>
        <w:rPr>
          <w:lang w:val="fr-FR"/>
        </w:rPr>
        <w:t>’</w:t>
      </w:r>
      <w:r w:rsidRPr="00D85EE0">
        <w:rPr>
          <w:lang w:val="fr-FR"/>
        </w:rPr>
        <w:t>évaporateur par le volume intérieur total de la caisse de l</w:t>
      </w:r>
      <w:r>
        <w:rPr>
          <w:lang w:val="fr-FR"/>
        </w:rPr>
        <w:t>’</w:t>
      </w:r>
      <w:r w:rsidRPr="00D85EE0">
        <w:rPr>
          <w:lang w:val="fr-FR"/>
        </w:rPr>
        <w:t>engin.</w:t>
      </w:r>
    </w:p>
    <w:p w14:paraId="4B5DB1E0" w14:textId="77777777" w:rsidR="00D85EE0" w:rsidRPr="00D85EE0" w:rsidRDefault="00D85EE0" w:rsidP="00D85EE0">
      <w:pPr>
        <w:pStyle w:val="SingleTxtG"/>
        <w:rPr>
          <w:b/>
          <w:lang w:val="fr-FR"/>
        </w:rPr>
      </w:pPr>
      <w:r w:rsidRPr="00D85EE0">
        <w:rPr>
          <w:b/>
          <w:lang w:val="fr-FR"/>
        </w:rPr>
        <w:t>Le texte suivant pourrait être ajouté au Manuel ATP afin de fournir des explications supplémentaires</w:t>
      </w:r>
      <w:r w:rsidR="008171FC">
        <w:rPr>
          <w:b/>
          <w:lang w:val="fr-FR"/>
        </w:rPr>
        <w:t> </w:t>
      </w:r>
      <w:r w:rsidRPr="00D85EE0">
        <w:rPr>
          <w:b/>
          <w:lang w:val="fr-FR"/>
        </w:rPr>
        <w:t>:</w:t>
      </w:r>
    </w:p>
    <w:p w14:paraId="647DB7D6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« Le débit d</w:t>
      </w:r>
      <w:r>
        <w:rPr>
          <w:lang w:val="fr-FR"/>
        </w:rPr>
        <w:t>’</w:t>
      </w:r>
      <w:r w:rsidRPr="00D85EE0">
        <w:rPr>
          <w:lang w:val="fr-FR"/>
        </w:rPr>
        <w:t>air est un paramètre essentiel du transport avec régulation de température. Pour les denrées congelées, le débit d</w:t>
      </w:r>
      <w:r>
        <w:rPr>
          <w:lang w:val="fr-FR"/>
        </w:rPr>
        <w:t>’</w:t>
      </w:r>
      <w:r w:rsidRPr="00D85EE0">
        <w:rPr>
          <w:lang w:val="fr-FR"/>
        </w:rPr>
        <w:t>air devrait être faible afin d</w:t>
      </w:r>
      <w:r>
        <w:rPr>
          <w:lang w:val="fr-FR"/>
        </w:rPr>
        <w:t>’</w:t>
      </w:r>
      <w:r w:rsidRPr="00D85EE0">
        <w:rPr>
          <w:lang w:val="fr-FR"/>
        </w:rPr>
        <w:t>éviter le dessèchement, mais suffisant pour chasser la chaleur entrant par les panneaux isolants. La température de l</w:t>
      </w:r>
      <w:r>
        <w:rPr>
          <w:lang w:val="fr-FR"/>
        </w:rPr>
        <w:t>’</w:t>
      </w:r>
      <w:r w:rsidRPr="00D85EE0">
        <w:rPr>
          <w:lang w:val="fr-FR"/>
        </w:rPr>
        <w:t>air entrant peut être plus basse que la température voulue afin d</w:t>
      </w:r>
      <w:r>
        <w:rPr>
          <w:lang w:val="fr-FR"/>
        </w:rPr>
        <w:t>’</w:t>
      </w:r>
      <w:r w:rsidRPr="00D85EE0">
        <w:rPr>
          <w:lang w:val="fr-FR"/>
        </w:rPr>
        <w:t>évacuer la chaleur sans endommager le produit. Les denrées réfrigérées ont besoin d</w:t>
      </w:r>
      <w:r>
        <w:rPr>
          <w:lang w:val="fr-FR"/>
        </w:rPr>
        <w:t>’</w:t>
      </w:r>
      <w:r w:rsidRPr="00D85EE0">
        <w:rPr>
          <w:lang w:val="fr-FR"/>
        </w:rPr>
        <w:t>un débit d</w:t>
      </w:r>
      <w:r>
        <w:rPr>
          <w:lang w:val="fr-FR"/>
        </w:rPr>
        <w:t>’</w:t>
      </w:r>
      <w:r w:rsidRPr="00D85EE0">
        <w:rPr>
          <w:lang w:val="fr-FR"/>
        </w:rPr>
        <w:t>air plus élevé pour une bonne distribution de la température et parce que la température de ventilation ne doit pas être sensiblement inférieure à la température voulue en raison du risque de dégradation par refroidissement excessif ou par gel. Certaines denrées réfrigérées sont métaboliquement actives et ont donc besoin d</w:t>
      </w:r>
      <w:r>
        <w:rPr>
          <w:lang w:val="fr-FR"/>
        </w:rPr>
        <w:t>’</w:t>
      </w:r>
      <w:r w:rsidRPr="00D85EE0">
        <w:rPr>
          <w:lang w:val="fr-FR"/>
        </w:rPr>
        <w:t>un débit d</w:t>
      </w:r>
      <w:r>
        <w:rPr>
          <w:lang w:val="fr-FR"/>
        </w:rPr>
        <w:t>’</w:t>
      </w:r>
      <w:r w:rsidRPr="00D85EE0">
        <w:rPr>
          <w:lang w:val="fr-FR"/>
        </w:rPr>
        <w:t>air plus élevé pour évacuer la chaleur produite.</w:t>
      </w:r>
    </w:p>
    <w:p w14:paraId="4602884D" w14:textId="77777777" w:rsidR="00D85EE0" w:rsidRPr="00D85EE0" w:rsidRDefault="00D85EE0" w:rsidP="008171FC">
      <w:pPr>
        <w:pStyle w:val="SingleTxtG"/>
        <w:ind w:left="1701"/>
        <w:rPr>
          <w:lang w:val="fr-FR"/>
        </w:rPr>
      </w:pPr>
      <w:r w:rsidRPr="00D85EE0">
        <w:rPr>
          <w:lang w:val="fr-FR"/>
        </w:rPr>
        <w:t>On ne saurait utiliser des ventilateurs intermittents pour les marchandises sensibles, qui ont besoin d</w:t>
      </w:r>
      <w:r>
        <w:rPr>
          <w:lang w:val="fr-FR"/>
        </w:rPr>
        <w:t>’</w:t>
      </w:r>
      <w:r w:rsidRPr="00D85EE0">
        <w:rPr>
          <w:lang w:val="fr-FR"/>
        </w:rPr>
        <w:t>une répartition homogène de la température. En règle générale, lorsque l</w:t>
      </w:r>
      <w:r>
        <w:rPr>
          <w:lang w:val="fr-FR"/>
        </w:rPr>
        <w:t>’</w:t>
      </w:r>
      <w:r w:rsidRPr="00D85EE0">
        <w:rPr>
          <w:lang w:val="fr-FR"/>
        </w:rPr>
        <w:t>unité ou les ventilateurs de l</w:t>
      </w:r>
      <w:r>
        <w:rPr>
          <w:lang w:val="fr-FR"/>
        </w:rPr>
        <w:t>’</w:t>
      </w:r>
      <w:r w:rsidRPr="00D85EE0">
        <w:rPr>
          <w:lang w:val="fr-FR"/>
        </w:rPr>
        <w:t>évaporateur sont autorisés à fonctionner par cycles intermittents, le démarrage/arrêt de l</w:t>
      </w:r>
      <w:r>
        <w:rPr>
          <w:lang w:val="fr-FR"/>
        </w:rPr>
        <w:t>’</w:t>
      </w:r>
      <w:r w:rsidRPr="00D85EE0">
        <w:rPr>
          <w:lang w:val="fr-FR"/>
        </w:rPr>
        <w:t>unité ne doit être utilisé que pour le transport de marchandises congelées.</w:t>
      </w:r>
    </w:p>
    <w:p w14:paraId="6A33B99A" w14:textId="77777777" w:rsidR="00D85EE0" w:rsidRPr="00D85EE0" w:rsidRDefault="00D85EE0" w:rsidP="008171FC">
      <w:pPr>
        <w:pStyle w:val="Titre1"/>
        <w:spacing w:after="120"/>
        <w:rPr>
          <w:b/>
          <w:bCs/>
          <w:lang w:val="fr-FR"/>
        </w:rPr>
      </w:pPr>
      <w:r w:rsidRPr="00D85EE0">
        <w:rPr>
          <w:lang w:val="fr-FR"/>
        </w:rPr>
        <w:lastRenderedPageBreak/>
        <w:t>Tableau 1</w:t>
      </w:r>
      <w:r w:rsidR="008171FC">
        <w:rPr>
          <w:lang w:val="fr-FR"/>
        </w:rPr>
        <w:br/>
      </w:r>
      <w:r w:rsidRPr="00D85EE0">
        <w:rPr>
          <w:b/>
          <w:bCs/>
          <w:lang w:val="fr-FR"/>
        </w:rPr>
        <w:t>Exemples de prescriptions en matière de débit d</w:t>
      </w:r>
      <w:r>
        <w:rPr>
          <w:b/>
          <w:bCs/>
          <w:lang w:val="fr-FR"/>
        </w:rPr>
        <w:t>’</w:t>
      </w:r>
      <w:r w:rsidRPr="00D85EE0">
        <w:rPr>
          <w:b/>
          <w:bCs/>
          <w:lang w:val="fr-FR"/>
        </w:rPr>
        <w:t xml:space="preserve">air pour des marchandises sensibles </w:t>
      </w:r>
      <w:r w:rsidR="001B25C2">
        <w:rPr>
          <w:b/>
          <w:bCs/>
          <w:lang w:val="fr-FR"/>
        </w:rPr>
        <w:br/>
      </w:r>
      <w:r w:rsidRPr="00D85EE0">
        <w:rPr>
          <w:b/>
          <w:bCs/>
          <w:lang w:val="fr-FR"/>
        </w:rPr>
        <w:t>à la température</w:t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338"/>
        <w:gridCol w:w="593"/>
        <w:gridCol w:w="1265"/>
        <w:gridCol w:w="593"/>
        <w:gridCol w:w="1303"/>
        <w:gridCol w:w="567"/>
        <w:gridCol w:w="1842"/>
      </w:tblGrid>
      <w:tr w:rsidR="00D85EE0" w:rsidRPr="001B25C2" w14:paraId="2EBC2196" w14:textId="77777777" w:rsidTr="001B25C2">
        <w:trPr>
          <w:tblHeader/>
        </w:trPr>
        <w:tc>
          <w:tcPr>
            <w:tcW w:w="234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D643BA9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rPr>
                <w:bCs/>
                <w:i/>
                <w:sz w:val="16"/>
                <w:szCs w:val="16"/>
                <w:lang w:val="fr-FR"/>
              </w:rPr>
            </w:pPr>
            <w:r w:rsidRPr="00D13AEE">
              <w:rPr>
                <w:i/>
                <w:sz w:val="16"/>
                <w:szCs w:val="16"/>
                <w:lang w:val="fr-FR"/>
              </w:rPr>
              <w:t xml:space="preserve">Type </w:t>
            </w:r>
            <w:r>
              <w:rPr>
                <w:i/>
                <w:sz w:val="16"/>
                <w:szCs w:val="16"/>
                <w:lang w:val="fr-FR"/>
              </w:rPr>
              <w:t>de marchandises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9519FC1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1B25C2">
              <w:rPr>
                <w:bCs/>
                <w:i/>
                <w:sz w:val="16"/>
                <w:szCs w:val="16"/>
                <w:lang w:val="fr-FR"/>
              </w:rPr>
              <w:drawing>
                <wp:inline distT="0" distB="0" distL="0" distR="0" wp14:anchorId="7659223E" wp14:editId="54839D15">
                  <wp:extent cx="180975" cy="247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B6A9563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Plage de température</w:t>
            </w:r>
          </w:p>
          <w:p w14:paraId="42F1F4D8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D13AEE">
              <w:rPr>
                <w:bCs/>
                <w:i/>
                <w:sz w:val="16"/>
                <w:szCs w:val="16"/>
                <w:lang w:val="fr-FR"/>
              </w:rPr>
              <w:t>[°C]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4AE24D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1B25C2">
              <w:rPr>
                <w:bCs/>
                <w:i/>
                <w:sz w:val="16"/>
                <w:szCs w:val="16"/>
                <w:lang w:val="fr-FR"/>
              </w:rPr>
              <w:drawing>
                <wp:inline distT="0" distB="0" distL="0" distR="0" wp14:anchorId="582E1282" wp14:editId="7A88E3EF">
                  <wp:extent cx="190500" cy="247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6ED88A06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Sensibilité à l</w:t>
            </w:r>
            <w:r>
              <w:rPr>
                <w:bCs/>
                <w:i/>
                <w:sz w:val="16"/>
                <w:szCs w:val="16"/>
                <w:lang w:val="fr-FR"/>
              </w:rPr>
              <w:t>’</w:t>
            </w:r>
            <w:r>
              <w:rPr>
                <w:bCs/>
                <w:i/>
                <w:sz w:val="16"/>
                <w:szCs w:val="16"/>
                <w:lang w:val="fr-FR"/>
              </w:rPr>
              <w:t>humidité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433F129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 w:rsidRPr="001B25C2">
              <w:rPr>
                <w:bCs/>
                <w:i/>
                <w:sz w:val="16"/>
                <w:szCs w:val="16"/>
                <w:lang w:val="fr-FR"/>
              </w:rPr>
              <w:drawing>
                <wp:inline distT="0" distB="0" distL="0" distR="0" wp14:anchorId="709D3870" wp14:editId="5A8B2130">
                  <wp:extent cx="247650" cy="20955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57B75170" w14:textId="77777777" w:rsidR="00D85EE0" w:rsidRPr="00D13AEE" w:rsidRDefault="00D85EE0" w:rsidP="001B25C2">
            <w:pPr>
              <w:keepNext/>
              <w:suppressAutoHyphens w:val="0"/>
              <w:spacing w:before="80" w:after="80" w:line="200" w:lineRule="exact"/>
              <w:jc w:val="right"/>
              <w:rPr>
                <w:bCs/>
                <w:i/>
                <w:sz w:val="16"/>
                <w:szCs w:val="16"/>
                <w:lang w:val="fr-FR"/>
              </w:rPr>
            </w:pPr>
            <w:r>
              <w:rPr>
                <w:bCs/>
                <w:i/>
                <w:sz w:val="16"/>
                <w:szCs w:val="16"/>
                <w:lang w:val="fr-FR"/>
              </w:rPr>
              <w:t>Débit d</w:t>
            </w:r>
            <w:r>
              <w:rPr>
                <w:bCs/>
                <w:i/>
                <w:sz w:val="16"/>
                <w:szCs w:val="16"/>
                <w:lang w:val="fr-FR"/>
              </w:rPr>
              <w:t>’</w:t>
            </w:r>
            <w:r>
              <w:rPr>
                <w:bCs/>
                <w:i/>
                <w:sz w:val="16"/>
                <w:szCs w:val="16"/>
                <w:lang w:val="fr-FR"/>
              </w:rPr>
              <w:t>air recommandé</w:t>
            </w:r>
            <w:r w:rsidRPr="00D13AEE">
              <w:rPr>
                <w:bCs/>
                <w:i/>
                <w:sz w:val="16"/>
                <w:szCs w:val="16"/>
                <w:lang w:val="fr-FR"/>
              </w:rPr>
              <w:t xml:space="preserve"> [</w:t>
            </w:r>
            <w:r w:rsidRPr="001B25C2">
              <w:rPr>
                <w:bCs/>
                <w:i/>
                <w:sz w:val="16"/>
                <w:szCs w:val="16"/>
                <w:lang w:val="fr-FR"/>
              </w:rPr>
              <w:t>nombre de volumes vides brassés par heure]</w:t>
            </w:r>
          </w:p>
        </w:tc>
      </w:tr>
      <w:tr w:rsidR="00D85EE0" w:rsidRPr="00D13AEE" w14:paraId="4AEB1E16" w14:textId="77777777" w:rsidTr="001B25C2">
        <w:tc>
          <w:tcPr>
            <w:tcW w:w="200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261408D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Viande suspendue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shd w:val="clear" w:color="auto" w:fill="auto"/>
          </w:tcPr>
          <w:p w14:paraId="67F61885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858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717821B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-1/+1°C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0BE723D9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>
              <w:rPr>
                <w:bCs/>
                <w:sz w:val="18"/>
                <w:szCs w:val="24"/>
                <w:lang w:val="fr-FR"/>
              </w:rPr>
              <w:t xml:space="preserve">Oui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D56EDBC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50</w:t>
            </w:r>
            <w:r w:rsidR="001B25C2">
              <w:rPr>
                <w:bCs/>
                <w:sz w:val="18"/>
                <w:szCs w:val="24"/>
                <w:lang w:val="fr-FR"/>
              </w:rPr>
              <w:t>-</w:t>
            </w:r>
            <w:r w:rsidRPr="00D13AEE">
              <w:rPr>
                <w:bCs/>
                <w:sz w:val="18"/>
                <w:szCs w:val="24"/>
                <w:lang w:val="fr-FR"/>
              </w:rPr>
              <w:t xml:space="preserve">90 </w:t>
            </w:r>
          </w:p>
        </w:tc>
      </w:tr>
      <w:tr w:rsidR="00D85EE0" w:rsidRPr="00D13AEE" w14:paraId="5C220080" w14:textId="77777777" w:rsidTr="001B25C2">
        <w:tc>
          <w:tcPr>
            <w:tcW w:w="2004" w:type="dxa"/>
            <w:shd w:val="clear" w:color="auto" w:fill="auto"/>
            <w:hideMark/>
          </w:tcPr>
          <w:p w14:paraId="38EE1533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Produits réfrigérés</w:t>
            </w:r>
          </w:p>
        </w:tc>
        <w:tc>
          <w:tcPr>
            <w:tcW w:w="338" w:type="dxa"/>
            <w:shd w:val="clear" w:color="auto" w:fill="auto"/>
          </w:tcPr>
          <w:p w14:paraId="20B00BE3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bottom"/>
            <w:hideMark/>
          </w:tcPr>
          <w:p w14:paraId="1CC4CC73" w14:textId="77777777" w:rsidR="00D85EE0" w:rsidRPr="00D13AEE" w:rsidRDefault="00D85EE0" w:rsidP="001B25C2">
            <w:pPr>
              <w:keepNext/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-1/+6°C</w:t>
            </w:r>
          </w:p>
        </w:tc>
        <w:tc>
          <w:tcPr>
            <w:tcW w:w="1896" w:type="dxa"/>
            <w:gridSpan w:val="2"/>
            <w:shd w:val="clear" w:color="auto" w:fill="auto"/>
            <w:vAlign w:val="bottom"/>
            <w:hideMark/>
          </w:tcPr>
          <w:p w14:paraId="44E4081B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>
              <w:rPr>
                <w:bCs/>
                <w:sz w:val="18"/>
                <w:szCs w:val="24"/>
                <w:lang w:val="fr-FR"/>
              </w:rPr>
              <w:t>Oui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14:paraId="7B17D3B7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50</w:t>
            </w:r>
            <w:r w:rsidR="001B25C2">
              <w:rPr>
                <w:bCs/>
                <w:sz w:val="18"/>
                <w:szCs w:val="24"/>
                <w:lang w:val="fr-FR"/>
              </w:rPr>
              <w:t>-</w:t>
            </w:r>
            <w:r w:rsidRPr="00D13AEE">
              <w:rPr>
                <w:bCs/>
                <w:sz w:val="18"/>
                <w:szCs w:val="24"/>
                <w:lang w:val="fr-FR"/>
              </w:rPr>
              <w:t xml:space="preserve">90 </w:t>
            </w:r>
          </w:p>
        </w:tc>
      </w:tr>
      <w:tr w:rsidR="00D85EE0" w:rsidRPr="00D13AEE" w14:paraId="3CB63FB4" w14:textId="77777777" w:rsidTr="001B25C2">
        <w:tc>
          <w:tcPr>
            <w:tcW w:w="2004" w:type="dxa"/>
            <w:shd w:val="clear" w:color="auto" w:fill="auto"/>
          </w:tcPr>
          <w:p w14:paraId="1F7A136E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sz w:val="18"/>
                <w:szCs w:val="16"/>
                <w:lang w:val="fr-FR"/>
              </w:rPr>
            </w:pPr>
          </w:p>
        </w:tc>
        <w:tc>
          <w:tcPr>
            <w:tcW w:w="338" w:type="dxa"/>
            <w:shd w:val="clear" w:color="auto" w:fill="auto"/>
          </w:tcPr>
          <w:p w14:paraId="29483024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bottom"/>
          </w:tcPr>
          <w:p w14:paraId="516B8C00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bottom"/>
          </w:tcPr>
          <w:p w14:paraId="25E6BB50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14:paraId="1FACA157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</w:p>
        </w:tc>
      </w:tr>
      <w:tr w:rsidR="00D85EE0" w:rsidRPr="00D13AEE" w14:paraId="20CD0FE2" w14:textId="77777777" w:rsidTr="001B25C2">
        <w:tc>
          <w:tcPr>
            <w:tcW w:w="2004" w:type="dxa"/>
            <w:shd w:val="clear" w:color="auto" w:fill="auto"/>
            <w:hideMark/>
          </w:tcPr>
          <w:p w14:paraId="36B69F9A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Aliments congelés</w:t>
            </w:r>
          </w:p>
        </w:tc>
        <w:tc>
          <w:tcPr>
            <w:tcW w:w="338" w:type="dxa"/>
            <w:shd w:val="clear" w:color="auto" w:fill="auto"/>
          </w:tcPr>
          <w:p w14:paraId="1715AE2A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bottom"/>
            <w:hideMark/>
          </w:tcPr>
          <w:p w14:paraId="35C74538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&lt;-18</w:t>
            </w:r>
            <w:r w:rsidR="001B25C2">
              <w:rPr>
                <w:bCs/>
                <w:sz w:val="18"/>
                <w:szCs w:val="24"/>
                <w:lang w:val="fr-FR"/>
              </w:rPr>
              <w:t> °</w:t>
            </w:r>
            <w:r w:rsidRPr="00D13AEE">
              <w:rPr>
                <w:bCs/>
                <w:sz w:val="18"/>
                <w:szCs w:val="24"/>
                <w:lang w:val="fr-FR"/>
              </w:rPr>
              <w:t>C</w:t>
            </w:r>
          </w:p>
        </w:tc>
        <w:tc>
          <w:tcPr>
            <w:tcW w:w="1896" w:type="dxa"/>
            <w:gridSpan w:val="2"/>
            <w:shd w:val="clear" w:color="auto" w:fill="auto"/>
            <w:vAlign w:val="bottom"/>
            <w:hideMark/>
          </w:tcPr>
          <w:p w14:paraId="38B74585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No</w:t>
            </w:r>
            <w:r>
              <w:rPr>
                <w:bCs/>
                <w:sz w:val="18"/>
                <w:szCs w:val="24"/>
                <w:lang w:val="fr-FR"/>
              </w:rPr>
              <w:t>n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14:paraId="69F2C06D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40</w:t>
            </w:r>
            <w:r w:rsidR="001B25C2">
              <w:rPr>
                <w:bCs/>
                <w:sz w:val="18"/>
                <w:szCs w:val="24"/>
                <w:lang w:val="fr-FR"/>
              </w:rPr>
              <w:t>-</w:t>
            </w:r>
            <w:r w:rsidRPr="00D13AEE">
              <w:rPr>
                <w:bCs/>
                <w:sz w:val="18"/>
                <w:szCs w:val="24"/>
                <w:lang w:val="fr-FR"/>
              </w:rPr>
              <w:t xml:space="preserve">60 </w:t>
            </w:r>
          </w:p>
        </w:tc>
      </w:tr>
      <w:tr w:rsidR="00D85EE0" w:rsidRPr="00D13AEE" w14:paraId="3C430D78" w14:textId="77777777" w:rsidTr="001B25C2">
        <w:tc>
          <w:tcPr>
            <w:tcW w:w="2004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5E7155C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sz w:val="18"/>
                <w:szCs w:val="16"/>
                <w:lang w:val="fr-FR"/>
              </w:rPr>
            </w:pPr>
            <w:r>
              <w:rPr>
                <w:b/>
                <w:sz w:val="18"/>
                <w:szCs w:val="16"/>
                <w:lang w:val="fr-FR"/>
              </w:rPr>
              <w:t>Crèmes glacées</w:t>
            </w:r>
            <w:r w:rsidRPr="00D13AEE">
              <w:rPr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shd w:val="clear" w:color="auto" w:fill="auto"/>
          </w:tcPr>
          <w:p w14:paraId="3D2B5678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rPr>
                <w:b/>
                <w:bCs/>
                <w:sz w:val="18"/>
                <w:szCs w:val="24"/>
                <w:u w:val="single"/>
                <w:lang w:val="fr-FR"/>
              </w:rPr>
            </w:pPr>
          </w:p>
        </w:tc>
        <w:tc>
          <w:tcPr>
            <w:tcW w:w="1858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2A110BC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&lt;-20</w:t>
            </w:r>
            <w:r w:rsidR="001B25C2">
              <w:rPr>
                <w:bCs/>
                <w:sz w:val="18"/>
                <w:szCs w:val="24"/>
                <w:lang w:val="fr-FR"/>
              </w:rPr>
              <w:t> °</w:t>
            </w:r>
            <w:r w:rsidRPr="00D13AEE">
              <w:rPr>
                <w:bCs/>
                <w:sz w:val="18"/>
                <w:szCs w:val="24"/>
                <w:lang w:val="fr-FR"/>
              </w:rPr>
              <w:t xml:space="preserve">C </w:t>
            </w:r>
          </w:p>
        </w:tc>
        <w:tc>
          <w:tcPr>
            <w:tcW w:w="1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80BDFA7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>
              <w:rPr>
                <w:bCs/>
                <w:sz w:val="18"/>
                <w:szCs w:val="24"/>
                <w:lang w:val="fr-FR"/>
              </w:rPr>
              <w:t xml:space="preserve">Faible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A8FDDF7" w14:textId="77777777" w:rsidR="00D85EE0" w:rsidRPr="00D13AEE" w:rsidRDefault="00D85EE0" w:rsidP="001B25C2">
            <w:pPr>
              <w:suppressAutoHyphens w:val="0"/>
              <w:spacing w:before="40" w:after="40" w:line="220" w:lineRule="atLeast"/>
              <w:jc w:val="right"/>
              <w:rPr>
                <w:bCs/>
                <w:sz w:val="18"/>
                <w:szCs w:val="24"/>
                <w:lang w:val="fr-FR"/>
              </w:rPr>
            </w:pPr>
            <w:r w:rsidRPr="00D13AEE">
              <w:rPr>
                <w:bCs/>
                <w:sz w:val="18"/>
                <w:szCs w:val="24"/>
                <w:lang w:val="fr-FR"/>
              </w:rPr>
              <w:t>40</w:t>
            </w:r>
            <w:r w:rsidR="001B25C2">
              <w:rPr>
                <w:bCs/>
                <w:sz w:val="18"/>
                <w:szCs w:val="24"/>
                <w:lang w:val="fr-FR"/>
              </w:rPr>
              <w:t>-</w:t>
            </w:r>
            <w:r w:rsidRPr="00D13AEE">
              <w:rPr>
                <w:bCs/>
                <w:sz w:val="18"/>
                <w:szCs w:val="24"/>
                <w:lang w:val="fr-FR"/>
              </w:rPr>
              <w:t>60</w:t>
            </w:r>
          </w:p>
        </w:tc>
      </w:tr>
    </w:tbl>
    <w:p w14:paraId="73688C08" w14:textId="77777777" w:rsidR="00D85EE0" w:rsidRPr="00D85EE0" w:rsidRDefault="00D85EE0" w:rsidP="001B25C2">
      <w:pPr>
        <w:pStyle w:val="HChG"/>
        <w:rPr>
          <w:lang w:val="fr-FR"/>
        </w:rPr>
      </w:pPr>
      <w:r w:rsidRPr="00D85EE0">
        <w:rPr>
          <w:lang w:val="fr-FR"/>
        </w:rPr>
        <w:tab/>
      </w:r>
      <w:r w:rsidRPr="00D85EE0">
        <w:rPr>
          <w:lang w:val="fr-FR"/>
        </w:rPr>
        <w:tab/>
        <w:t>Incidences</w:t>
      </w:r>
    </w:p>
    <w:p w14:paraId="0CD10E23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14.</w:t>
      </w:r>
      <w:r w:rsidRPr="00D85EE0">
        <w:rPr>
          <w:lang w:val="fr-FR"/>
        </w:rPr>
        <w:tab/>
        <w:t>Cette modification moderniserait l</w:t>
      </w:r>
      <w:r>
        <w:rPr>
          <w:lang w:val="fr-FR"/>
        </w:rPr>
        <w:t>’</w:t>
      </w:r>
      <w:r w:rsidRPr="00D85EE0">
        <w:rPr>
          <w:lang w:val="fr-FR"/>
        </w:rPr>
        <w:t>ATP et aurait pour effet positif d</w:t>
      </w:r>
      <w:r>
        <w:rPr>
          <w:lang w:val="fr-FR"/>
        </w:rPr>
        <w:t>’</w:t>
      </w:r>
      <w:r w:rsidRPr="00D85EE0">
        <w:rPr>
          <w:lang w:val="fr-FR"/>
        </w:rPr>
        <w:t>améliorer l</w:t>
      </w:r>
      <w:r>
        <w:rPr>
          <w:lang w:val="fr-FR"/>
        </w:rPr>
        <w:t>’</w:t>
      </w:r>
      <w:r w:rsidRPr="00D85EE0">
        <w:rPr>
          <w:lang w:val="fr-FR"/>
        </w:rPr>
        <w:t>innocuité et la qualité des produits alimentaires. Sur le plan financier, elle pourrait induire un coût supplémentaire lié à la réalisation d</w:t>
      </w:r>
      <w:r>
        <w:rPr>
          <w:lang w:val="fr-FR"/>
        </w:rPr>
        <w:t>’</w:t>
      </w:r>
      <w:r w:rsidRPr="00D85EE0">
        <w:rPr>
          <w:lang w:val="fr-FR"/>
        </w:rPr>
        <w:t>un essai de débit d</w:t>
      </w:r>
      <w:r>
        <w:rPr>
          <w:lang w:val="fr-FR"/>
        </w:rPr>
        <w:t>’</w:t>
      </w:r>
      <w:r w:rsidRPr="00D85EE0">
        <w:rPr>
          <w:lang w:val="fr-FR"/>
        </w:rPr>
        <w:t>air au cas où celui-ci n</w:t>
      </w:r>
      <w:r>
        <w:rPr>
          <w:lang w:val="fr-FR"/>
        </w:rPr>
        <w:t>’</w:t>
      </w:r>
      <w:r w:rsidRPr="00D85EE0">
        <w:rPr>
          <w:lang w:val="fr-FR"/>
        </w:rPr>
        <w:t>aurait pas déjà été effectué.</w:t>
      </w:r>
    </w:p>
    <w:p w14:paraId="4B1818AD" w14:textId="77777777" w:rsidR="00D85EE0" w:rsidRP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15.</w:t>
      </w:r>
      <w:r w:rsidRPr="00D85EE0">
        <w:rPr>
          <w:lang w:val="fr-FR"/>
        </w:rPr>
        <w:tab/>
        <w:t>Le fait de définir un débit pour le réfrigérant secondaire permettrait de garantir que tous les produits qui se trouvent dans l</w:t>
      </w:r>
      <w:r>
        <w:rPr>
          <w:lang w:val="fr-FR"/>
        </w:rPr>
        <w:t>’</w:t>
      </w:r>
      <w:r w:rsidRPr="00D85EE0">
        <w:rPr>
          <w:lang w:val="fr-FR"/>
        </w:rPr>
        <w:t xml:space="preserve">espace de chargement sont conformes aux prescriptions énoncées aux annexes 2 et 3. </w:t>
      </w:r>
    </w:p>
    <w:p w14:paraId="76777505" w14:textId="77777777" w:rsidR="00D85EE0" w:rsidRDefault="00D85EE0" w:rsidP="00D85EE0">
      <w:pPr>
        <w:pStyle w:val="SingleTxtG"/>
        <w:rPr>
          <w:lang w:val="fr-FR"/>
        </w:rPr>
      </w:pPr>
      <w:r w:rsidRPr="00D85EE0">
        <w:rPr>
          <w:lang w:val="fr-FR"/>
        </w:rPr>
        <w:t>16.</w:t>
      </w:r>
      <w:r w:rsidRPr="00D85EE0">
        <w:rPr>
          <w:lang w:val="fr-FR"/>
        </w:rPr>
        <w:tab/>
        <w:t>Cependant, les résultats concernant le débit d</w:t>
      </w:r>
      <w:r>
        <w:rPr>
          <w:lang w:val="fr-FR"/>
        </w:rPr>
        <w:t>’</w:t>
      </w:r>
      <w:r w:rsidRPr="00D85EE0">
        <w:rPr>
          <w:lang w:val="fr-FR"/>
        </w:rPr>
        <w:t>air sont exigés dans le procès-verbal d</w:t>
      </w:r>
      <w:r>
        <w:rPr>
          <w:lang w:val="fr-FR"/>
        </w:rPr>
        <w:t>’</w:t>
      </w:r>
      <w:r w:rsidRPr="00D85EE0">
        <w:rPr>
          <w:lang w:val="fr-FR"/>
        </w:rPr>
        <w:t>essai de l</w:t>
      </w:r>
      <w:r>
        <w:rPr>
          <w:lang w:val="fr-FR"/>
        </w:rPr>
        <w:t>’</w:t>
      </w:r>
      <w:r w:rsidRPr="00D85EE0">
        <w:rPr>
          <w:lang w:val="fr-FR"/>
        </w:rPr>
        <w:t>engin et il semble donc qu</w:t>
      </w:r>
      <w:r>
        <w:rPr>
          <w:lang w:val="fr-FR"/>
        </w:rPr>
        <w:t>’</w:t>
      </w:r>
      <w:r w:rsidRPr="00D85EE0">
        <w:rPr>
          <w:lang w:val="fr-FR"/>
        </w:rPr>
        <w:t>il y ait une incohérence.</w:t>
      </w:r>
    </w:p>
    <w:p w14:paraId="5FD1284A" w14:textId="77777777" w:rsidR="00D85EE0" w:rsidRPr="00D85EE0" w:rsidRDefault="00D85EE0" w:rsidP="00D85EE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D85EE0" w:rsidRPr="00D85EE0" w:rsidSect="00D85EE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3AFF4" w14:textId="77777777" w:rsidR="002E6198" w:rsidRDefault="002E6198" w:rsidP="00F95C08">
      <w:pPr>
        <w:spacing w:line="240" w:lineRule="auto"/>
      </w:pPr>
    </w:p>
  </w:endnote>
  <w:endnote w:type="continuationSeparator" w:id="0">
    <w:p w14:paraId="002CDBB5" w14:textId="77777777" w:rsidR="002E6198" w:rsidRPr="00AC3823" w:rsidRDefault="002E6198" w:rsidP="00AC3823">
      <w:pPr>
        <w:pStyle w:val="Pieddepage"/>
      </w:pPr>
    </w:p>
  </w:endnote>
  <w:endnote w:type="continuationNotice" w:id="1">
    <w:p w14:paraId="082DBE74" w14:textId="77777777" w:rsidR="002E6198" w:rsidRDefault="002E61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B041" w14:textId="77777777" w:rsidR="00D85EE0" w:rsidRPr="00D85EE0" w:rsidRDefault="00D85EE0" w:rsidP="00D85EE0">
    <w:pPr>
      <w:pStyle w:val="Pieddepage"/>
      <w:tabs>
        <w:tab w:val="right" w:pos="9638"/>
      </w:tabs>
    </w:pPr>
    <w:r w:rsidRPr="00D85EE0">
      <w:rPr>
        <w:b/>
        <w:sz w:val="18"/>
      </w:rPr>
      <w:fldChar w:fldCharType="begin"/>
    </w:r>
    <w:r w:rsidRPr="00D85EE0">
      <w:rPr>
        <w:b/>
        <w:sz w:val="18"/>
      </w:rPr>
      <w:instrText xml:space="preserve"> PAGE  \* MERGEFORMAT </w:instrText>
    </w:r>
    <w:r w:rsidRPr="00D85EE0">
      <w:rPr>
        <w:b/>
        <w:sz w:val="18"/>
      </w:rPr>
      <w:fldChar w:fldCharType="separate"/>
    </w:r>
    <w:r w:rsidRPr="00D85EE0">
      <w:rPr>
        <w:b/>
        <w:noProof/>
        <w:sz w:val="18"/>
      </w:rPr>
      <w:t>2</w:t>
    </w:r>
    <w:r w:rsidRPr="00D85EE0">
      <w:rPr>
        <w:b/>
        <w:sz w:val="18"/>
      </w:rPr>
      <w:fldChar w:fldCharType="end"/>
    </w:r>
    <w:r>
      <w:rPr>
        <w:b/>
        <w:sz w:val="18"/>
      </w:rPr>
      <w:tab/>
    </w:r>
    <w:r>
      <w:t>GE.20-09983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663E" w14:textId="77777777" w:rsidR="00D85EE0" w:rsidRPr="00D85EE0" w:rsidRDefault="00D85EE0" w:rsidP="00D85EE0">
    <w:pPr>
      <w:pStyle w:val="Pieddepage"/>
      <w:tabs>
        <w:tab w:val="right" w:pos="9638"/>
      </w:tabs>
      <w:rPr>
        <w:b/>
        <w:sz w:val="18"/>
      </w:rPr>
    </w:pPr>
    <w:r>
      <w:t>GE.20-09983</w:t>
    </w:r>
    <w:r>
      <w:tab/>
    </w:r>
    <w:r w:rsidRPr="00D85EE0">
      <w:rPr>
        <w:b/>
        <w:sz w:val="18"/>
      </w:rPr>
      <w:fldChar w:fldCharType="begin"/>
    </w:r>
    <w:r w:rsidRPr="00D85EE0">
      <w:rPr>
        <w:b/>
        <w:sz w:val="18"/>
      </w:rPr>
      <w:instrText xml:space="preserve"> PAGE  \* MERGEFORMAT </w:instrText>
    </w:r>
    <w:r w:rsidRPr="00D85EE0">
      <w:rPr>
        <w:b/>
        <w:sz w:val="18"/>
      </w:rPr>
      <w:fldChar w:fldCharType="separate"/>
    </w:r>
    <w:r w:rsidRPr="00D85EE0">
      <w:rPr>
        <w:b/>
        <w:noProof/>
        <w:sz w:val="18"/>
      </w:rPr>
      <w:t>3</w:t>
    </w:r>
    <w:r w:rsidRPr="00D85E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0764" w14:textId="77777777" w:rsidR="007F20FA" w:rsidRPr="00D85EE0" w:rsidRDefault="00D85EE0" w:rsidP="00D85EE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65A070F" wp14:editId="5A84459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20-09983  (F)    210820    210820</w:t>
    </w:r>
    <w:r>
      <w:rPr>
        <w:sz w:val="20"/>
      </w:rPr>
      <w:br/>
    </w:r>
    <w:r w:rsidRPr="00D85EE0">
      <w:rPr>
        <w:rFonts w:ascii="C39T30Lfz" w:hAnsi="C39T30Lfz"/>
        <w:sz w:val="56"/>
      </w:rPr>
      <w:t></w:t>
    </w:r>
    <w:r w:rsidRPr="00D85EE0">
      <w:rPr>
        <w:rFonts w:ascii="C39T30Lfz" w:hAnsi="C39T30Lfz"/>
        <w:sz w:val="56"/>
      </w:rPr>
      <w:t></w:t>
    </w:r>
    <w:r w:rsidRPr="00D85EE0">
      <w:rPr>
        <w:rFonts w:ascii="C39T30Lfz" w:hAnsi="C39T30Lfz"/>
        <w:sz w:val="56"/>
      </w:rPr>
      <w:t></w:t>
    </w:r>
    <w:r w:rsidRPr="00D85EE0">
      <w:rPr>
        <w:rFonts w:ascii="C39T30Lfz" w:hAnsi="C39T30Lfz"/>
        <w:sz w:val="56"/>
      </w:rPr>
      <w:t></w:t>
    </w:r>
    <w:r w:rsidRPr="00D85EE0">
      <w:rPr>
        <w:rFonts w:ascii="C39T30Lfz" w:hAnsi="C39T30Lfz"/>
        <w:sz w:val="56"/>
      </w:rPr>
      <w:t></w:t>
    </w:r>
    <w:r w:rsidRPr="00D85EE0">
      <w:rPr>
        <w:rFonts w:ascii="C39T30Lfz" w:hAnsi="C39T30Lfz"/>
        <w:sz w:val="56"/>
      </w:rPr>
      <w:t></w:t>
    </w:r>
    <w:r w:rsidRPr="00D85EE0">
      <w:rPr>
        <w:rFonts w:ascii="C39T30Lfz" w:hAnsi="C39T30Lfz"/>
        <w:sz w:val="56"/>
      </w:rPr>
      <w:t></w:t>
    </w:r>
    <w:r w:rsidRPr="00D85EE0">
      <w:rPr>
        <w:rFonts w:ascii="C39T30Lfz" w:hAnsi="C39T30Lfz"/>
        <w:sz w:val="56"/>
      </w:rPr>
      <w:t></w:t>
    </w:r>
    <w:r w:rsidRPr="00D85EE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2F72E2E" wp14:editId="1F6E0A1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1C0F" w14:textId="77777777" w:rsidR="002E6198" w:rsidRPr="00AC3823" w:rsidRDefault="002E61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FAAAC2" w14:textId="77777777" w:rsidR="002E6198" w:rsidRPr="00AC3823" w:rsidRDefault="002E619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82BB14" w14:textId="77777777" w:rsidR="002E6198" w:rsidRPr="00AC3823" w:rsidRDefault="002E619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A6D38" w14:textId="31385C50" w:rsidR="00D85EE0" w:rsidRPr="00D85EE0" w:rsidRDefault="00D85EE0">
    <w:pPr>
      <w:pStyle w:val="En-tte"/>
    </w:pPr>
    <w:fldSimple w:instr=" TITLE  \* MERGEFORMAT ">
      <w:r w:rsidR="00C43272">
        <w:t>ECE/TRANS/WP.11/2020/5/Rev.1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2C931" w14:textId="06C0F9A1" w:rsidR="00D85EE0" w:rsidRPr="00D85EE0" w:rsidRDefault="00D85EE0" w:rsidP="00D85EE0">
    <w:pPr>
      <w:pStyle w:val="En-tte"/>
      <w:jc w:val="right"/>
    </w:pPr>
    <w:fldSimple w:instr=" TITLE  \* MERGEFORMAT ">
      <w:r w:rsidR="00C43272">
        <w:t>ECE/TRANS/WP.11/2020/5/Rev.1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6198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B25C2"/>
    <w:rsid w:val="001F525A"/>
    <w:rsid w:val="00223272"/>
    <w:rsid w:val="0024779E"/>
    <w:rsid w:val="00257168"/>
    <w:rsid w:val="002744B8"/>
    <w:rsid w:val="002832AC"/>
    <w:rsid w:val="002D7C93"/>
    <w:rsid w:val="002E6198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171FC"/>
    <w:rsid w:val="00871C75"/>
    <w:rsid w:val="008776DC"/>
    <w:rsid w:val="009446C0"/>
    <w:rsid w:val="009705C8"/>
    <w:rsid w:val="009C1CF4"/>
    <w:rsid w:val="009F6B74"/>
    <w:rsid w:val="00A2266A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43272"/>
    <w:rsid w:val="00C97039"/>
    <w:rsid w:val="00D3439C"/>
    <w:rsid w:val="00D85EE0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C0BAA1"/>
  <w15:docId w15:val="{4039157F-A600-4E09-84D5-D7E04790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4</Pages>
  <Words>1279</Words>
  <Characters>6664</Characters>
  <Application>Microsoft Office Word</Application>
  <DocSecurity>0</DocSecurity>
  <Lines>201</Lines>
  <Paragraphs>134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ECE/TRANS/WP.11/2020/5/Rev.1</vt:lpstr>
    </vt:vector>
  </TitlesOfParts>
  <Company>DCM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ECE/TRANS/WP.11/2020/5/Rev.1</dc:title>
  <dc:subject/>
  <dc:creator>Sandrine CLERE</dc:creator>
  <cp:keywords/>
  <cp:lastModifiedBy>Sandrine CLERE</cp:lastModifiedBy>
  <cp:revision>3</cp:revision>
  <cp:lastPrinted>2020-08-21T06:57:00Z</cp:lastPrinted>
  <dcterms:created xsi:type="dcterms:W3CDTF">2020-08-21T06:57:00Z</dcterms:created>
  <dcterms:modified xsi:type="dcterms:W3CDTF">2020-08-21T06:58:00Z</dcterms:modified>
</cp:coreProperties>
</file>