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2FCB0193" w14:textId="77777777" w:rsidTr="005316B0">
        <w:trPr>
          <w:trHeight w:hRule="exact" w:val="851"/>
        </w:trPr>
        <w:tc>
          <w:tcPr>
            <w:tcW w:w="1276" w:type="dxa"/>
            <w:tcBorders>
              <w:bottom w:val="single" w:sz="4" w:space="0" w:color="auto"/>
            </w:tcBorders>
          </w:tcPr>
          <w:p w14:paraId="358AFC91" w14:textId="77777777" w:rsidR="001433FD" w:rsidRPr="00DB58B5" w:rsidRDefault="001433FD" w:rsidP="0001207F">
            <w:bookmarkStart w:id="0" w:name="_GoBack"/>
            <w:bookmarkEnd w:id="0"/>
          </w:p>
        </w:tc>
        <w:tc>
          <w:tcPr>
            <w:tcW w:w="2268" w:type="dxa"/>
            <w:tcBorders>
              <w:bottom w:val="single" w:sz="4" w:space="0" w:color="auto"/>
            </w:tcBorders>
            <w:vAlign w:val="bottom"/>
          </w:tcPr>
          <w:p w14:paraId="300814D4" w14:textId="77777777"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113CDCD" w14:textId="77777777" w:rsidR="001433FD" w:rsidRPr="00842DF3" w:rsidRDefault="00842DF3" w:rsidP="00842DF3">
            <w:pPr>
              <w:jc w:val="right"/>
            </w:pPr>
            <w:r w:rsidRPr="00842DF3">
              <w:rPr>
                <w:sz w:val="40"/>
              </w:rPr>
              <w:t>ECE</w:t>
            </w:r>
            <w:r>
              <w:t>/TRANS/WP.11/2020/2</w:t>
            </w:r>
          </w:p>
        </w:tc>
      </w:tr>
      <w:tr w:rsidR="001433FD" w:rsidRPr="00DB58B5" w14:paraId="481FFB0A" w14:textId="77777777" w:rsidTr="007D3236">
        <w:trPr>
          <w:trHeight w:hRule="exact" w:val="2835"/>
        </w:trPr>
        <w:tc>
          <w:tcPr>
            <w:tcW w:w="1276" w:type="dxa"/>
            <w:tcBorders>
              <w:top w:val="single" w:sz="4" w:space="0" w:color="auto"/>
              <w:bottom w:val="single" w:sz="12" w:space="0" w:color="auto"/>
            </w:tcBorders>
          </w:tcPr>
          <w:p w14:paraId="1A081E8D" w14:textId="77777777" w:rsidR="001433FD" w:rsidRPr="00DB58B5" w:rsidRDefault="001433FD" w:rsidP="007D3236">
            <w:pPr>
              <w:spacing w:before="120"/>
              <w:jc w:val="center"/>
            </w:pPr>
            <w:r>
              <w:rPr>
                <w:noProof/>
                <w:lang w:eastAsia="fr-CH"/>
              </w:rPr>
              <w:drawing>
                <wp:inline distT="0" distB="0" distL="0" distR="0" wp14:anchorId="5D121EAD" wp14:editId="1B2FC125">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488B8E6" w14:textId="77777777"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C2A39CD" w14:textId="77777777" w:rsidR="0001207F" w:rsidRDefault="00865CE0" w:rsidP="00865CE0">
            <w:pPr>
              <w:spacing w:before="240" w:line="240" w:lineRule="exact"/>
            </w:pPr>
            <w:proofErr w:type="spellStart"/>
            <w:r>
              <w:t>Distr</w:t>
            </w:r>
            <w:proofErr w:type="spellEnd"/>
            <w:r>
              <w:t xml:space="preserve">. </w:t>
            </w:r>
            <w:proofErr w:type="gramStart"/>
            <w:r>
              <w:t>générale</w:t>
            </w:r>
            <w:proofErr w:type="gramEnd"/>
          </w:p>
          <w:p w14:paraId="0AF85D0B" w14:textId="77777777" w:rsidR="00865CE0" w:rsidRDefault="00865CE0" w:rsidP="00865CE0">
            <w:pPr>
              <w:spacing w:line="240" w:lineRule="exact"/>
            </w:pPr>
            <w:r>
              <w:t>2</w:t>
            </w:r>
            <w:r w:rsidR="00E66867">
              <w:t>4</w:t>
            </w:r>
            <w:r>
              <w:t xml:space="preserve"> janvier 2020</w:t>
            </w:r>
          </w:p>
          <w:p w14:paraId="7516343A" w14:textId="77777777" w:rsidR="00865CE0" w:rsidRDefault="00865CE0" w:rsidP="00865CE0">
            <w:pPr>
              <w:spacing w:line="240" w:lineRule="exact"/>
            </w:pPr>
          </w:p>
          <w:p w14:paraId="6FDE8EFA" w14:textId="77777777" w:rsidR="00865CE0" w:rsidRPr="00DB58B5" w:rsidRDefault="00865CE0" w:rsidP="00865CE0">
            <w:pPr>
              <w:spacing w:line="240" w:lineRule="exact"/>
            </w:pPr>
            <w:r>
              <w:t>Original : français</w:t>
            </w:r>
          </w:p>
        </w:tc>
      </w:tr>
    </w:tbl>
    <w:p w14:paraId="0DEE8FF8" w14:textId="77777777" w:rsidR="00865CE0" w:rsidRPr="000312C0" w:rsidRDefault="00865CE0" w:rsidP="00865CE0">
      <w:pPr>
        <w:spacing w:before="120"/>
        <w:rPr>
          <w:b/>
          <w:sz w:val="28"/>
          <w:szCs w:val="28"/>
        </w:rPr>
      </w:pPr>
      <w:r w:rsidRPr="000312C0">
        <w:rPr>
          <w:b/>
          <w:sz w:val="28"/>
          <w:szCs w:val="28"/>
        </w:rPr>
        <w:t>Commission économique pour l’Europe</w:t>
      </w:r>
    </w:p>
    <w:p w14:paraId="1415CEB3" w14:textId="77777777" w:rsidR="00865CE0" w:rsidRDefault="00865CE0" w:rsidP="00865CE0">
      <w:pPr>
        <w:spacing w:before="120"/>
        <w:rPr>
          <w:sz w:val="28"/>
          <w:szCs w:val="28"/>
        </w:rPr>
      </w:pPr>
      <w:r w:rsidRPr="00685843">
        <w:rPr>
          <w:sz w:val="28"/>
          <w:szCs w:val="28"/>
        </w:rPr>
        <w:t>Comité des transports intérieurs</w:t>
      </w:r>
    </w:p>
    <w:p w14:paraId="23A765F2" w14:textId="77777777" w:rsidR="00865CE0" w:rsidRPr="00813CCC" w:rsidRDefault="00865CE0" w:rsidP="00865CE0">
      <w:pPr>
        <w:kinsoku/>
        <w:overflowPunct/>
        <w:autoSpaceDE/>
        <w:autoSpaceDN/>
        <w:adjustRightInd/>
        <w:snapToGrid/>
        <w:spacing w:before="120"/>
        <w:rPr>
          <w:b/>
          <w:sz w:val="24"/>
          <w:szCs w:val="24"/>
          <w:lang w:eastAsia="fr-FR"/>
        </w:rPr>
      </w:pPr>
      <w:r w:rsidRPr="00813CCC">
        <w:rPr>
          <w:b/>
          <w:sz w:val="24"/>
          <w:szCs w:val="24"/>
          <w:lang w:eastAsia="fr-FR"/>
        </w:rPr>
        <w:t>Groupe de travail du transport des denrées périssables</w:t>
      </w:r>
    </w:p>
    <w:p w14:paraId="67FEC23D" w14:textId="77777777" w:rsidR="00865CE0" w:rsidRPr="00813CCC" w:rsidRDefault="00865CE0" w:rsidP="00865CE0">
      <w:pPr>
        <w:kinsoku/>
        <w:overflowPunct/>
        <w:autoSpaceDE/>
        <w:autoSpaceDN/>
        <w:adjustRightInd/>
        <w:snapToGrid/>
        <w:spacing w:before="120"/>
        <w:rPr>
          <w:b/>
          <w:lang w:eastAsia="fr-FR"/>
        </w:rPr>
      </w:pPr>
      <w:r w:rsidRPr="00813CCC">
        <w:rPr>
          <w:b/>
          <w:lang w:eastAsia="fr-FR"/>
        </w:rPr>
        <w:t>Soixante-</w:t>
      </w:r>
      <w:r>
        <w:rPr>
          <w:b/>
          <w:lang w:eastAsia="fr-FR"/>
        </w:rPr>
        <w:t>seizième</w:t>
      </w:r>
      <w:r w:rsidRPr="00813CCC">
        <w:rPr>
          <w:b/>
          <w:lang w:eastAsia="fr-FR"/>
        </w:rPr>
        <w:t xml:space="preserve"> session</w:t>
      </w:r>
    </w:p>
    <w:p w14:paraId="336E8962" w14:textId="77777777" w:rsidR="00865CE0" w:rsidRPr="00813CCC" w:rsidRDefault="00865CE0" w:rsidP="00865CE0">
      <w:pPr>
        <w:kinsoku/>
        <w:overflowPunct/>
        <w:autoSpaceDE/>
        <w:autoSpaceDN/>
        <w:adjustRightInd/>
        <w:snapToGrid/>
        <w:rPr>
          <w:lang w:eastAsia="fr-FR"/>
        </w:rPr>
      </w:pPr>
      <w:r w:rsidRPr="00813CCC">
        <w:rPr>
          <w:lang w:eastAsia="fr-FR"/>
        </w:rPr>
        <w:t xml:space="preserve">Genève, </w:t>
      </w:r>
      <w:r>
        <w:rPr>
          <w:lang w:eastAsia="fr-FR"/>
        </w:rPr>
        <w:t>7-9 avril</w:t>
      </w:r>
      <w:r w:rsidRPr="00813CCC">
        <w:rPr>
          <w:lang w:eastAsia="fr-FR"/>
        </w:rPr>
        <w:t xml:space="preserve"> 20</w:t>
      </w:r>
      <w:r>
        <w:rPr>
          <w:lang w:eastAsia="fr-FR"/>
        </w:rPr>
        <w:t>20</w:t>
      </w:r>
    </w:p>
    <w:p w14:paraId="32994BAB" w14:textId="77777777" w:rsidR="00865CE0" w:rsidRPr="00813CCC" w:rsidRDefault="00865CE0" w:rsidP="00865CE0">
      <w:pPr>
        <w:kinsoku/>
        <w:overflowPunct/>
        <w:autoSpaceDE/>
        <w:autoSpaceDN/>
        <w:adjustRightInd/>
        <w:snapToGrid/>
        <w:rPr>
          <w:lang w:eastAsia="fr-FR"/>
        </w:rPr>
      </w:pPr>
      <w:r w:rsidRPr="00813CCC">
        <w:rPr>
          <w:lang w:eastAsia="fr-FR"/>
        </w:rPr>
        <w:t xml:space="preserve">Point </w:t>
      </w:r>
      <w:r>
        <w:rPr>
          <w:lang w:eastAsia="fr-FR"/>
        </w:rPr>
        <w:t>6</w:t>
      </w:r>
      <w:r w:rsidRPr="00813CCC">
        <w:rPr>
          <w:lang w:eastAsia="fr-FR"/>
        </w:rPr>
        <w:t xml:space="preserve"> </w:t>
      </w:r>
      <w:r w:rsidR="001B1643">
        <w:rPr>
          <w:lang w:eastAsia="fr-FR"/>
        </w:rPr>
        <w:t>b</w:t>
      </w:r>
      <w:r w:rsidRPr="00813CCC">
        <w:rPr>
          <w:lang w:eastAsia="fr-FR"/>
        </w:rPr>
        <w:t>) de l’ordre du jour provisoire</w:t>
      </w:r>
    </w:p>
    <w:p w14:paraId="3DF8BB82" w14:textId="77777777" w:rsidR="00865CE0" w:rsidRPr="00813CCC" w:rsidRDefault="00865CE0" w:rsidP="00003FC2">
      <w:pPr>
        <w:kinsoku/>
        <w:overflowPunct/>
        <w:autoSpaceDE/>
        <w:autoSpaceDN/>
        <w:adjustRightInd/>
        <w:snapToGrid/>
        <w:spacing w:line="240" w:lineRule="auto"/>
        <w:rPr>
          <w:b/>
          <w:lang w:eastAsia="fr-FR"/>
        </w:rPr>
      </w:pPr>
      <w:r w:rsidRPr="00813CCC">
        <w:rPr>
          <w:b/>
          <w:lang w:eastAsia="fr-FR"/>
        </w:rPr>
        <w:t xml:space="preserve">Propositions d’amendements à </w:t>
      </w:r>
      <w:proofErr w:type="gramStart"/>
      <w:r w:rsidRPr="00813CCC">
        <w:rPr>
          <w:b/>
          <w:lang w:eastAsia="fr-FR"/>
        </w:rPr>
        <w:t>l’ATP:</w:t>
      </w:r>
      <w:proofErr w:type="gramEnd"/>
    </w:p>
    <w:p w14:paraId="0A3E42A5" w14:textId="77777777" w:rsidR="00865CE0" w:rsidRPr="00813CCC" w:rsidRDefault="00E66867" w:rsidP="001B1643">
      <w:pPr>
        <w:kinsoku/>
        <w:overflowPunct/>
        <w:autoSpaceDE/>
        <w:autoSpaceDN/>
        <w:adjustRightInd/>
        <w:snapToGrid/>
        <w:spacing w:line="240" w:lineRule="auto"/>
        <w:rPr>
          <w:b/>
          <w:lang w:eastAsia="fr-FR"/>
        </w:rPr>
      </w:pPr>
      <w:proofErr w:type="gramStart"/>
      <w:r>
        <w:rPr>
          <w:b/>
          <w:lang w:val="fr-FR" w:eastAsia="fr-FR"/>
        </w:rPr>
        <w:t>n</w:t>
      </w:r>
      <w:r w:rsidR="001B1643" w:rsidRPr="001B1643">
        <w:rPr>
          <w:b/>
          <w:lang w:val="fr-FR" w:eastAsia="fr-FR"/>
        </w:rPr>
        <w:t>ouvelles</w:t>
      </w:r>
      <w:proofErr w:type="gramEnd"/>
      <w:r w:rsidR="001B1643" w:rsidRPr="001B1643">
        <w:rPr>
          <w:b/>
          <w:lang w:val="fr-FR" w:eastAsia="fr-FR"/>
        </w:rPr>
        <w:t xml:space="preserve"> propositions</w:t>
      </w:r>
    </w:p>
    <w:p w14:paraId="118F744F" w14:textId="4FCCC759" w:rsidR="005D0761" w:rsidRDefault="005D0761" w:rsidP="005D0761">
      <w:pPr>
        <w:pStyle w:val="HChG"/>
        <w:rPr>
          <w:lang w:val="fr-FR"/>
        </w:rPr>
      </w:pPr>
      <w:r>
        <w:rPr>
          <w:lang w:val="fr-FR"/>
        </w:rPr>
        <w:tab/>
      </w:r>
      <w:r>
        <w:rPr>
          <w:lang w:val="fr-FR"/>
        </w:rPr>
        <w:tab/>
      </w:r>
      <w:r w:rsidR="00EB1350">
        <w:rPr>
          <w:lang w:val="fr-FR"/>
        </w:rPr>
        <w:t xml:space="preserve">Possibilité d'étendre de manière volontaire à des denrées susceptibles de devenir impropres à la consommation humaine le champ d'application des accords bi- et multilatéraux </w:t>
      </w:r>
      <w:r w:rsidR="00EB1350">
        <w:rPr>
          <w:bCs/>
          <w:lang w:val="fr-FR"/>
        </w:rPr>
        <w:t>découlant de l'accord ATP</w:t>
      </w:r>
    </w:p>
    <w:p w14:paraId="476DAF4C" w14:textId="77777777" w:rsidR="005D0761" w:rsidRDefault="005D0761" w:rsidP="005D0761">
      <w:pPr>
        <w:pStyle w:val="H1G"/>
        <w:rPr>
          <w:lang w:val="fr-FR"/>
        </w:rPr>
      </w:pPr>
      <w:r>
        <w:rPr>
          <w:lang w:val="fr-FR"/>
        </w:rPr>
        <w:tab/>
      </w:r>
      <w:r>
        <w:rPr>
          <w:lang w:val="fr-FR"/>
        </w:rPr>
        <w:tab/>
        <w:t xml:space="preserve">Communication du </w:t>
      </w:r>
      <w:r w:rsidRPr="005D0761">
        <w:t>Gouvernement</w:t>
      </w:r>
      <w:r>
        <w:rPr>
          <w:lang w:val="fr-FR"/>
        </w:rPr>
        <w:t xml:space="preserve"> de la France</w:t>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5D0761" w14:paraId="2F3CBB91" w14:textId="77777777" w:rsidTr="005D0761">
        <w:trPr>
          <w:jc w:val="center"/>
        </w:trPr>
        <w:tc>
          <w:tcPr>
            <w:tcW w:w="9628" w:type="dxa"/>
            <w:shd w:val="clear" w:color="auto" w:fill="auto"/>
          </w:tcPr>
          <w:p w14:paraId="55EAE414" w14:textId="77777777" w:rsidR="005D0761" w:rsidRPr="00C6263E" w:rsidRDefault="005D0761" w:rsidP="006E5E26">
            <w:pPr>
              <w:spacing w:before="240" w:after="120"/>
              <w:ind w:left="255"/>
              <w:rPr>
                <w:i/>
                <w:sz w:val="24"/>
              </w:rPr>
            </w:pPr>
            <w:r w:rsidRPr="00C6263E">
              <w:rPr>
                <w:i/>
                <w:sz w:val="24"/>
              </w:rPr>
              <w:t xml:space="preserve">Résumé </w:t>
            </w:r>
          </w:p>
        </w:tc>
      </w:tr>
      <w:tr w:rsidR="00EB1350" w14:paraId="09803AFA" w14:textId="77777777" w:rsidTr="00A652FF">
        <w:trPr>
          <w:jc w:val="center"/>
        </w:trPr>
        <w:tc>
          <w:tcPr>
            <w:tcW w:w="9628" w:type="dxa"/>
            <w:shd w:val="clear" w:color="auto" w:fill="auto"/>
            <w:vAlign w:val="center"/>
          </w:tcPr>
          <w:p w14:paraId="47F47D85" w14:textId="77777777" w:rsidR="00EB1350" w:rsidRDefault="00EB1350" w:rsidP="00EB1350">
            <w:pPr>
              <w:pStyle w:val="SingleTxtG"/>
              <w:ind w:left="2211" w:right="340" w:hanging="1928"/>
            </w:pPr>
            <w:r>
              <w:rPr>
                <w:rFonts w:eastAsia="Calibri"/>
                <w:b/>
                <w:lang w:eastAsia="en-US"/>
              </w:rPr>
              <w:t>Résumé analytique </w:t>
            </w:r>
            <w:r>
              <w:rPr>
                <w:rFonts w:eastAsia="Calibri"/>
                <w:lang w:eastAsia="en-US"/>
              </w:rPr>
              <w:t>:</w:t>
            </w:r>
            <w:r>
              <w:rPr>
                <w:rFonts w:eastAsia="Calibri"/>
                <w:lang w:val="fr-FR" w:eastAsia="ar-SA"/>
              </w:rPr>
              <w:tab/>
              <w:t>L'accord ATP limite strictement les denrées auxquelles les prescriptions qu'il définit peuvent s'appliquer. Cette proposition permet aux Parties d'étendre cette liste dans le cadre d'accords volontaires bi- ou multilatéraux à d'autres denrées susceptibles de devenir dangereuses.</w:t>
            </w:r>
          </w:p>
        </w:tc>
      </w:tr>
      <w:tr w:rsidR="00EB1350" w14:paraId="52A5DCF5" w14:textId="77777777" w:rsidTr="005D0761">
        <w:trPr>
          <w:jc w:val="center"/>
        </w:trPr>
        <w:tc>
          <w:tcPr>
            <w:tcW w:w="9628" w:type="dxa"/>
            <w:shd w:val="clear" w:color="auto" w:fill="auto"/>
          </w:tcPr>
          <w:p w14:paraId="17632C44" w14:textId="77777777" w:rsidR="00EB1350" w:rsidRDefault="00EB1350" w:rsidP="00EB1350">
            <w:pPr>
              <w:pStyle w:val="SingleTxtG"/>
              <w:ind w:left="2268" w:right="283" w:hanging="1984"/>
            </w:pPr>
            <w:r>
              <w:rPr>
                <w:rFonts w:eastAsia="Calibri"/>
                <w:b/>
                <w:lang w:eastAsia="en-US"/>
              </w:rPr>
              <w:t>Mesure à prendre </w:t>
            </w:r>
            <w:r>
              <w:rPr>
                <w:rFonts w:eastAsia="Calibri"/>
                <w:lang w:eastAsia="en-US"/>
              </w:rPr>
              <w:t>:</w:t>
            </w:r>
            <w:r>
              <w:rPr>
                <w:rFonts w:eastAsia="Calibri"/>
                <w:b/>
                <w:lang w:eastAsia="en-US"/>
              </w:rPr>
              <w:tab/>
            </w:r>
            <w:r>
              <w:rPr>
                <w:rFonts w:eastAsia="Calibri"/>
                <w:lang w:val="fr-FR" w:eastAsia="en-US"/>
              </w:rPr>
              <w:t>Amender l'annexe III de l'accord ATP</w:t>
            </w:r>
          </w:p>
        </w:tc>
      </w:tr>
      <w:tr w:rsidR="00EB1350" w14:paraId="5311BDB1" w14:textId="77777777" w:rsidTr="005D0761">
        <w:trPr>
          <w:jc w:val="center"/>
        </w:trPr>
        <w:tc>
          <w:tcPr>
            <w:tcW w:w="9628" w:type="dxa"/>
            <w:shd w:val="clear" w:color="auto" w:fill="auto"/>
          </w:tcPr>
          <w:p w14:paraId="401A7BF2" w14:textId="77777777" w:rsidR="00EB1350" w:rsidRDefault="00EB1350" w:rsidP="00EB1350">
            <w:pPr>
              <w:pStyle w:val="SingleTxtG"/>
              <w:ind w:left="2268" w:hanging="1984"/>
              <w:jc w:val="left"/>
            </w:pPr>
            <w:r>
              <w:rPr>
                <w:rFonts w:eastAsia="Calibri"/>
                <w:b/>
                <w:lang w:eastAsia="en-US"/>
              </w:rPr>
              <w:t>Documents connexes </w:t>
            </w:r>
            <w:r>
              <w:rPr>
                <w:rFonts w:eastAsia="Calibri"/>
                <w:lang w:eastAsia="en-US"/>
              </w:rPr>
              <w:t>:</w:t>
            </w:r>
            <w:r>
              <w:rPr>
                <w:rFonts w:eastAsia="Calibri"/>
                <w:lang w:eastAsia="en-US"/>
              </w:rPr>
              <w:tab/>
              <w:t>Aucun.</w:t>
            </w:r>
          </w:p>
        </w:tc>
      </w:tr>
    </w:tbl>
    <w:p w14:paraId="6AA713C7" w14:textId="77777777" w:rsidR="005D0761" w:rsidRDefault="005D0761" w:rsidP="005D0761">
      <w:pPr>
        <w:pStyle w:val="HChG"/>
      </w:pPr>
      <w:r>
        <w:tab/>
      </w:r>
      <w:r>
        <w:tab/>
        <w:t>Introduction</w:t>
      </w:r>
      <w:bookmarkStart w:id="1" w:name="OLE_LINK2"/>
      <w:bookmarkStart w:id="2" w:name="OLE_LINK1"/>
      <w:bookmarkEnd w:id="1"/>
      <w:bookmarkEnd w:id="2"/>
    </w:p>
    <w:p w14:paraId="26AEA963" w14:textId="77777777" w:rsidR="00EB1350" w:rsidRPr="00EB1350" w:rsidRDefault="00EB1350" w:rsidP="00E66867">
      <w:pPr>
        <w:pStyle w:val="SingleTxtG"/>
      </w:pPr>
      <w:r>
        <w:t>1.</w:t>
      </w:r>
      <w:r>
        <w:tab/>
      </w:r>
      <w:r w:rsidRPr="00EB1350">
        <w:t>L'article 3 de l'accord définit les denrées auxquelles les prescriptions définies en annexe de l'accord s'appliquent : il s'agit de toutes les denrées congelées ou surgelées ainsi que des denrées listées en annexe 3 de l'accord.</w:t>
      </w:r>
    </w:p>
    <w:p w14:paraId="15A50A9E" w14:textId="77777777" w:rsidR="00EB1350" w:rsidRPr="00EB1350" w:rsidRDefault="00EB1350" w:rsidP="00EB1350">
      <w:pPr>
        <w:pStyle w:val="SingleTxtG"/>
      </w:pPr>
      <w:r>
        <w:t>2.</w:t>
      </w:r>
      <w:r>
        <w:tab/>
      </w:r>
      <w:r w:rsidRPr="00EB1350">
        <w:t>L'article 7 de l'accord autorise les Parties à convenir par accords bi- ou multilatéraux que les dispositions applicables aussi bien aux engins qu'aux températures de transport peuvent être plus sévères que celles prévues par l'accord. Mais cet article ne permet pas aux Parties d'étendre les dispositions de l'accord à d'autres denrées que celles définies dans son annexe 3.</w:t>
      </w:r>
    </w:p>
    <w:p w14:paraId="77950618" w14:textId="77777777" w:rsidR="00EB1350" w:rsidRPr="00EB1350" w:rsidRDefault="00EB1350" w:rsidP="00EB1350">
      <w:pPr>
        <w:pStyle w:val="SingleTxtG"/>
      </w:pPr>
      <w:r>
        <w:lastRenderedPageBreak/>
        <w:t>3.</w:t>
      </w:r>
      <w:r>
        <w:tab/>
      </w:r>
      <w:r w:rsidRPr="00EB1350">
        <w:t>Dans le cadre des politiques de lutte contre le gaspillage alimentaire, les Parties peuvent souhaiter renforcer les règles applicables à des denrées alimentaires non listées en annexe 3 pour améliorer leur conservation au cours de leur transport international.</w:t>
      </w:r>
    </w:p>
    <w:p w14:paraId="2B17B77D" w14:textId="77777777" w:rsidR="00EB1350" w:rsidRPr="00EB1350" w:rsidRDefault="00EB1350" w:rsidP="00EB1350">
      <w:pPr>
        <w:pStyle w:val="SingleTxtG"/>
      </w:pPr>
      <w:r>
        <w:t>4.</w:t>
      </w:r>
      <w:r>
        <w:tab/>
      </w:r>
      <w:r w:rsidRPr="00EB1350">
        <w:t>Cet amendement propose de modifier la rédaction de l'annexe 3 pour autoriser les Parties volontaires à élargir, par accords bi- ou multilatéraux, le champ d'application des dispositions de l'accord à d'autres denrées susceptibles de devenir dangereuses si les conditions de leur transport sont insuffisamment maîtrisées.</w:t>
      </w:r>
    </w:p>
    <w:p w14:paraId="47E6F81F" w14:textId="77777777" w:rsidR="00EB1350" w:rsidRPr="00EB1350" w:rsidRDefault="00EB1350" w:rsidP="00EB1350">
      <w:pPr>
        <w:pStyle w:val="HChG"/>
      </w:pPr>
      <w:r>
        <w:tab/>
      </w:r>
      <w:r>
        <w:tab/>
      </w:r>
      <w:r w:rsidRPr="00EB1350">
        <w:t>Proposition</w:t>
      </w:r>
    </w:p>
    <w:p w14:paraId="02C9A292" w14:textId="77777777" w:rsidR="00EB1350" w:rsidRPr="00EB1350" w:rsidRDefault="00EB1350" w:rsidP="00EB1350">
      <w:pPr>
        <w:pStyle w:val="SingleTxtG"/>
      </w:pPr>
      <w:r>
        <w:t>5.</w:t>
      </w:r>
      <w:r>
        <w:tab/>
      </w:r>
      <w:r w:rsidRPr="00EB1350">
        <w:t>A l'annexe 3, entre le paragraphe 4 et le tableau qui conclut l'annexe, insérer l'alinéa suivant :</w:t>
      </w:r>
    </w:p>
    <w:p w14:paraId="0C6E5E55" w14:textId="77777777" w:rsidR="00EB1350" w:rsidRPr="00EB1350" w:rsidRDefault="00EB1350" w:rsidP="00EB1350">
      <w:pPr>
        <w:pStyle w:val="SingleTxtG"/>
      </w:pPr>
      <w:r w:rsidRPr="00EB1350">
        <w:t>« 5. Denrées pour lesquelles l'accord est pleinement applicable à l'ensemble des Parties :</w:t>
      </w:r>
    </w:p>
    <w:p w14:paraId="0125AB91" w14:textId="77777777" w:rsidR="00EB1350" w:rsidRPr="00EB1350" w:rsidRDefault="00EB1350" w:rsidP="00EB1350">
      <w:pPr>
        <w:pStyle w:val="SingleTxtG"/>
      </w:pPr>
      <w:r w:rsidRPr="00EB1350">
        <w:t>« Les denrées suivantes sont susceptibles de devenir préjudiciables à la santé si leurs conditions de transport ne sont pas maîtrisées ; l'application du présent Accord leur est donc obligatoire : »</w:t>
      </w:r>
    </w:p>
    <w:p w14:paraId="1D338521" w14:textId="77777777" w:rsidR="00EB1350" w:rsidRPr="00EB1350" w:rsidRDefault="00EB1350" w:rsidP="00EB1350">
      <w:pPr>
        <w:pStyle w:val="SingleTxtG"/>
      </w:pPr>
      <w:r>
        <w:t>6.</w:t>
      </w:r>
      <w:r>
        <w:tab/>
      </w:r>
      <w:r w:rsidRPr="00EB1350">
        <w:t>Après le tableau qui conclut la rédaction actuelle de l'annexe, insérer les alinéas suivants :</w:t>
      </w:r>
    </w:p>
    <w:p w14:paraId="5C86F4B2" w14:textId="77777777" w:rsidR="00EB1350" w:rsidRPr="00EB1350" w:rsidRDefault="00EB1350" w:rsidP="00EB1350">
      <w:pPr>
        <w:pStyle w:val="SingleTxtG"/>
      </w:pPr>
      <w:r w:rsidRPr="00EB1350">
        <w:t>« 6. Denrées pour lesquelles des accords bi- ou multilatéraux volontaires peuvent étendre le champ d'application des dispositions du présent Accord :</w:t>
      </w:r>
    </w:p>
    <w:p w14:paraId="40662778" w14:textId="77777777" w:rsidR="00EB1350" w:rsidRPr="00EB1350" w:rsidRDefault="00EB1350" w:rsidP="00EB1350">
      <w:pPr>
        <w:pStyle w:val="SingleTxtG"/>
      </w:pPr>
      <w:r w:rsidRPr="00EB1350">
        <w:t>« Toutes les denrées susceptibles de devenir impropres à la consommation humaine en cas de maîtrise insuffisante des conditions de leur transport et compte tenu de l'utilisation prévue, pour des raisons de contamination, d'origine externe ou autre, ou par putréfaction, détérioration ou décomposition.</w:t>
      </w:r>
    </w:p>
    <w:p w14:paraId="2A04FDD0" w14:textId="77777777" w:rsidR="00EB1350" w:rsidRPr="00EB1350" w:rsidRDefault="00EB1350" w:rsidP="00EB1350">
      <w:pPr>
        <w:pStyle w:val="SingleTxtG"/>
      </w:pPr>
      <w:r w:rsidRPr="00EB1350">
        <w:t>« Le cas échéant, ces accords bi- ou multilatéraux définissent les températures maximales de transport de chaque catégorie de denrées concernées. »</w:t>
      </w:r>
    </w:p>
    <w:p w14:paraId="1C89D886" w14:textId="77777777" w:rsidR="00EB1350" w:rsidRPr="00EB1350" w:rsidRDefault="00EB1350" w:rsidP="00EB1350">
      <w:pPr>
        <w:pStyle w:val="HChG"/>
      </w:pPr>
      <w:r>
        <w:tab/>
      </w:r>
      <w:r>
        <w:tab/>
      </w:r>
      <w:r w:rsidRPr="00EB1350">
        <w:t>Justification</w:t>
      </w:r>
    </w:p>
    <w:p w14:paraId="6F445CDA" w14:textId="77777777" w:rsidR="00EB1350" w:rsidRPr="00EB1350" w:rsidRDefault="00EB1350" w:rsidP="00EB1350">
      <w:pPr>
        <w:pStyle w:val="SingleTxtG"/>
      </w:pPr>
      <w:r>
        <w:t>7.</w:t>
      </w:r>
      <w:r>
        <w:tab/>
      </w:r>
      <w:r w:rsidRPr="00EB1350">
        <w:t>Cette proposition va dans le sens d'une promotion de la lutte contre le gaspillage alimentaire de denrées non listées aujourd'hui dans l'Accord.</w:t>
      </w:r>
    </w:p>
    <w:p w14:paraId="2CAAFEAC" w14:textId="77777777" w:rsidR="00EB1350" w:rsidRPr="00EB1350" w:rsidRDefault="00EB1350" w:rsidP="00EB1350">
      <w:pPr>
        <w:pStyle w:val="SingleTxtG"/>
      </w:pPr>
      <w:r>
        <w:t>8.</w:t>
      </w:r>
      <w:r>
        <w:tab/>
      </w:r>
      <w:r w:rsidRPr="00EB1350">
        <w:t>La dichotomie proposée est cohérente avec les règles adoptées au sein de l'Union européenne en matière de sécurité sanitaire des aliments (règlement CE/178/2002, article 14).</w:t>
      </w:r>
    </w:p>
    <w:p w14:paraId="36F8E07B" w14:textId="77777777" w:rsidR="00EB1350" w:rsidRPr="00EB1350" w:rsidRDefault="00EB1350" w:rsidP="00EB1350">
      <w:pPr>
        <w:pStyle w:val="HChG"/>
      </w:pPr>
      <w:r>
        <w:tab/>
      </w:r>
      <w:r>
        <w:tab/>
      </w:r>
      <w:r w:rsidRPr="00EB1350">
        <w:t>Coûts</w:t>
      </w:r>
    </w:p>
    <w:p w14:paraId="04C899EA" w14:textId="77777777" w:rsidR="00EB1350" w:rsidRPr="00EB1350" w:rsidRDefault="00EB1350" w:rsidP="00EB1350">
      <w:pPr>
        <w:pStyle w:val="SingleTxtG"/>
      </w:pPr>
      <w:r>
        <w:t>9.</w:t>
      </w:r>
      <w:r>
        <w:tab/>
      </w:r>
      <w:r w:rsidRPr="00EB1350">
        <w:t>En tant que telle, la modification proposée n'induit aucun coût particulier.</w:t>
      </w:r>
    </w:p>
    <w:p w14:paraId="1EC56793" w14:textId="77777777" w:rsidR="005D0761" w:rsidRPr="005D0761" w:rsidRDefault="00EB1350" w:rsidP="00EB1350">
      <w:pPr>
        <w:pStyle w:val="SingleTxtG"/>
        <w:rPr>
          <w:i/>
          <w:lang w:val="fr-FR"/>
        </w:rPr>
      </w:pPr>
      <w:r>
        <w:t>10.</w:t>
      </w:r>
      <w:r>
        <w:tab/>
      </w:r>
      <w:r w:rsidRPr="00EB1350">
        <w:t>Seuls les futurs accords bi- ou multilatéraux pourraient engendrer des coûts supplémentaires pour les Parties concernées, variables selon les denrées qui pourraient être concernées.</w:t>
      </w:r>
    </w:p>
    <w:p w14:paraId="16232369" w14:textId="77777777" w:rsidR="005D0761" w:rsidRPr="005D0761" w:rsidRDefault="005D0761" w:rsidP="005D0761">
      <w:pPr>
        <w:spacing w:before="240"/>
        <w:jc w:val="center"/>
        <w:rPr>
          <w:u w:val="single"/>
        </w:rPr>
      </w:pPr>
      <w:r>
        <w:rPr>
          <w:u w:val="single"/>
        </w:rPr>
        <w:tab/>
      </w:r>
      <w:r>
        <w:rPr>
          <w:u w:val="single"/>
        </w:rPr>
        <w:tab/>
      </w:r>
      <w:r>
        <w:rPr>
          <w:u w:val="single"/>
        </w:rPr>
        <w:tab/>
      </w:r>
    </w:p>
    <w:sectPr w:rsidR="005D0761" w:rsidRPr="005D0761" w:rsidSect="00865CE0">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B7B59" w14:textId="77777777" w:rsidR="00865CE0" w:rsidRDefault="00865CE0" w:rsidP="00F95C08">
      <w:pPr>
        <w:spacing w:line="240" w:lineRule="auto"/>
      </w:pPr>
    </w:p>
  </w:endnote>
  <w:endnote w:type="continuationSeparator" w:id="0">
    <w:p w14:paraId="22AE7A1C" w14:textId="77777777" w:rsidR="00865CE0" w:rsidRPr="00AC3823" w:rsidRDefault="00865CE0" w:rsidP="00AC3823">
      <w:pPr>
        <w:pStyle w:val="Footer"/>
      </w:pPr>
    </w:p>
  </w:endnote>
  <w:endnote w:type="continuationNotice" w:id="1">
    <w:p w14:paraId="0448221E" w14:textId="77777777" w:rsidR="00865CE0" w:rsidRDefault="00865CE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9FF54" w14:textId="77777777" w:rsidR="00865CE0" w:rsidRPr="00865CE0" w:rsidRDefault="00865CE0" w:rsidP="00865CE0">
    <w:pPr>
      <w:pStyle w:val="Footer"/>
      <w:tabs>
        <w:tab w:val="right" w:pos="9638"/>
      </w:tabs>
      <w:rPr>
        <w:sz w:val="18"/>
      </w:rPr>
    </w:pPr>
    <w:r w:rsidRPr="00865CE0">
      <w:rPr>
        <w:b/>
        <w:sz w:val="18"/>
      </w:rPr>
      <w:fldChar w:fldCharType="begin"/>
    </w:r>
    <w:r w:rsidRPr="00865CE0">
      <w:rPr>
        <w:b/>
        <w:sz w:val="18"/>
      </w:rPr>
      <w:instrText xml:space="preserve"> PAGE  \* MERGEFORMAT </w:instrText>
    </w:r>
    <w:r w:rsidRPr="00865CE0">
      <w:rPr>
        <w:b/>
        <w:sz w:val="18"/>
      </w:rPr>
      <w:fldChar w:fldCharType="separate"/>
    </w:r>
    <w:r w:rsidRPr="00865CE0">
      <w:rPr>
        <w:b/>
        <w:noProof/>
        <w:sz w:val="18"/>
      </w:rPr>
      <w:t>2</w:t>
    </w:r>
    <w:r w:rsidRPr="00865CE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5503D" w14:textId="77777777" w:rsidR="00865CE0" w:rsidRPr="00865CE0" w:rsidRDefault="00865CE0" w:rsidP="00865CE0">
    <w:pPr>
      <w:pStyle w:val="Footer"/>
      <w:tabs>
        <w:tab w:val="right" w:pos="9638"/>
      </w:tabs>
      <w:rPr>
        <w:b/>
        <w:sz w:val="18"/>
      </w:rPr>
    </w:pPr>
    <w:r>
      <w:tab/>
    </w:r>
    <w:r w:rsidRPr="00865CE0">
      <w:rPr>
        <w:b/>
        <w:sz w:val="18"/>
      </w:rPr>
      <w:fldChar w:fldCharType="begin"/>
    </w:r>
    <w:r w:rsidRPr="00865CE0">
      <w:rPr>
        <w:b/>
        <w:sz w:val="18"/>
      </w:rPr>
      <w:instrText xml:space="preserve"> PAGE  \* MERGEFORMAT </w:instrText>
    </w:r>
    <w:r w:rsidRPr="00865CE0">
      <w:rPr>
        <w:b/>
        <w:sz w:val="18"/>
      </w:rPr>
      <w:fldChar w:fldCharType="separate"/>
    </w:r>
    <w:r w:rsidRPr="00865CE0">
      <w:rPr>
        <w:b/>
        <w:noProof/>
        <w:sz w:val="18"/>
      </w:rPr>
      <w:t>3</w:t>
    </w:r>
    <w:r w:rsidRPr="00865CE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1983C" w14:textId="74BE070E" w:rsidR="000D3EE9" w:rsidRPr="00842DF3" w:rsidRDefault="007C327D" w:rsidP="00842DF3">
    <w:pPr>
      <w:pStyle w:val="Footer"/>
      <w:spacing w:before="120"/>
      <w:rPr>
        <w:sz w:val="20"/>
      </w:rPr>
    </w:pPr>
    <w:r w:rsidRPr="00842DF3">
      <w:rPr>
        <w:rFonts w:ascii="C39T30Lfz" w:hAnsi="C39T30Lfz"/>
        <w:noProof/>
        <w:sz w:val="56"/>
        <w:lang w:eastAsia="fr-CH"/>
      </w:rPr>
      <w:drawing>
        <wp:anchor distT="0" distB="0" distL="114300" distR="114300" simplePos="0" relativeHeight="251657216" behindDoc="0" locked="0" layoutInCell="1" allowOverlap="0" wp14:anchorId="13AF46BD" wp14:editId="2511282D">
          <wp:simplePos x="0" y="0"/>
          <wp:positionH relativeFrom="margin">
            <wp:posOffset>4320540</wp:posOffset>
          </wp:positionH>
          <wp:positionV relativeFrom="margin">
            <wp:posOffset>9081135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42DF3">
      <w:rPr>
        <w:sz w:val="20"/>
      </w:rPr>
      <w:t>GE.20-</w:t>
    </w:r>
    <w:proofErr w:type="gramStart"/>
    <w:r w:rsidR="00842DF3">
      <w:rPr>
        <w:sz w:val="20"/>
      </w:rPr>
      <w:t>01075  (</w:t>
    </w:r>
    <w:proofErr w:type="gramEnd"/>
    <w:r w:rsidR="00842DF3">
      <w:rPr>
        <w:sz w:val="20"/>
      </w:rPr>
      <w:t>F)</w:t>
    </w:r>
    <w:r w:rsidR="00842DF3">
      <w:rPr>
        <w:sz w:val="20"/>
      </w:rPr>
      <w:br/>
    </w:r>
    <w:r w:rsidR="00842DF3" w:rsidRPr="00842DF3">
      <w:rPr>
        <w:rFonts w:ascii="C39T30Lfz" w:hAnsi="C39T30Lfz"/>
        <w:sz w:val="56"/>
      </w:rPr>
      <w:t></w:t>
    </w:r>
    <w:r w:rsidR="00842DF3" w:rsidRPr="00842DF3">
      <w:rPr>
        <w:rFonts w:ascii="C39T30Lfz" w:hAnsi="C39T30Lfz"/>
        <w:sz w:val="56"/>
      </w:rPr>
      <w:t></w:t>
    </w:r>
    <w:r w:rsidR="00842DF3" w:rsidRPr="00842DF3">
      <w:rPr>
        <w:rFonts w:ascii="C39T30Lfz" w:hAnsi="C39T30Lfz"/>
        <w:sz w:val="56"/>
      </w:rPr>
      <w:t></w:t>
    </w:r>
    <w:r w:rsidR="00842DF3" w:rsidRPr="00842DF3">
      <w:rPr>
        <w:rFonts w:ascii="C39T30Lfz" w:hAnsi="C39T30Lfz"/>
        <w:sz w:val="56"/>
      </w:rPr>
      <w:t></w:t>
    </w:r>
    <w:r w:rsidR="00842DF3" w:rsidRPr="00842DF3">
      <w:rPr>
        <w:rFonts w:ascii="C39T30Lfz" w:hAnsi="C39T30Lfz"/>
        <w:sz w:val="56"/>
      </w:rPr>
      <w:t></w:t>
    </w:r>
    <w:r w:rsidR="00842DF3" w:rsidRPr="00842DF3">
      <w:rPr>
        <w:rFonts w:ascii="C39T30Lfz" w:hAnsi="C39T30Lfz"/>
        <w:sz w:val="56"/>
      </w:rPr>
      <w:t></w:t>
    </w:r>
    <w:r w:rsidR="00842DF3" w:rsidRPr="00842DF3">
      <w:rPr>
        <w:rFonts w:ascii="C39T30Lfz" w:hAnsi="C39T30Lfz"/>
        <w:sz w:val="56"/>
      </w:rPr>
      <w:t></w:t>
    </w:r>
    <w:r w:rsidR="00842DF3" w:rsidRPr="00842DF3">
      <w:rPr>
        <w:rFonts w:ascii="C39T30Lfz" w:hAnsi="C39T30Lfz"/>
        <w:sz w:val="56"/>
      </w:rPr>
      <w:t></w:t>
    </w:r>
    <w:r w:rsidR="00842DF3" w:rsidRPr="00842DF3">
      <w:rPr>
        <w:rFonts w:ascii="C39T30Lfz" w:hAnsi="C39T30Lfz"/>
        <w:sz w:val="56"/>
      </w:rPr>
      <w:t></w:t>
    </w:r>
    <w:r w:rsidR="00842DF3">
      <w:rPr>
        <w:noProof/>
        <w:sz w:val="20"/>
      </w:rPr>
      <w:drawing>
        <wp:anchor distT="0" distB="0" distL="114300" distR="114300" simplePos="0" relativeHeight="251658240" behindDoc="0" locked="0" layoutInCell="1" allowOverlap="1" wp14:anchorId="280073AB" wp14:editId="346239B1">
          <wp:simplePos x="0" y="0"/>
          <wp:positionH relativeFrom="margin">
            <wp:posOffset>5489575</wp:posOffset>
          </wp:positionH>
          <wp:positionV relativeFrom="margin">
            <wp:posOffset>8891905</wp:posOffset>
          </wp:positionV>
          <wp:extent cx="628650" cy="628650"/>
          <wp:effectExtent l="0" t="0" r="0" b="0"/>
          <wp:wrapNone/>
          <wp:docPr id="1" name="Image 1" descr="https://api.qrserver.com/v1/create-qr-code/?size=66x66&amp;data=https://undocs.org/fr/ECE/TRANS/WP.11/20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qrserver.com/v1/create-qr-code/?size=66x66&amp;data=https://undocs.org/fr/ECE/TRANS/WP.11/20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BBA1E" w14:textId="77777777" w:rsidR="00865CE0" w:rsidRPr="00AC3823" w:rsidRDefault="00865CE0" w:rsidP="00AC3823">
      <w:pPr>
        <w:pStyle w:val="Footer"/>
        <w:tabs>
          <w:tab w:val="right" w:pos="2155"/>
        </w:tabs>
        <w:spacing w:after="80" w:line="240" w:lineRule="atLeast"/>
        <w:ind w:left="680"/>
        <w:rPr>
          <w:u w:val="single"/>
        </w:rPr>
      </w:pPr>
      <w:r>
        <w:rPr>
          <w:u w:val="single"/>
        </w:rPr>
        <w:tab/>
      </w:r>
    </w:p>
  </w:footnote>
  <w:footnote w:type="continuationSeparator" w:id="0">
    <w:p w14:paraId="089A14CE" w14:textId="77777777" w:rsidR="00865CE0" w:rsidRPr="00AC3823" w:rsidRDefault="00865CE0" w:rsidP="00AC3823">
      <w:pPr>
        <w:pStyle w:val="Footer"/>
        <w:tabs>
          <w:tab w:val="right" w:pos="2155"/>
        </w:tabs>
        <w:spacing w:after="80" w:line="240" w:lineRule="atLeast"/>
        <w:ind w:left="680"/>
        <w:rPr>
          <w:u w:val="single"/>
        </w:rPr>
      </w:pPr>
      <w:r>
        <w:rPr>
          <w:u w:val="single"/>
        </w:rPr>
        <w:tab/>
      </w:r>
    </w:p>
  </w:footnote>
  <w:footnote w:type="continuationNotice" w:id="1">
    <w:p w14:paraId="5E7656D2" w14:textId="77777777" w:rsidR="00865CE0" w:rsidRPr="00AC3823" w:rsidRDefault="00865CE0">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F52DF" w14:textId="101E12CC" w:rsidR="00865CE0" w:rsidRPr="00865CE0" w:rsidRDefault="009B4ACE">
    <w:pPr>
      <w:pStyle w:val="Header"/>
    </w:pPr>
    <w:r>
      <w:fldChar w:fldCharType="begin"/>
    </w:r>
    <w:r>
      <w:instrText xml:space="preserve"> TITLE  \* MERGEFORMAT </w:instrText>
    </w:r>
    <w:r>
      <w:fldChar w:fldCharType="separate"/>
    </w:r>
    <w:r w:rsidR="00A80F76">
      <w:t>ECE/TRANS/WP.11/2020/2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255E6" w14:textId="2E13C9C5" w:rsidR="00865CE0" w:rsidRPr="00865CE0" w:rsidRDefault="009B4ACE" w:rsidP="00865CE0">
    <w:pPr>
      <w:pStyle w:val="Header"/>
      <w:jc w:val="right"/>
    </w:pPr>
    <w:r>
      <w:fldChar w:fldCharType="begin"/>
    </w:r>
    <w:r>
      <w:instrText xml:space="preserve"> TITLE  \* MERGEFORMAT </w:instrText>
    </w:r>
    <w:r>
      <w:fldChar w:fldCharType="separate"/>
    </w:r>
    <w:r w:rsidR="00A80F76">
      <w:t>ECE/TRANS/WP.11/2020/2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0EAE5A0A"/>
    <w:multiLevelType w:val="multilevel"/>
    <w:tmpl w:val="E702C94C"/>
    <w:styleLink w:val="WW8Num17"/>
    <w:lvl w:ilvl="0">
      <w:numFmt w:val="bullet"/>
      <w:lvlText w:val="-"/>
      <w:lvlJc w:val="left"/>
      <w:pPr>
        <w:ind w:left="720" w:hanging="360"/>
      </w:pPr>
      <w:rPr>
        <w:rFonts w:ascii="Calibri" w:eastAsia="Calibri" w:hAnsi="Calibri" w:cs="Times New Roman"/>
        <w:color w:val="000000"/>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color w:val="000000"/>
        <w:sz w:val="20"/>
        <w:szCs w:val="20"/>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color w:val="000000"/>
        <w:sz w:val="20"/>
        <w:szCs w:val="20"/>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color w:val="000000"/>
        <w:sz w:val="20"/>
        <w:szCs w:val="20"/>
      </w:r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6F170731"/>
    <w:multiLevelType w:val="multilevel"/>
    <w:tmpl w:val="3216D116"/>
    <w:styleLink w:val="WWNum17"/>
    <w:lvl w:ilvl="0">
      <w:start w:val="1"/>
      <w:numFmt w:val="decimal"/>
      <w:lvlText w:val="%1."/>
      <w:lvlJc w:val="left"/>
      <w:pPr>
        <w:ind w:left="1689" w:hanging="555"/>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4"/>
    <w:lvlOverride w:ilvl="0">
      <w:startOverride w:val="1"/>
    </w:lvlOverride>
  </w:num>
  <w:num w:numId="16">
    <w:abstractNumId w:val="11"/>
  </w:num>
  <w:num w:numId="17">
    <w:abstractNumId w:val="11"/>
  </w:num>
  <w:num w:numId="18">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567"/>
  <w:hyphenationZone w:val="425"/>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865CE0"/>
    <w:rsid w:val="00003FC2"/>
    <w:rsid w:val="0001207F"/>
    <w:rsid w:val="00017F94"/>
    <w:rsid w:val="00023842"/>
    <w:rsid w:val="000334F9"/>
    <w:rsid w:val="0004639C"/>
    <w:rsid w:val="0007796D"/>
    <w:rsid w:val="000942EE"/>
    <w:rsid w:val="000A52BF"/>
    <w:rsid w:val="000B7790"/>
    <w:rsid w:val="000D3EE9"/>
    <w:rsid w:val="000D62F3"/>
    <w:rsid w:val="00111F2F"/>
    <w:rsid w:val="001433FD"/>
    <w:rsid w:val="0014365E"/>
    <w:rsid w:val="001541D3"/>
    <w:rsid w:val="00156B77"/>
    <w:rsid w:val="00176178"/>
    <w:rsid w:val="00177140"/>
    <w:rsid w:val="001B1643"/>
    <w:rsid w:val="001D400F"/>
    <w:rsid w:val="001F525A"/>
    <w:rsid w:val="00200E2C"/>
    <w:rsid w:val="00223272"/>
    <w:rsid w:val="00240333"/>
    <w:rsid w:val="0024779E"/>
    <w:rsid w:val="002832AC"/>
    <w:rsid w:val="002D7C93"/>
    <w:rsid w:val="0037241C"/>
    <w:rsid w:val="003819FF"/>
    <w:rsid w:val="00441C3B"/>
    <w:rsid w:val="00446B0A"/>
    <w:rsid w:val="00446FE5"/>
    <w:rsid w:val="00452396"/>
    <w:rsid w:val="00471288"/>
    <w:rsid w:val="0049687C"/>
    <w:rsid w:val="004E468C"/>
    <w:rsid w:val="005316B0"/>
    <w:rsid w:val="005505B7"/>
    <w:rsid w:val="00573BE5"/>
    <w:rsid w:val="0057672B"/>
    <w:rsid w:val="00586ED3"/>
    <w:rsid w:val="00596AA9"/>
    <w:rsid w:val="005B4D0F"/>
    <w:rsid w:val="005D0761"/>
    <w:rsid w:val="00703D0F"/>
    <w:rsid w:val="00706363"/>
    <w:rsid w:val="007158BB"/>
    <w:rsid w:val="0071601D"/>
    <w:rsid w:val="0075410D"/>
    <w:rsid w:val="007A622D"/>
    <w:rsid w:val="007A62E6"/>
    <w:rsid w:val="007C327D"/>
    <w:rsid w:val="0080684C"/>
    <w:rsid w:val="008204DA"/>
    <w:rsid w:val="00842DF3"/>
    <w:rsid w:val="008535AD"/>
    <w:rsid w:val="00865CE0"/>
    <w:rsid w:val="00871C75"/>
    <w:rsid w:val="008767E8"/>
    <w:rsid w:val="008776DC"/>
    <w:rsid w:val="00883605"/>
    <w:rsid w:val="008E6043"/>
    <w:rsid w:val="009121C8"/>
    <w:rsid w:val="00961E7B"/>
    <w:rsid w:val="009705C8"/>
    <w:rsid w:val="009B4ACE"/>
    <w:rsid w:val="009C1CF4"/>
    <w:rsid w:val="009E3F4C"/>
    <w:rsid w:val="009F02C9"/>
    <w:rsid w:val="00A17CFC"/>
    <w:rsid w:val="00A30353"/>
    <w:rsid w:val="00A62D91"/>
    <w:rsid w:val="00A80F76"/>
    <w:rsid w:val="00A90D54"/>
    <w:rsid w:val="00AA113A"/>
    <w:rsid w:val="00AC3823"/>
    <w:rsid w:val="00AE323C"/>
    <w:rsid w:val="00AF774C"/>
    <w:rsid w:val="00B00181"/>
    <w:rsid w:val="00B00B0D"/>
    <w:rsid w:val="00B40927"/>
    <w:rsid w:val="00B50E25"/>
    <w:rsid w:val="00B64918"/>
    <w:rsid w:val="00B765F7"/>
    <w:rsid w:val="00BA0CA9"/>
    <w:rsid w:val="00C02897"/>
    <w:rsid w:val="00C1626B"/>
    <w:rsid w:val="00C66A47"/>
    <w:rsid w:val="00C7616F"/>
    <w:rsid w:val="00CB16B5"/>
    <w:rsid w:val="00CE0608"/>
    <w:rsid w:val="00D3439C"/>
    <w:rsid w:val="00D35789"/>
    <w:rsid w:val="00D44CF3"/>
    <w:rsid w:val="00D46C8C"/>
    <w:rsid w:val="00DB1831"/>
    <w:rsid w:val="00DD3BFD"/>
    <w:rsid w:val="00DE239D"/>
    <w:rsid w:val="00DF431C"/>
    <w:rsid w:val="00DF6678"/>
    <w:rsid w:val="00E428C8"/>
    <w:rsid w:val="00E66867"/>
    <w:rsid w:val="00E8503F"/>
    <w:rsid w:val="00EB1350"/>
    <w:rsid w:val="00EF2E22"/>
    <w:rsid w:val="00F0592C"/>
    <w:rsid w:val="00F06ED4"/>
    <w:rsid w:val="00F40101"/>
    <w:rsid w:val="00F43289"/>
    <w:rsid w:val="00F660DF"/>
    <w:rsid w:val="00F95C08"/>
    <w:rsid w:val="00FD158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CB0CA0"/>
  <w15:docId w15:val="{E1B912E9-87E2-4E78-8176-6C93BDB4B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06363"/>
    <w:rPr>
      <w:color w:val="0000FF"/>
      <w:u w:val="none"/>
    </w:rPr>
  </w:style>
  <w:style w:type="character" w:styleId="FollowedHyperlink">
    <w:name w:val="FollowedHyperlink"/>
    <w:basedOn w:val="DefaultParagraphFont"/>
    <w:unhideWhenUsed/>
    <w:rsid w:val="00706363"/>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SingleTxtGChar">
    <w:name w:val="_ Single Txt_G Char"/>
    <w:link w:val="SingleTxtG"/>
    <w:rsid w:val="0001207F"/>
    <w:rPr>
      <w:rFonts w:ascii="Times New Roman" w:hAnsi="Times New Roman" w:cs="Times New Roman"/>
      <w:sz w:val="20"/>
      <w:szCs w:val="20"/>
      <w:lang w:eastAsia="en-US"/>
    </w:rPr>
  </w:style>
  <w:style w:type="character" w:customStyle="1" w:styleId="HChGChar">
    <w:name w:val="_ H _Ch_G Char"/>
    <w:link w:val="HChG"/>
    <w:rsid w:val="0001207F"/>
    <w:rPr>
      <w:rFonts w:ascii="Times New Roman" w:hAnsi="Times New Roman" w:cs="Times New Roman"/>
      <w:b/>
      <w:sz w:val="28"/>
      <w:szCs w:val="20"/>
      <w:lang w:eastAsia="en-US"/>
    </w:rPr>
  </w:style>
  <w:style w:type="numbering" w:customStyle="1" w:styleId="WWNum17">
    <w:name w:val="WWNum17"/>
    <w:basedOn w:val="NoList"/>
    <w:rsid w:val="005D0761"/>
    <w:pPr>
      <w:numPr>
        <w:numId w:val="14"/>
      </w:numPr>
    </w:pPr>
  </w:style>
  <w:style w:type="numbering" w:customStyle="1" w:styleId="WW8Num17">
    <w:name w:val="WW8Num17"/>
    <w:basedOn w:val="NoList"/>
    <w:rsid w:val="005D0761"/>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3385</Characters>
  <Application>Microsoft Office Word</Application>
  <DocSecurity>0</DocSecurity>
  <Lines>28</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ECE/TRANS/WP.11/2020/2</vt:lpstr>
      <vt:lpstr>ECE/TRANS/WP.11/2020/2</vt:lpstr>
    </vt:vector>
  </TitlesOfParts>
  <Company>DCM</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ECE/TRANS/WP.11/2020/2</dc:title>
  <dc:subject>FINAL</dc:subject>
  <dc:creator>Lucille CAILLOT</dc:creator>
  <cp:keywords/>
  <dc:description/>
  <cp:lastModifiedBy>Lucille Caillot</cp:lastModifiedBy>
  <cp:revision>2</cp:revision>
  <cp:lastPrinted>2020-01-24T14:45:00Z</cp:lastPrinted>
  <dcterms:created xsi:type="dcterms:W3CDTF">2020-02-14T09:51:00Z</dcterms:created>
  <dcterms:modified xsi:type="dcterms:W3CDTF">2020-02-14T09:51:00Z</dcterms:modified>
</cp:coreProperties>
</file>