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3D33D169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5BFAF06A" w14:textId="77777777" w:rsidR="002D5AAC" w:rsidRDefault="002D5AAC" w:rsidP="000D469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44E5F0B1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444F9C81" w14:textId="77777777" w:rsidR="002D5AAC" w:rsidRDefault="000D4699" w:rsidP="000D4699">
            <w:pPr>
              <w:jc w:val="right"/>
            </w:pPr>
            <w:r w:rsidRPr="000D4699">
              <w:rPr>
                <w:sz w:val="40"/>
              </w:rPr>
              <w:t>ECE</w:t>
            </w:r>
            <w:r>
              <w:t>/TRANS/SC.1/413</w:t>
            </w:r>
          </w:p>
        </w:tc>
      </w:tr>
      <w:tr w:rsidR="002D5AAC" w:rsidRPr="000D4699" w14:paraId="3216E7B5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7F58D1A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01861727" wp14:editId="1032F4BC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232DDC2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247247FA" w14:textId="77777777" w:rsidR="002D5AAC" w:rsidRDefault="000D4699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4F3FF5E5" w14:textId="77777777" w:rsidR="000D4699" w:rsidRDefault="000D4699" w:rsidP="000D469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5 August 2020</w:t>
            </w:r>
          </w:p>
          <w:p w14:paraId="63C9353F" w14:textId="77777777" w:rsidR="000D4699" w:rsidRDefault="000D4699" w:rsidP="000D469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390C90AC" w14:textId="77777777" w:rsidR="000D4699" w:rsidRPr="008D53B6" w:rsidRDefault="000D4699" w:rsidP="000D469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33C3E0B3" w14:textId="77777777" w:rsidR="000D4699" w:rsidRPr="00AD1756" w:rsidRDefault="008A37C8" w:rsidP="00255343">
      <w:pPr>
        <w:spacing w:before="120"/>
        <w:rPr>
          <w:b/>
          <w:sz w:val="28"/>
          <w:szCs w:val="28"/>
        </w:rPr>
      </w:pPr>
      <w:r w:rsidRPr="00AD1756">
        <w:rPr>
          <w:b/>
          <w:sz w:val="28"/>
          <w:szCs w:val="28"/>
        </w:rPr>
        <w:t>Европейская экономическая комиссия</w:t>
      </w:r>
    </w:p>
    <w:p w14:paraId="7C8FF39D" w14:textId="77777777" w:rsidR="00C428E5" w:rsidRPr="00AD1756" w:rsidRDefault="00C428E5" w:rsidP="00C428E5">
      <w:pPr>
        <w:spacing w:before="120"/>
        <w:rPr>
          <w:sz w:val="28"/>
          <w:szCs w:val="28"/>
        </w:rPr>
      </w:pPr>
      <w:r w:rsidRPr="00AD1756">
        <w:rPr>
          <w:sz w:val="28"/>
          <w:szCs w:val="28"/>
        </w:rPr>
        <w:t>Комитет по внутреннему транспорту</w:t>
      </w:r>
    </w:p>
    <w:p w14:paraId="3981BDE7" w14:textId="77777777" w:rsidR="00C428E5" w:rsidRPr="00AD1756" w:rsidRDefault="00C428E5" w:rsidP="00C428E5">
      <w:pPr>
        <w:spacing w:before="120"/>
        <w:rPr>
          <w:b/>
          <w:sz w:val="24"/>
          <w:szCs w:val="24"/>
        </w:rPr>
      </w:pPr>
      <w:r w:rsidRPr="00AD1756">
        <w:rPr>
          <w:b/>
          <w:bCs/>
          <w:sz w:val="24"/>
          <w:szCs w:val="24"/>
        </w:rPr>
        <w:t>Рабочая группа по автомобильному транспорту</w:t>
      </w:r>
    </w:p>
    <w:p w14:paraId="415F281A" w14:textId="77777777" w:rsidR="00C428E5" w:rsidRPr="00AD1756" w:rsidRDefault="00C428E5" w:rsidP="00C428E5">
      <w:pPr>
        <w:spacing w:before="120"/>
        <w:rPr>
          <w:b/>
        </w:rPr>
      </w:pPr>
      <w:r w:rsidRPr="00AD1756">
        <w:rPr>
          <w:b/>
          <w:bCs/>
        </w:rPr>
        <w:t>Сто пятнадцатая сессия</w:t>
      </w:r>
    </w:p>
    <w:p w14:paraId="7A923779" w14:textId="77777777" w:rsidR="00C428E5" w:rsidRPr="00AD1756" w:rsidRDefault="00C428E5" w:rsidP="00C428E5">
      <w:r w:rsidRPr="00AD1756">
        <w:t>Женева, 14–16 октября 2020 года</w:t>
      </w:r>
    </w:p>
    <w:p w14:paraId="5667087A" w14:textId="77777777" w:rsidR="00C428E5" w:rsidRPr="00AD1756" w:rsidRDefault="00C428E5" w:rsidP="00C428E5">
      <w:r w:rsidRPr="00AD1756">
        <w:t>Пункт 1 предварительной повестки дня</w:t>
      </w:r>
    </w:p>
    <w:p w14:paraId="49BD2356" w14:textId="77777777" w:rsidR="00C428E5" w:rsidRPr="00AD1756" w:rsidRDefault="00C428E5" w:rsidP="00C428E5">
      <w:pPr>
        <w:rPr>
          <w:b/>
          <w:bCs/>
        </w:rPr>
      </w:pPr>
      <w:r w:rsidRPr="00AD1756">
        <w:rPr>
          <w:b/>
          <w:bCs/>
        </w:rPr>
        <w:t>Утверждение повестки дня</w:t>
      </w:r>
    </w:p>
    <w:p w14:paraId="78016D1C" w14:textId="77777777" w:rsidR="00C428E5" w:rsidRPr="00AD1756" w:rsidRDefault="00C428E5" w:rsidP="00C428E5">
      <w:pPr>
        <w:pStyle w:val="HChG"/>
        <w:rPr>
          <w:sz w:val="22"/>
          <w:szCs w:val="22"/>
        </w:rPr>
      </w:pPr>
      <w:r w:rsidRPr="00AD1756">
        <w:tab/>
      </w:r>
      <w:r w:rsidRPr="00AD1756">
        <w:tab/>
      </w:r>
      <w:r w:rsidRPr="00AD1756">
        <w:rPr>
          <w:bCs/>
        </w:rPr>
        <w:t>Аннотированная предварительная повестка дня сто пятнадцатой сессии</w:t>
      </w:r>
      <w:r w:rsidRPr="00AD1756">
        <w:rPr>
          <w:rStyle w:val="FootnoteReference"/>
          <w:b w:val="0"/>
          <w:bCs/>
          <w:sz w:val="20"/>
          <w:vertAlign w:val="baseline"/>
        </w:rPr>
        <w:footnoteReference w:customMarkFollows="1" w:id="1"/>
        <w:t xml:space="preserve">* </w:t>
      </w:r>
      <w:r w:rsidRPr="00AD1756">
        <w:rPr>
          <w:rStyle w:val="FootnoteReference"/>
          <w:b w:val="0"/>
          <w:bCs/>
          <w:sz w:val="20"/>
          <w:vertAlign w:val="baseline"/>
        </w:rPr>
        <w:footnoteReference w:customMarkFollows="1" w:id="2"/>
        <w:t>**</w:t>
      </w:r>
      <w:r w:rsidRPr="00AD1756">
        <w:rPr>
          <w:b w:val="0"/>
        </w:rPr>
        <w:t xml:space="preserve">, </w:t>
      </w:r>
    </w:p>
    <w:p w14:paraId="69C3C753" w14:textId="77777777" w:rsidR="00C428E5" w:rsidRPr="00AD1756" w:rsidRDefault="00C428E5" w:rsidP="00C428E5">
      <w:pPr>
        <w:pStyle w:val="SingleTxtG"/>
      </w:pPr>
      <w:r w:rsidRPr="00AD1756">
        <w:t>которая состоится во Дворце Наций, зал XXIV, в Женеве и откроется в 9 ч 30 мин в среду, 14 октября 2020 года</w:t>
      </w:r>
    </w:p>
    <w:p w14:paraId="16C2BA9C" w14:textId="77777777" w:rsidR="00C428E5" w:rsidRPr="00AD1756" w:rsidRDefault="00C428E5" w:rsidP="00C428E5">
      <w:pPr>
        <w:pStyle w:val="HChG"/>
      </w:pPr>
      <w:r w:rsidRPr="00AD1756">
        <w:tab/>
        <w:t>I.</w:t>
      </w:r>
      <w:r w:rsidRPr="00AD1756">
        <w:tab/>
      </w:r>
      <w:r w:rsidRPr="00AD1756">
        <w:tab/>
      </w:r>
      <w:r w:rsidRPr="00AD1756">
        <w:rPr>
          <w:bCs/>
        </w:rPr>
        <w:t>Предварительная повестка дня</w:t>
      </w:r>
      <w:r w:rsidRPr="00AD1756">
        <w:t xml:space="preserve"> </w:t>
      </w:r>
    </w:p>
    <w:p w14:paraId="477DA506" w14:textId="77777777" w:rsidR="00C428E5" w:rsidRPr="00AD1756" w:rsidRDefault="00C428E5" w:rsidP="00C428E5">
      <w:pPr>
        <w:pStyle w:val="SingleTxtG"/>
      </w:pPr>
      <w:r w:rsidRPr="00AD1756">
        <w:t>1.</w:t>
      </w:r>
      <w:r w:rsidRPr="00AD1756">
        <w:tab/>
        <w:t>Утверждение повестки дня.</w:t>
      </w:r>
    </w:p>
    <w:p w14:paraId="3A30B36B" w14:textId="77777777" w:rsidR="00C428E5" w:rsidRPr="00AD1756" w:rsidRDefault="00C428E5" w:rsidP="00C428E5">
      <w:pPr>
        <w:pStyle w:val="SingleTxtG"/>
      </w:pPr>
      <w:r w:rsidRPr="00AD1756">
        <w:t>2.</w:t>
      </w:r>
      <w:r w:rsidRPr="00AD1756">
        <w:tab/>
        <w:t>Документы по внутреннему транспорту:</w:t>
      </w:r>
    </w:p>
    <w:p w14:paraId="795FDA59" w14:textId="77777777" w:rsidR="00C428E5" w:rsidRPr="00AD1756" w:rsidRDefault="00C428E5" w:rsidP="00CA6CBF">
      <w:pPr>
        <w:pStyle w:val="SingleTxtG"/>
        <w:ind w:left="2268" w:hanging="567"/>
      </w:pPr>
      <w:r w:rsidRPr="00AD1756">
        <w:t>a)</w:t>
      </w:r>
      <w:r w:rsidRPr="00AD1756">
        <w:tab/>
        <w:t>Европейское соглашение, касающееся работы экипажей транспортных средств, производящих международные автомобильные перевозки (ЕСТР);</w:t>
      </w:r>
    </w:p>
    <w:p w14:paraId="6D48774C" w14:textId="77777777" w:rsidR="00C428E5" w:rsidRPr="00AD1756" w:rsidRDefault="00C428E5" w:rsidP="00C428E5">
      <w:pPr>
        <w:pStyle w:val="SingleTxtG"/>
      </w:pPr>
      <w:r w:rsidRPr="00AD1756">
        <w:tab/>
      </w:r>
      <w:r w:rsidRPr="00AD1756">
        <w:tab/>
      </w:r>
      <w:r w:rsidRPr="00AD1756">
        <w:tab/>
        <w:t>i)</w:t>
      </w:r>
      <w:r w:rsidRPr="00AD1756">
        <w:tab/>
        <w:t>статус Соглашения;</w:t>
      </w:r>
    </w:p>
    <w:p w14:paraId="10159F44" w14:textId="77777777" w:rsidR="00C428E5" w:rsidRPr="00AD1756" w:rsidRDefault="00C428E5" w:rsidP="00AD1756">
      <w:pPr>
        <w:pStyle w:val="SingleTxtG"/>
        <w:spacing w:line="234" w:lineRule="atLeast"/>
      </w:pPr>
      <w:r w:rsidRPr="00AD1756">
        <w:lastRenderedPageBreak/>
        <w:tab/>
      </w:r>
      <w:r w:rsidRPr="00AD1756">
        <w:tab/>
      </w:r>
      <w:r w:rsidRPr="00AD1756">
        <w:tab/>
        <w:t>ii)</w:t>
      </w:r>
      <w:r w:rsidRPr="00AD1756">
        <w:tab/>
        <w:t>Группа экспертов по ЕСТР.</w:t>
      </w:r>
    </w:p>
    <w:p w14:paraId="288BA289" w14:textId="77777777" w:rsidR="00C428E5" w:rsidRPr="00AD1756" w:rsidRDefault="00C428E5" w:rsidP="00AD1756">
      <w:pPr>
        <w:pStyle w:val="SingleTxtG"/>
        <w:spacing w:line="234" w:lineRule="atLeast"/>
        <w:ind w:left="2268" w:hanging="567"/>
      </w:pPr>
      <w:r w:rsidRPr="00AD1756">
        <w:t>b)</w:t>
      </w:r>
      <w:r w:rsidRPr="00AD1756">
        <w:tab/>
        <w:t>Европейское соглашение о международных автомагистралях (СМА):</w:t>
      </w:r>
    </w:p>
    <w:p w14:paraId="0FE72967" w14:textId="77777777" w:rsidR="00C428E5" w:rsidRPr="00AD1756" w:rsidRDefault="00C428E5" w:rsidP="00AD1756">
      <w:pPr>
        <w:pStyle w:val="SingleTxtG"/>
        <w:spacing w:line="234" w:lineRule="atLeast"/>
      </w:pPr>
      <w:r w:rsidRPr="00AD1756">
        <w:tab/>
      </w:r>
      <w:r w:rsidRPr="00AD1756">
        <w:tab/>
      </w:r>
      <w:r w:rsidRPr="00AD1756">
        <w:tab/>
        <w:t>i)</w:t>
      </w:r>
      <w:r w:rsidRPr="00AD1756">
        <w:tab/>
        <w:t>статус Соглашения;</w:t>
      </w:r>
    </w:p>
    <w:p w14:paraId="322C20C5" w14:textId="77777777" w:rsidR="00C428E5" w:rsidRPr="00AD1756" w:rsidRDefault="00C428E5" w:rsidP="00AD1756">
      <w:pPr>
        <w:pStyle w:val="SingleTxtG"/>
        <w:spacing w:line="234" w:lineRule="atLeast"/>
      </w:pPr>
      <w:r w:rsidRPr="00AD1756">
        <w:tab/>
      </w:r>
      <w:r w:rsidRPr="00AD1756">
        <w:tab/>
      </w:r>
      <w:r w:rsidRPr="00AD1756">
        <w:tab/>
        <w:t>ii)</w:t>
      </w:r>
      <w:r w:rsidRPr="00AD1756">
        <w:tab/>
        <w:t>поправки к Соглашению;</w:t>
      </w:r>
    </w:p>
    <w:p w14:paraId="61F202ED" w14:textId="77777777" w:rsidR="00C428E5" w:rsidRPr="00AD1756" w:rsidRDefault="00C428E5" w:rsidP="00AD1756">
      <w:pPr>
        <w:pStyle w:val="SingleTxtG"/>
        <w:spacing w:line="234" w:lineRule="atLeast"/>
        <w:ind w:left="2268" w:hanging="567"/>
      </w:pPr>
      <w:r w:rsidRPr="00AD1756">
        <w:t>с)</w:t>
      </w:r>
      <w:r w:rsidRPr="00AD1756">
        <w:tab/>
        <w:t>Конвенция о договоре международной дорожной перевозки грузов (КДПГ):</w:t>
      </w:r>
    </w:p>
    <w:p w14:paraId="1C672461" w14:textId="77777777" w:rsidR="00C428E5" w:rsidRPr="00AD1756" w:rsidRDefault="00C428E5" w:rsidP="00AD1756">
      <w:pPr>
        <w:pStyle w:val="SingleTxtG"/>
        <w:spacing w:line="234" w:lineRule="atLeast"/>
      </w:pPr>
      <w:r w:rsidRPr="00AD1756">
        <w:tab/>
      </w:r>
      <w:r w:rsidRPr="00AD1756">
        <w:tab/>
      </w:r>
      <w:r w:rsidRPr="00AD1756">
        <w:tab/>
        <w:t>i)</w:t>
      </w:r>
      <w:r w:rsidRPr="00AD1756">
        <w:tab/>
        <w:t>статус Конвенции;</w:t>
      </w:r>
    </w:p>
    <w:p w14:paraId="3BEB4E64" w14:textId="77777777" w:rsidR="00CA6CBF" w:rsidRPr="00AD1756" w:rsidRDefault="00C428E5" w:rsidP="00AD1756">
      <w:pPr>
        <w:pStyle w:val="SingleTxtG"/>
        <w:spacing w:line="234" w:lineRule="atLeast"/>
        <w:ind w:left="2835" w:hanging="567"/>
      </w:pPr>
      <w:r w:rsidRPr="00AD1756">
        <w:t>ii)</w:t>
      </w:r>
      <w:r w:rsidRPr="00AD1756">
        <w:tab/>
        <w:t>Протокол к Конвенции о договоре международной дорожной перевозки грузов (КДПГ)</w:t>
      </w:r>
      <w:r w:rsidR="00CA6CBF" w:rsidRPr="00AD1756">
        <w:t>;</w:t>
      </w:r>
    </w:p>
    <w:p w14:paraId="4D2B3229" w14:textId="77777777" w:rsidR="00C428E5" w:rsidRPr="00AD1756" w:rsidRDefault="00C428E5" w:rsidP="00AD1756">
      <w:pPr>
        <w:pStyle w:val="SingleTxtG"/>
        <w:spacing w:line="234" w:lineRule="atLeast"/>
        <w:ind w:left="2835" w:hanging="567"/>
      </w:pPr>
      <w:r w:rsidRPr="00AD1756">
        <w:t>iii)</w:t>
      </w:r>
      <w:r w:rsidRPr="00AD1756">
        <w:tab/>
        <w:t>Дополнительный протокол к КДПГ, касающийся электронной накладной (e</w:t>
      </w:r>
      <w:r w:rsidR="00AD1756" w:rsidRPr="00AD1756">
        <w:t>-</w:t>
      </w:r>
      <w:r w:rsidRPr="00AD1756">
        <w:t>CMR);</w:t>
      </w:r>
    </w:p>
    <w:p w14:paraId="0D3034F3" w14:textId="77777777" w:rsidR="00C428E5" w:rsidRPr="00AD1756" w:rsidRDefault="00C428E5" w:rsidP="00AD1756">
      <w:pPr>
        <w:pStyle w:val="SingleTxtG"/>
        <w:spacing w:line="234" w:lineRule="atLeast"/>
        <w:ind w:left="2268" w:hanging="567"/>
      </w:pPr>
      <w:r w:rsidRPr="00AD1756">
        <w:t>d)</w:t>
      </w:r>
      <w:r w:rsidRPr="00AD1756">
        <w:tab/>
        <w:t>новый(е) правовой(е) документ(ы):</w:t>
      </w:r>
    </w:p>
    <w:p w14:paraId="0D6C10E4" w14:textId="77777777" w:rsidR="00C428E5" w:rsidRPr="00AD1756" w:rsidRDefault="00C428E5" w:rsidP="00AD1756">
      <w:pPr>
        <w:pStyle w:val="SingleTxtG"/>
        <w:spacing w:line="234" w:lineRule="atLeast"/>
        <w:ind w:left="2268"/>
      </w:pPr>
      <w:r w:rsidRPr="00AD1756">
        <w:t>Предложение по глобальному многостороннему соглашению о международных регулярных перевозках пассажиров междугородными и городскими автобусами (ОмниБУС);</w:t>
      </w:r>
    </w:p>
    <w:p w14:paraId="05D0C0AA" w14:textId="77777777" w:rsidR="00AD1756" w:rsidRDefault="00C428E5" w:rsidP="00AD1756">
      <w:pPr>
        <w:pStyle w:val="SingleTxtG"/>
        <w:spacing w:line="234" w:lineRule="atLeast"/>
        <w:ind w:left="2268" w:hanging="567"/>
      </w:pPr>
      <w:r w:rsidRPr="00AD1756">
        <w:t>e)</w:t>
      </w:r>
      <w:r w:rsidRPr="00AD1756">
        <w:tab/>
        <w:t>Сводная резолюция об облегчении международных автомобильных перевозок (СР.4):</w:t>
      </w:r>
    </w:p>
    <w:p w14:paraId="347BF853" w14:textId="77777777" w:rsidR="00C428E5" w:rsidRPr="00AD1756" w:rsidRDefault="00C428E5" w:rsidP="00AD1756">
      <w:pPr>
        <w:pStyle w:val="SingleTxtG"/>
        <w:spacing w:line="234" w:lineRule="atLeast"/>
        <w:ind w:left="2268"/>
      </w:pPr>
      <w:r w:rsidRPr="00AD1756">
        <w:t>связь между происхождением товаров и транспортными операциями.</w:t>
      </w:r>
    </w:p>
    <w:p w14:paraId="12F25555" w14:textId="77777777" w:rsidR="00C428E5" w:rsidRPr="00AD1756" w:rsidRDefault="00C428E5" w:rsidP="00AD1756">
      <w:pPr>
        <w:pStyle w:val="SingleTxtG"/>
        <w:spacing w:line="234" w:lineRule="atLeast"/>
      </w:pPr>
      <w:r w:rsidRPr="00AD1756">
        <w:t>3.</w:t>
      </w:r>
      <w:r w:rsidRPr="00AD1756">
        <w:tab/>
        <w:t>Поддержка новых технологий и инноваций на внутреннем транспорте:</w:t>
      </w:r>
    </w:p>
    <w:p w14:paraId="75C054CC" w14:textId="77777777" w:rsidR="00C428E5" w:rsidRPr="00AD1756" w:rsidRDefault="00C428E5" w:rsidP="00AD1756">
      <w:pPr>
        <w:pStyle w:val="SingleTxtG"/>
        <w:spacing w:line="234" w:lineRule="atLeast"/>
      </w:pPr>
      <w:r w:rsidRPr="00AD1756">
        <w:tab/>
      </w:r>
      <w:r w:rsidRPr="00AD1756">
        <w:tab/>
        <w:t>цифровая/</w:t>
      </w:r>
      <w:r w:rsidR="00CA6CBF" w:rsidRPr="00AD1756">
        <w:t>«</w:t>
      </w:r>
      <w:r w:rsidRPr="00AD1756">
        <w:t>умная</w:t>
      </w:r>
      <w:r w:rsidR="00CA6CBF" w:rsidRPr="00AD1756">
        <w:t>»</w:t>
      </w:r>
      <w:r w:rsidRPr="00AD1756">
        <w:t xml:space="preserve"> дорожная инфраструктура.</w:t>
      </w:r>
    </w:p>
    <w:p w14:paraId="6E821BC7" w14:textId="77777777" w:rsidR="00C428E5" w:rsidRPr="00AD1756" w:rsidRDefault="00C428E5" w:rsidP="00AD1756">
      <w:pPr>
        <w:pStyle w:val="SingleTxtG"/>
        <w:spacing w:line="234" w:lineRule="atLeast"/>
        <w:ind w:left="1701" w:hanging="567"/>
      </w:pPr>
      <w:r w:rsidRPr="00AD1756">
        <w:t>4.</w:t>
      </w:r>
      <w:r w:rsidRPr="00AD1756">
        <w:tab/>
        <w:t>Региональный, межрегиональный и глобальный диалог по вопросам политики в области внутреннего транспорта:</w:t>
      </w:r>
    </w:p>
    <w:p w14:paraId="1070A34C" w14:textId="77777777" w:rsidR="00C428E5" w:rsidRPr="00AD1756" w:rsidRDefault="00C428E5" w:rsidP="00AD1756">
      <w:pPr>
        <w:pStyle w:val="SingleTxtG"/>
        <w:spacing w:line="234" w:lineRule="atLeast"/>
        <w:ind w:left="1701" w:hanging="567"/>
      </w:pPr>
      <w:r w:rsidRPr="00AD1756">
        <w:tab/>
      </w:r>
      <w:r w:rsidRPr="00AD1756">
        <w:tab/>
        <w:t>количественные ограничения на международные автомобильные перевозки грузов.</w:t>
      </w:r>
    </w:p>
    <w:p w14:paraId="4C3553C7" w14:textId="77777777" w:rsidR="00C428E5" w:rsidRPr="00AD1756" w:rsidRDefault="00C428E5" w:rsidP="00AD1756">
      <w:pPr>
        <w:pStyle w:val="SingleTxtG"/>
        <w:spacing w:line="234" w:lineRule="atLeast"/>
        <w:ind w:left="1689" w:hanging="555"/>
      </w:pPr>
      <w:r w:rsidRPr="00AD1756">
        <w:t>5.</w:t>
      </w:r>
      <w:r w:rsidRPr="00AD1756">
        <w:tab/>
        <w:t>Содействие обеспечению устойчивого регионального и межрегионального сообщения и мобильности на внутреннем транспорте:</w:t>
      </w:r>
    </w:p>
    <w:p w14:paraId="34DBE9D6" w14:textId="77777777" w:rsidR="00C428E5" w:rsidRPr="00AD1756" w:rsidRDefault="00C428E5" w:rsidP="00AD1756">
      <w:pPr>
        <w:pStyle w:val="SingleTxtG"/>
        <w:spacing w:line="234" w:lineRule="atLeast"/>
      </w:pPr>
      <w:r w:rsidRPr="00AD1756">
        <w:tab/>
      </w:r>
      <w:r w:rsidRPr="00AD1756">
        <w:tab/>
        <w:t>a)</w:t>
      </w:r>
      <w:r w:rsidRPr="00AD1756">
        <w:tab/>
        <w:t>безопасная и устойчивая дорожная инфраструктура;</w:t>
      </w:r>
    </w:p>
    <w:p w14:paraId="73A689D6" w14:textId="77777777" w:rsidR="00C428E5" w:rsidRPr="00AD1756" w:rsidRDefault="00C428E5" w:rsidP="00AD1756">
      <w:pPr>
        <w:pStyle w:val="SingleTxtG"/>
        <w:spacing w:line="234" w:lineRule="atLeast"/>
      </w:pPr>
      <w:r w:rsidRPr="00AD1756">
        <w:tab/>
      </w:r>
      <w:r w:rsidRPr="00AD1756">
        <w:tab/>
      </w:r>
      <w:r w:rsidRPr="00AD1756">
        <w:tab/>
        <w:t>i)</w:t>
      </w:r>
      <w:r w:rsidRPr="00AD1756">
        <w:tab/>
        <w:t>проверки и аудиты безопасности дорог;</w:t>
      </w:r>
    </w:p>
    <w:p w14:paraId="5702C170" w14:textId="77777777" w:rsidR="00C428E5" w:rsidRPr="00AD1756" w:rsidRDefault="00C428E5" w:rsidP="00AD1756">
      <w:pPr>
        <w:pStyle w:val="SingleTxtG"/>
        <w:spacing w:line="234" w:lineRule="atLeast"/>
        <w:ind w:left="2835" w:hanging="567"/>
      </w:pPr>
      <w:r w:rsidRPr="00AD1756">
        <w:t>ii)</w:t>
      </w:r>
      <w:r w:rsidRPr="00AD1756">
        <w:tab/>
        <w:t xml:space="preserve">последствия изменения климата для международных транспортных сетей и узлов и адаптация к ним; </w:t>
      </w:r>
    </w:p>
    <w:p w14:paraId="1FC3D8B4" w14:textId="77777777" w:rsidR="00C428E5" w:rsidRPr="00AD1756" w:rsidRDefault="00C428E5" w:rsidP="00AD1756">
      <w:pPr>
        <w:pStyle w:val="SingleTxtG"/>
        <w:spacing w:line="234" w:lineRule="atLeast"/>
        <w:ind w:left="2835" w:hanging="567"/>
      </w:pPr>
      <w:r w:rsidRPr="00AD1756">
        <w:t>iii)</w:t>
      </w:r>
      <w:r w:rsidRPr="00AD1756">
        <w:tab/>
        <w:t>сопоставительный анализ для транспортной инфраструктуры;</w:t>
      </w:r>
    </w:p>
    <w:p w14:paraId="375D4443" w14:textId="77777777" w:rsidR="00C428E5" w:rsidRPr="00AD1756" w:rsidRDefault="00C428E5" w:rsidP="00AD1756">
      <w:pPr>
        <w:pStyle w:val="SingleTxtG"/>
        <w:spacing w:line="234" w:lineRule="atLeast"/>
      </w:pPr>
      <w:r w:rsidRPr="00AD1756">
        <w:tab/>
      </w:r>
      <w:r w:rsidRPr="00AD1756">
        <w:tab/>
        <w:t>b)</w:t>
      </w:r>
      <w:r w:rsidRPr="00AD1756">
        <w:tab/>
        <w:t>Проект трансъевропейской автомагистрали Север</w:t>
      </w:r>
      <w:r w:rsidR="00AD1756" w:rsidRPr="00AD1756">
        <w:t xml:space="preserve"> — </w:t>
      </w:r>
      <w:r w:rsidRPr="00AD1756">
        <w:t>Юг (ТЕА).</w:t>
      </w:r>
    </w:p>
    <w:p w14:paraId="10109423" w14:textId="77777777" w:rsidR="00C428E5" w:rsidRPr="00AD1756" w:rsidRDefault="00C428E5" w:rsidP="00AD1756">
      <w:pPr>
        <w:pStyle w:val="SingleTxtG"/>
        <w:spacing w:line="234" w:lineRule="atLeast"/>
      </w:pPr>
      <w:r w:rsidRPr="00AD1756">
        <w:t>6.</w:t>
      </w:r>
      <w:r w:rsidRPr="00AD1756">
        <w:tab/>
        <w:t>Облегчение международных автомобильных перевозок:</w:t>
      </w:r>
    </w:p>
    <w:p w14:paraId="670FB55D" w14:textId="77777777" w:rsidR="00C428E5" w:rsidRPr="00AD1756" w:rsidRDefault="00C428E5" w:rsidP="00AD1756">
      <w:pPr>
        <w:pStyle w:val="SingleTxtG"/>
        <w:spacing w:line="234" w:lineRule="atLeast"/>
        <w:ind w:left="1701" w:hanging="567"/>
      </w:pPr>
      <w:r w:rsidRPr="00AD1756">
        <w:tab/>
      </w:r>
      <w:r w:rsidRPr="00AD1756">
        <w:tab/>
        <w:t xml:space="preserve">международная система страхования автотранспортных средств («Зеленая карта»). </w:t>
      </w:r>
    </w:p>
    <w:p w14:paraId="60ADA8E5" w14:textId="77777777" w:rsidR="00C428E5" w:rsidRPr="00AD1756" w:rsidRDefault="00C428E5" w:rsidP="00AD1756">
      <w:pPr>
        <w:pStyle w:val="SingleTxtG"/>
        <w:spacing w:line="234" w:lineRule="atLeast"/>
      </w:pPr>
      <w:r w:rsidRPr="00AD1756">
        <w:t>7.</w:t>
      </w:r>
      <w:r w:rsidRPr="00AD1756">
        <w:tab/>
        <w:t>Пересмотр круга ведения и правил процедуры SC.1.</w:t>
      </w:r>
    </w:p>
    <w:p w14:paraId="0135398E" w14:textId="77777777" w:rsidR="00C428E5" w:rsidRPr="00AD1756" w:rsidRDefault="00C428E5" w:rsidP="00AD1756">
      <w:pPr>
        <w:pStyle w:val="SingleTxtG"/>
        <w:spacing w:line="234" w:lineRule="atLeast"/>
      </w:pPr>
      <w:r w:rsidRPr="00AD1756">
        <w:t>8.</w:t>
      </w:r>
      <w:r w:rsidRPr="00AD1756">
        <w:tab/>
        <w:t>Деятельность, представляющая интерес для Рабочей группы:</w:t>
      </w:r>
    </w:p>
    <w:p w14:paraId="71EDA053" w14:textId="77777777" w:rsidR="00C428E5" w:rsidRPr="00AD1756" w:rsidRDefault="00C428E5" w:rsidP="00AD1756">
      <w:pPr>
        <w:pStyle w:val="SingleTxtG"/>
        <w:spacing w:line="234" w:lineRule="atLeast"/>
      </w:pPr>
      <w:r w:rsidRPr="00AD1756">
        <w:tab/>
      </w:r>
      <w:r w:rsidRPr="00AD1756">
        <w:tab/>
        <w:t>a)</w:t>
      </w:r>
      <w:r w:rsidRPr="00AD1756">
        <w:tab/>
        <w:t>национальные делегации;</w:t>
      </w:r>
    </w:p>
    <w:p w14:paraId="442C82A5" w14:textId="77777777" w:rsidR="00C428E5" w:rsidRPr="00AD1756" w:rsidRDefault="00C428E5" w:rsidP="00AD1756">
      <w:pPr>
        <w:pStyle w:val="SingleTxtG"/>
        <w:spacing w:line="234" w:lineRule="atLeast"/>
      </w:pPr>
      <w:r w:rsidRPr="00AD1756">
        <w:tab/>
      </w:r>
      <w:r w:rsidRPr="00AD1756">
        <w:tab/>
        <w:t>b)</w:t>
      </w:r>
      <w:r w:rsidRPr="00AD1756">
        <w:tab/>
        <w:t>международные организации;</w:t>
      </w:r>
    </w:p>
    <w:p w14:paraId="7A9CC7EF" w14:textId="77777777" w:rsidR="00C428E5" w:rsidRPr="00AD1756" w:rsidRDefault="00C428E5" w:rsidP="00AD1756">
      <w:pPr>
        <w:pStyle w:val="SingleTxtG"/>
        <w:spacing w:line="234" w:lineRule="atLeast"/>
        <w:ind w:left="2268" w:hanging="567"/>
      </w:pPr>
      <w:r w:rsidRPr="00AD1756">
        <w:t>с)</w:t>
      </w:r>
      <w:r w:rsidRPr="00AD1756">
        <w:tab/>
        <w:t>деятельность органов Европейской экономической комиссии Организации Объединенных Наций (ЕЭК ООН) и других организаций системы Организации Объединенных Наций.</w:t>
      </w:r>
    </w:p>
    <w:p w14:paraId="6BAF0D6A" w14:textId="77777777" w:rsidR="00C428E5" w:rsidRPr="00AD1756" w:rsidRDefault="00C428E5" w:rsidP="00AD1756">
      <w:pPr>
        <w:pStyle w:val="SingleTxtG"/>
        <w:spacing w:line="234" w:lineRule="atLeast"/>
      </w:pPr>
      <w:r w:rsidRPr="00AD1756">
        <w:t>9.</w:t>
      </w:r>
      <w:r w:rsidRPr="00AD1756">
        <w:tab/>
        <w:t>Прочие вопросы.</w:t>
      </w:r>
    </w:p>
    <w:p w14:paraId="35A2836F" w14:textId="77777777" w:rsidR="00C428E5" w:rsidRPr="00AD1756" w:rsidRDefault="00C428E5" w:rsidP="00AD1756">
      <w:pPr>
        <w:pStyle w:val="SingleTxtG"/>
        <w:spacing w:line="234" w:lineRule="atLeast"/>
        <w:rPr>
          <w:rStyle w:val="SingleTxtGChar"/>
        </w:rPr>
      </w:pPr>
      <w:r w:rsidRPr="00AD1756">
        <w:t>10.</w:t>
      </w:r>
      <w:r w:rsidRPr="00AD1756">
        <w:tab/>
        <w:t>Сроки проведения следующей сессии.</w:t>
      </w:r>
    </w:p>
    <w:p w14:paraId="369910C4" w14:textId="77777777" w:rsidR="00C428E5" w:rsidRPr="00AD1756" w:rsidRDefault="00C428E5" w:rsidP="00AD1756">
      <w:pPr>
        <w:pStyle w:val="SingleTxtG"/>
        <w:spacing w:line="234" w:lineRule="atLeast"/>
        <w:rPr>
          <w:rStyle w:val="SingleTxtGChar"/>
        </w:rPr>
      </w:pPr>
      <w:r w:rsidRPr="00AD1756">
        <w:t>11.</w:t>
      </w:r>
      <w:r w:rsidRPr="00AD1756">
        <w:tab/>
        <w:t>Выборы должностных лиц</w:t>
      </w:r>
      <w:r w:rsidR="00AD1756">
        <w:t>.</w:t>
      </w:r>
    </w:p>
    <w:p w14:paraId="29250812" w14:textId="77777777" w:rsidR="00C428E5" w:rsidRPr="00AD1756" w:rsidRDefault="00C428E5" w:rsidP="00AD1756">
      <w:pPr>
        <w:pStyle w:val="SingleTxtG"/>
        <w:spacing w:line="234" w:lineRule="atLeast"/>
      </w:pPr>
      <w:r w:rsidRPr="00AD1756">
        <w:lastRenderedPageBreak/>
        <w:t>12.</w:t>
      </w:r>
      <w:r w:rsidRPr="00AD1756">
        <w:tab/>
        <w:t>Утверждение доклада.</w:t>
      </w:r>
    </w:p>
    <w:p w14:paraId="0CB35E5A" w14:textId="77777777" w:rsidR="00C428E5" w:rsidRPr="00AD1756" w:rsidRDefault="00C428E5" w:rsidP="00C428E5">
      <w:pPr>
        <w:pStyle w:val="HChG"/>
        <w:rPr>
          <w:sz w:val="22"/>
          <w:szCs w:val="22"/>
        </w:rPr>
      </w:pPr>
      <w:r w:rsidRPr="00AD1756">
        <w:tab/>
        <w:t>II.</w:t>
      </w:r>
      <w:r w:rsidRPr="00AD1756">
        <w:tab/>
      </w:r>
      <w:r w:rsidRPr="00AD1756">
        <w:rPr>
          <w:bCs/>
        </w:rPr>
        <w:t>Аннотации</w:t>
      </w:r>
    </w:p>
    <w:p w14:paraId="583764EE" w14:textId="77777777" w:rsidR="00C428E5" w:rsidRPr="00AD1756" w:rsidRDefault="00C428E5" w:rsidP="00C428E5">
      <w:pPr>
        <w:pStyle w:val="H1G"/>
        <w:rPr>
          <w:sz w:val="22"/>
          <w:szCs w:val="22"/>
        </w:rPr>
      </w:pPr>
      <w:r w:rsidRPr="00AD1756">
        <w:tab/>
        <w:t>1.</w:t>
      </w:r>
      <w:r w:rsidRPr="00AD1756">
        <w:tab/>
      </w:r>
      <w:r w:rsidRPr="00AD1756">
        <w:rPr>
          <w:bCs/>
        </w:rPr>
        <w:t>Утверждение повестки дня</w:t>
      </w:r>
    </w:p>
    <w:p w14:paraId="6027EE2D" w14:textId="77777777" w:rsidR="00C428E5" w:rsidRPr="00AD1756" w:rsidRDefault="00C428E5" w:rsidP="00C428E5">
      <w:pPr>
        <w:pStyle w:val="SingleTxtG"/>
      </w:pPr>
      <w:r w:rsidRPr="00AD1756">
        <w:tab/>
      </w:r>
      <w:r w:rsidRPr="00AD1756">
        <w:tab/>
        <w:t xml:space="preserve">Рабочей группе по автомобильному транспорту (SC.1) будет предложено утвердить повестку дня сессии. </w:t>
      </w:r>
    </w:p>
    <w:p w14:paraId="76E92DE1" w14:textId="77777777" w:rsidR="00C428E5" w:rsidRPr="00AD1756" w:rsidRDefault="00C428E5" w:rsidP="00C428E5">
      <w:pPr>
        <w:pStyle w:val="SingleTxtG"/>
        <w:keepNext/>
        <w:keepLines/>
        <w:rPr>
          <w:b/>
          <w:bCs/>
        </w:rPr>
      </w:pPr>
      <w:r w:rsidRPr="00AD1756">
        <w:rPr>
          <w:b/>
          <w:bCs/>
        </w:rPr>
        <w:t>Документация</w:t>
      </w:r>
      <w:r w:rsidRPr="00AD1756">
        <w:t xml:space="preserve"> </w:t>
      </w:r>
    </w:p>
    <w:p w14:paraId="6A920267" w14:textId="77777777" w:rsidR="00C428E5" w:rsidRPr="00AD1756" w:rsidRDefault="00C428E5" w:rsidP="00C428E5">
      <w:pPr>
        <w:pStyle w:val="SingleTxtG"/>
        <w:keepNext/>
        <w:keepLines/>
      </w:pPr>
      <w:r w:rsidRPr="00AD1756">
        <w:t>ECE/TRANS/SC.1/413</w:t>
      </w:r>
    </w:p>
    <w:p w14:paraId="7E731862" w14:textId="77777777" w:rsidR="00C428E5" w:rsidRPr="00AD1756" w:rsidRDefault="00C428E5" w:rsidP="00C428E5">
      <w:pPr>
        <w:pStyle w:val="H1G"/>
      </w:pPr>
      <w:r w:rsidRPr="00AD1756">
        <w:tab/>
        <w:t>2.</w:t>
      </w:r>
      <w:r w:rsidRPr="00AD1756">
        <w:tab/>
      </w:r>
      <w:r w:rsidRPr="00AD1756">
        <w:rPr>
          <w:bCs/>
        </w:rPr>
        <w:t>Документы по внутреннему транспорту</w:t>
      </w:r>
    </w:p>
    <w:p w14:paraId="207B682E" w14:textId="77777777" w:rsidR="00C428E5" w:rsidRPr="00AD1756" w:rsidRDefault="00CA6CBF" w:rsidP="00CA6CBF">
      <w:pPr>
        <w:pStyle w:val="H23G"/>
      </w:pPr>
      <w:r w:rsidRPr="00AD1756">
        <w:tab/>
      </w:r>
      <w:r w:rsidR="00C428E5" w:rsidRPr="00AD1756">
        <w:t>a)</w:t>
      </w:r>
      <w:r w:rsidR="00C428E5" w:rsidRPr="00AD1756">
        <w:tab/>
        <w:t>Европейское соглашение, касающееся работы экипажей транспортных средств, производящих международные автомобильные перевозки (ЕСТР)</w:t>
      </w:r>
    </w:p>
    <w:p w14:paraId="39587ADD" w14:textId="77777777" w:rsidR="00C428E5" w:rsidRPr="00AD1756" w:rsidRDefault="00CA6CBF" w:rsidP="00C428E5">
      <w:pPr>
        <w:pStyle w:val="H4G"/>
      </w:pPr>
      <w:r w:rsidRPr="00AD1756">
        <w:tab/>
      </w:r>
      <w:r w:rsidR="00C428E5" w:rsidRPr="00AD1756">
        <w:t>i)</w:t>
      </w:r>
      <w:r w:rsidR="00C428E5" w:rsidRPr="00AD1756">
        <w:tab/>
      </w:r>
      <w:r w:rsidR="00C428E5" w:rsidRPr="00AD1756">
        <w:rPr>
          <w:iCs/>
        </w:rPr>
        <w:t>Статус Соглашения</w:t>
      </w:r>
    </w:p>
    <w:p w14:paraId="126E3513" w14:textId="77777777" w:rsidR="00C428E5" w:rsidRPr="00AD1756" w:rsidRDefault="00CA6CBF" w:rsidP="00C428E5">
      <w:pPr>
        <w:pStyle w:val="SingleTxtG"/>
      </w:pPr>
      <w:r w:rsidRPr="00AD1756">
        <w:tab/>
      </w:r>
      <w:r w:rsidRPr="00AD1756">
        <w:tab/>
      </w:r>
      <w:r w:rsidR="00C428E5" w:rsidRPr="00AD1756">
        <w:t>Секретариат проинформирует SC.1 о статусе Соглашения ЕСТР, в частности о заинтересованности правительства Египта в принятии поправки к статье 14, с тем чтобы эта страна могла присоединиться к Соглашению ЕСТР.</w:t>
      </w:r>
    </w:p>
    <w:p w14:paraId="28F6C3A4" w14:textId="77777777" w:rsidR="00C428E5" w:rsidRPr="00AD1756" w:rsidRDefault="00CA6CBF" w:rsidP="00C428E5">
      <w:pPr>
        <w:pStyle w:val="H4G"/>
      </w:pPr>
      <w:r w:rsidRPr="00AD1756">
        <w:tab/>
      </w:r>
      <w:r w:rsidR="00C428E5" w:rsidRPr="00AD1756">
        <w:t>ii)</w:t>
      </w:r>
      <w:r w:rsidR="00C428E5" w:rsidRPr="00AD1756">
        <w:tab/>
      </w:r>
      <w:r w:rsidR="00C428E5" w:rsidRPr="00AD1756">
        <w:rPr>
          <w:iCs/>
        </w:rPr>
        <w:t>Группа экспертов по ЕСТР</w:t>
      </w:r>
    </w:p>
    <w:p w14:paraId="1DBC24BA" w14:textId="77777777" w:rsidR="00C428E5" w:rsidRPr="00AD1756" w:rsidRDefault="00CA6CBF" w:rsidP="00C428E5">
      <w:pPr>
        <w:pStyle w:val="SingleTxtG"/>
      </w:pPr>
      <w:r w:rsidRPr="00AD1756">
        <w:tab/>
      </w:r>
      <w:r w:rsidRPr="00AD1756">
        <w:tab/>
      </w:r>
      <w:r w:rsidR="00C428E5" w:rsidRPr="00AD1756">
        <w:t xml:space="preserve">Председатель Группы экспертов по ЕСТР представит SC.1 обновленную информацию о работе Группы экспертов по ЕСТР, в частности о ее работе по устранению различий в режимах ЕСТР в договаривающихся сторонах </w:t>
      </w:r>
      <w:r w:rsidRPr="00AD1756">
        <w:t xml:space="preserve">— </w:t>
      </w:r>
      <w:r w:rsidR="00C428E5" w:rsidRPr="00AD1756">
        <w:t>членах Европейского союза и договаривающихся сторонах, не входящих в Европейский союз, после внедрения смарт-тахографов на территории договаривающихся сторон ЕСТР, являющихся членами ЕС, 15 июня 2019 года (ECE/TRANS/SC.1/GE.21/53).</w:t>
      </w:r>
    </w:p>
    <w:p w14:paraId="55D9A53F" w14:textId="77777777" w:rsidR="00C428E5" w:rsidRPr="00AD1756" w:rsidRDefault="00CA6CBF" w:rsidP="00C428E5">
      <w:pPr>
        <w:pStyle w:val="SingleTxtG"/>
      </w:pPr>
      <w:r w:rsidRPr="00AD1756">
        <w:tab/>
      </w:r>
      <w:r w:rsidRPr="00AD1756">
        <w:tab/>
      </w:r>
      <w:r w:rsidR="00C428E5" w:rsidRPr="00AD1756">
        <w:t>На сто четырнадцатой сессии Европейская комиссия передала документ ECE/TRANS/SC.1/GE.21/2019/1/Rev.1, представленный Австрией, в котором содержится проект текста возможного нового приложения к Соглашению ЕСТР, касающегося ТАХОнет. Европейской комиссии будет предложено проинформировать о состоянии проекта ТАХОнет.</w:t>
      </w:r>
    </w:p>
    <w:p w14:paraId="19A54C23" w14:textId="77777777" w:rsidR="00C428E5" w:rsidRPr="00AD1756" w:rsidRDefault="00CA6CBF" w:rsidP="00C428E5">
      <w:pPr>
        <w:pStyle w:val="SingleTxtG"/>
      </w:pPr>
      <w:r w:rsidRPr="00AD1756">
        <w:tab/>
      </w:r>
      <w:r w:rsidRPr="00AD1756">
        <w:tab/>
      </w:r>
      <w:r w:rsidR="00C428E5" w:rsidRPr="00AD1756">
        <w:t xml:space="preserve">Кроме того, на последней сессии SC.1 рассмотрела вопрос об изменении названия Соглашения ЕСТР путем исключения из названия термина </w:t>
      </w:r>
      <w:r w:rsidRPr="00AD1756">
        <w:t>«</w:t>
      </w:r>
      <w:r w:rsidR="00C428E5" w:rsidRPr="00AD1756">
        <w:t>Европейское</w:t>
      </w:r>
      <w:r w:rsidRPr="00AD1756">
        <w:t>»</w:t>
      </w:r>
      <w:r w:rsidR="00C428E5" w:rsidRPr="00AD1756">
        <w:t xml:space="preserve"> и согласилась сохранить этот вопрос в повестке дня будущих сессий. Внесение этого изменения соответствовало бы нынешней ситуации, когда право присоединиться к Соглашению имеют пять неевропейских стран, а также указанным в стратегии КВТ (ECE/TRANS/288/Add.2, таблица 1) приоритетным действиям по внесению поправок в правовые документы с учетом географических и процедурных барьеров до 2025 года. Рабочей группе предлагается вернуться к этому обсуждению, если к нему будет проявлен интерес.</w:t>
      </w:r>
    </w:p>
    <w:p w14:paraId="7566A3EB" w14:textId="77777777" w:rsidR="00C428E5" w:rsidRPr="00AD1756" w:rsidRDefault="00C428E5" w:rsidP="00C428E5">
      <w:pPr>
        <w:pStyle w:val="SingleTxtG"/>
        <w:rPr>
          <w:b/>
          <w:bCs/>
        </w:rPr>
      </w:pPr>
      <w:r w:rsidRPr="00AD1756">
        <w:rPr>
          <w:b/>
          <w:bCs/>
        </w:rPr>
        <w:t>Документация</w:t>
      </w:r>
    </w:p>
    <w:p w14:paraId="7DAB59F7" w14:textId="77777777" w:rsidR="00C428E5" w:rsidRPr="00AD1756" w:rsidRDefault="00C428E5" w:rsidP="00C428E5">
      <w:pPr>
        <w:pStyle w:val="SingleTxtG"/>
        <w:jc w:val="left"/>
        <w:rPr>
          <w:sz w:val="22"/>
          <w:szCs w:val="22"/>
        </w:rPr>
      </w:pPr>
      <w:r w:rsidRPr="00AD1756">
        <w:t xml:space="preserve">ECE/TRANS/SC.1/GE.21/2019/1/Rev.1 и ECE/TRANS/SC.1/GE.21/53 </w:t>
      </w:r>
    </w:p>
    <w:p w14:paraId="31A752A4" w14:textId="77777777" w:rsidR="00C428E5" w:rsidRPr="00AD1756" w:rsidRDefault="00CA6CBF" w:rsidP="00C428E5">
      <w:pPr>
        <w:pStyle w:val="H23G"/>
      </w:pPr>
      <w:r w:rsidRPr="00AD1756">
        <w:tab/>
      </w:r>
      <w:r w:rsidR="00C428E5" w:rsidRPr="00AD1756">
        <w:t>b)</w:t>
      </w:r>
      <w:r w:rsidR="00C428E5" w:rsidRPr="00AD1756">
        <w:tab/>
      </w:r>
      <w:r w:rsidR="00C428E5" w:rsidRPr="00AD1756">
        <w:rPr>
          <w:bCs/>
        </w:rPr>
        <w:t>Европейское соглашение о международных автомагистралях (СМА)</w:t>
      </w:r>
    </w:p>
    <w:p w14:paraId="7B1A256E" w14:textId="77777777" w:rsidR="00C428E5" w:rsidRPr="00AD1756" w:rsidRDefault="00CA6CBF" w:rsidP="00C428E5">
      <w:pPr>
        <w:pStyle w:val="H4G"/>
      </w:pPr>
      <w:r w:rsidRPr="00AD1756">
        <w:tab/>
      </w:r>
      <w:r w:rsidR="00C428E5" w:rsidRPr="00AD1756">
        <w:t>i)</w:t>
      </w:r>
      <w:r w:rsidR="00C428E5" w:rsidRPr="00AD1756">
        <w:tab/>
      </w:r>
      <w:r w:rsidR="00C428E5" w:rsidRPr="00AD1756">
        <w:rPr>
          <w:iCs/>
        </w:rPr>
        <w:t>Статус Соглашения</w:t>
      </w:r>
    </w:p>
    <w:p w14:paraId="351AF495" w14:textId="77777777" w:rsidR="00C428E5" w:rsidRPr="00AD1756" w:rsidRDefault="00CA6CBF" w:rsidP="00C428E5">
      <w:pPr>
        <w:pStyle w:val="SingleTxtG"/>
      </w:pPr>
      <w:r w:rsidRPr="00AD1756">
        <w:tab/>
      </w:r>
      <w:r w:rsidRPr="00AD1756">
        <w:tab/>
      </w:r>
      <w:r w:rsidR="00C428E5" w:rsidRPr="00AD1756">
        <w:t>Секретариат проинформирует SC.1 о статусе СМА.</w:t>
      </w:r>
    </w:p>
    <w:p w14:paraId="6625C946" w14:textId="77777777" w:rsidR="00C428E5" w:rsidRPr="00AD1756" w:rsidRDefault="00CA6CBF" w:rsidP="00C428E5">
      <w:pPr>
        <w:pStyle w:val="H4G"/>
      </w:pPr>
      <w:r w:rsidRPr="00AD1756">
        <w:lastRenderedPageBreak/>
        <w:tab/>
      </w:r>
      <w:r w:rsidR="00C428E5" w:rsidRPr="00AD1756">
        <w:t>ii)</w:t>
      </w:r>
      <w:r w:rsidR="00C428E5" w:rsidRPr="00AD1756">
        <w:tab/>
      </w:r>
      <w:r w:rsidR="00C428E5" w:rsidRPr="00AD1756">
        <w:rPr>
          <w:iCs/>
        </w:rPr>
        <w:t>Поправки к Соглашению</w:t>
      </w:r>
    </w:p>
    <w:p w14:paraId="52A777C4" w14:textId="77777777" w:rsidR="00C428E5" w:rsidRPr="00AD1756" w:rsidRDefault="00CA6CBF" w:rsidP="00C428E5">
      <w:pPr>
        <w:pStyle w:val="SingleTxtG"/>
      </w:pPr>
      <w:r w:rsidRPr="00AD1756">
        <w:tab/>
      </w:r>
      <w:r w:rsidRPr="00AD1756">
        <w:tab/>
      </w:r>
      <w:r w:rsidR="00C428E5" w:rsidRPr="00AD1756">
        <w:t>На сто четырнадцатой сессии секретариат обратил внимание на статью 5 СМА, в которой рассматривается право стать договаривающейся стороной. Члены SC.1 решили проконсультироваться с правительствами своих стран относительно целесообразности открытия Соглашения для присоединения стран, не являющихся членами ЕЭК, а также вернуться к этому вопросу на нынешней сессии.</w:t>
      </w:r>
    </w:p>
    <w:p w14:paraId="7DAA8546" w14:textId="77777777" w:rsidR="00C428E5" w:rsidRPr="00AD1756" w:rsidRDefault="00CA6CBF" w:rsidP="00C428E5">
      <w:pPr>
        <w:pStyle w:val="H23G"/>
      </w:pPr>
      <w:r w:rsidRPr="00AD1756">
        <w:tab/>
      </w:r>
      <w:r w:rsidR="00C428E5" w:rsidRPr="00AD1756">
        <w:t>c)</w:t>
      </w:r>
      <w:r w:rsidR="00C428E5" w:rsidRPr="00AD1756">
        <w:tab/>
      </w:r>
      <w:r w:rsidR="00C428E5" w:rsidRPr="00AD1756">
        <w:rPr>
          <w:bCs/>
        </w:rPr>
        <w:t>Конвенция о договоре международной дорожной перевозки грузов (КДПГ)</w:t>
      </w:r>
    </w:p>
    <w:p w14:paraId="11C7BDED" w14:textId="77777777" w:rsidR="00C428E5" w:rsidRPr="00AD1756" w:rsidRDefault="00CA6CBF" w:rsidP="00C428E5">
      <w:pPr>
        <w:pStyle w:val="H4G"/>
      </w:pPr>
      <w:r w:rsidRPr="00AD1756">
        <w:tab/>
      </w:r>
      <w:r w:rsidR="00C428E5" w:rsidRPr="00AD1756">
        <w:t>i)</w:t>
      </w:r>
      <w:r w:rsidR="00C428E5" w:rsidRPr="00AD1756">
        <w:tab/>
      </w:r>
      <w:r w:rsidR="00C428E5" w:rsidRPr="00AD1756">
        <w:rPr>
          <w:iCs/>
        </w:rPr>
        <w:t>Статус Конвенции</w:t>
      </w:r>
    </w:p>
    <w:p w14:paraId="36CDEB5D" w14:textId="77777777" w:rsidR="00C428E5" w:rsidRPr="00AD1756" w:rsidRDefault="00CA6CBF" w:rsidP="00C428E5">
      <w:pPr>
        <w:pStyle w:val="SingleTxtG"/>
      </w:pPr>
      <w:r w:rsidRPr="00AD1756">
        <w:tab/>
      </w:r>
      <w:r w:rsidRPr="00AD1756">
        <w:tab/>
      </w:r>
      <w:r w:rsidR="00C428E5" w:rsidRPr="00AD1756">
        <w:t>Секретариат проинформирует SC.1 о статусе Конвенции.</w:t>
      </w:r>
    </w:p>
    <w:p w14:paraId="14CB2674" w14:textId="77777777" w:rsidR="00C428E5" w:rsidRPr="00AD1756" w:rsidRDefault="00CA6CBF" w:rsidP="00C428E5">
      <w:pPr>
        <w:pStyle w:val="H4G"/>
      </w:pPr>
      <w:r w:rsidRPr="00AD1756">
        <w:tab/>
      </w:r>
      <w:r w:rsidR="00C428E5" w:rsidRPr="00AD1756">
        <w:t>ii)</w:t>
      </w:r>
      <w:r w:rsidR="00C428E5" w:rsidRPr="00AD1756">
        <w:tab/>
      </w:r>
      <w:r w:rsidR="00C428E5" w:rsidRPr="00AD1756">
        <w:rPr>
          <w:iCs/>
        </w:rPr>
        <w:t>Протокол к Конвенции о договоре международной дорожной перевозки грузов (КДПГ)</w:t>
      </w:r>
    </w:p>
    <w:p w14:paraId="508EF78C" w14:textId="77777777" w:rsidR="00C428E5" w:rsidRPr="00AD1756" w:rsidRDefault="00CA6CBF" w:rsidP="00C428E5">
      <w:pPr>
        <w:pStyle w:val="SingleTxtG"/>
      </w:pPr>
      <w:r w:rsidRPr="00AD1756">
        <w:tab/>
      </w:r>
      <w:r w:rsidRPr="00AD1756">
        <w:tab/>
      </w:r>
      <w:r w:rsidR="00C428E5" w:rsidRPr="00AD1756">
        <w:t>Секретариат сообщит SC.1 о статусе Протокола к КДПГ, касающегося электронной накладной, в том числе о присоединении к нему новых стран за время, прошедшее после прошлой сессии.</w:t>
      </w:r>
    </w:p>
    <w:p w14:paraId="17BB93AC" w14:textId="77777777" w:rsidR="00C428E5" w:rsidRPr="00AD1756" w:rsidRDefault="00CA6CBF" w:rsidP="00C428E5">
      <w:pPr>
        <w:pStyle w:val="H4G"/>
      </w:pPr>
      <w:r w:rsidRPr="00AD1756">
        <w:tab/>
      </w:r>
      <w:r w:rsidR="00C428E5" w:rsidRPr="00AD1756">
        <w:t>iii)</w:t>
      </w:r>
      <w:r w:rsidR="00C428E5" w:rsidRPr="00AD1756">
        <w:tab/>
      </w:r>
      <w:r w:rsidR="00C428E5" w:rsidRPr="00AD1756">
        <w:rPr>
          <w:iCs/>
        </w:rPr>
        <w:t>Дополнительный протокол к КДПГ, касающийся электронной накладной (e-CMR)</w:t>
      </w:r>
    </w:p>
    <w:p w14:paraId="121CF0D9" w14:textId="77777777" w:rsidR="00C428E5" w:rsidRPr="00AD1756" w:rsidRDefault="00CA6CBF" w:rsidP="00C428E5">
      <w:pPr>
        <w:pStyle w:val="SingleTxtG"/>
      </w:pPr>
      <w:r w:rsidRPr="00AD1756">
        <w:tab/>
      </w:r>
      <w:r w:rsidRPr="00AD1756">
        <w:tab/>
      </w:r>
      <w:r w:rsidR="00C428E5" w:rsidRPr="00AD1756">
        <w:t>Секретариат проинформирует SC.1 о статусе Дополнительного протокола к КДПГ, касающегося электронной накладной, включая число присоединившихся сторон за время, прошедшее после прошлой сессии.</w:t>
      </w:r>
    </w:p>
    <w:p w14:paraId="7B50739E" w14:textId="77777777" w:rsidR="00C428E5" w:rsidRPr="00AD1756" w:rsidRDefault="00CA6CBF" w:rsidP="00C428E5">
      <w:pPr>
        <w:pStyle w:val="SingleTxtG"/>
      </w:pPr>
      <w:r w:rsidRPr="00AD1756">
        <w:tab/>
      </w:r>
      <w:r w:rsidRPr="00AD1756">
        <w:tab/>
      </w:r>
      <w:r w:rsidR="00C428E5" w:rsidRPr="00AD1756">
        <w:t>На своей сто четырнацатой сессии SC.1 одобрила «беспристрастную» инструкцию по правовым аспектам e-CMR (ECE/TRANS/SC.1/2018/1/Rev.1) и поручила секретариату разместить ее на английском, русском и французском языках на веб-сайте SC.1. Секретариат представит обновленную информацию.</w:t>
      </w:r>
    </w:p>
    <w:p w14:paraId="58707CD7" w14:textId="77777777" w:rsidR="00C428E5" w:rsidRPr="00AD1756" w:rsidRDefault="00CA6CBF" w:rsidP="00C428E5">
      <w:pPr>
        <w:pStyle w:val="SingleTxtG"/>
      </w:pPr>
      <w:r w:rsidRPr="00AD1756">
        <w:tab/>
      </w:r>
      <w:r w:rsidRPr="00AD1756">
        <w:tab/>
      </w:r>
      <w:r w:rsidR="00C428E5" w:rsidRPr="00AD1756">
        <w:t xml:space="preserve">Кроме того, на прошлой сессии SC.1 решила учредить неофициальную группу экспертов в составе представителей Германии, Латвии, Российской Федерации, Словении, Турции, МСАТ и Европейской комиссии с целью подготовки проекта для рассмотрения в SC.1 на следующей сессии. На своей восемьдесят первой сессии в феврале 2019 года КВТ просил подготовить документ с подробным изложением исследований и других рекомендованных мер. К Председателю неофициальной группы экспертов будет обращена просьба представить предлагаемое оглавление из проекта документа (неофициальный документ № 1) и дать общий обзор работы, сроков и прогресса, достигнутого неофициальной группой к настоящему времени. </w:t>
      </w:r>
    </w:p>
    <w:p w14:paraId="6E723B77" w14:textId="77777777" w:rsidR="00C428E5" w:rsidRPr="00AD1756" w:rsidRDefault="00C428E5" w:rsidP="00C428E5">
      <w:pPr>
        <w:pStyle w:val="SingleTxtG"/>
        <w:rPr>
          <w:b/>
          <w:bCs/>
        </w:rPr>
      </w:pPr>
      <w:r w:rsidRPr="00AD1756">
        <w:rPr>
          <w:b/>
          <w:bCs/>
        </w:rPr>
        <w:t>Документация</w:t>
      </w:r>
    </w:p>
    <w:p w14:paraId="2F602BA2" w14:textId="77777777" w:rsidR="00C428E5" w:rsidRPr="00AD1756" w:rsidRDefault="00C428E5" w:rsidP="00C428E5">
      <w:pPr>
        <w:pStyle w:val="SingleTxtG"/>
      </w:pPr>
      <w:r w:rsidRPr="00AD1756">
        <w:t>ECE/TRANS/SC.1/2018/1/Rev.1, неофициальный документ № 1</w:t>
      </w:r>
    </w:p>
    <w:p w14:paraId="1776B2CE" w14:textId="77777777" w:rsidR="00C428E5" w:rsidRPr="00AD1756" w:rsidRDefault="00C428E5" w:rsidP="00C428E5">
      <w:pPr>
        <w:pStyle w:val="H23G"/>
      </w:pPr>
      <w:r w:rsidRPr="00AD1756">
        <w:tab/>
        <w:t>d)</w:t>
      </w:r>
      <w:r w:rsidRPr="00AD1756">
        <w:tab/>
        <w:t>Новый(е) правовой(е) документ(ы):</w:t>
      </w:r>
    </w:p>
    <w:p w14:paraId="3FB65138" w14:textId="77777777" w:rsidR="00C428E5" w:rsidRPr="00AD1756" w:rsidRDefault="00C428E5" w:rsidP="00C428E5">
      <w:pPr>
        <w:pStyle w:val="H23G"/>
      </w:pPr>
      <w:r w:rsidRPr="00AD1756">
        <w:tab/>
      </w:r>
      <w:r w:rsidRPr="00AD1756">
        <w:tab/>
      </w:r>
      <w:r w:rsidRPr="00AD1756">
        <w:rPr>
          <w:bCs/>
        </w:rPr>
        <w:t>Предложение по глобальному многостороннему соглашению о международных регулярных перевозках пассажиров междугородными и городскими автобусами (ОмниБУС)</w:t>
      </w:r>
    </w:p>
    <w:p w14:paraId="505696A7" w14:textId="77777777" w:rsidR="00C428E5" w:rsidRPr="00AD1756" w:rsidRDefault="00CA6CBF" w:rsidP="00C428E5">
      <w:pPr>
        <w:pStyle w:val="SingleTxtG"/>
      </w:pPr>
      <w:r w:rsidRPr="00AD1756">
        <w:tab/>
      </w:r>
      <w:r w:rsidRPr="00AD1756">
        <w:tab/>
      </w:r>
      <w:r w:rsidR="00C428E5" w:rsidRPr="00AD1756">
        <w:t xml:space="preserve">На своей сто четырнадцатой сессии SC.1 возобновила обсуждение с участием представителей Российской Федерации, Турции и Швейцарии. Российская Федерация отметила, что готова принять предлагаемую формулировку, отраженную в пункте 3 статьи 25 в документе ECE/TRANS/SC.1/2015/3, но не «альтернативный вариант». Российская Федерация сняла свою оговорку к пункту 10 приложения VI. Кроме того, Российская Федерация предложила дополнительный текст к разделу «Важное предупреждение» в заявке на выдачу разрешения, содержащейся в приложении I. </w:t>
      </w:r>
    </w:p>
    <w:p w14:paraId="24DE5F2F" w14:textId="77777777" w:rsidR="00C428E5" w:rsidRPr="00AD1756" w:rsidRDefault="00CA6CBF" w:rsidP="00C428E5">
      <w:pPr>
        <w:pStyle w:val="SingleTxtG"/>
      </w:pPr>
      <w:r w:rsidRPr="00AD1756">
        <w:tab/>
      </w:r>
      <w:r w:rsidRPr="00AD1756">
        <w:tab/>
      </w:r>
      <w:r w:rsidR="00C428E5" w:rsidRPr="00AD1756">
        <w:t xml:space="preserve">Председатель просил Российскую Федерацию, Турцию и Швейцарию предпринять совместные усилия (например, в рамках совещаний «друзей Председателя» либо с использованием других неофициальных методов) для доработки текста проекта соглашения и представления доработанного текста в целях его </w:t>
      </w:r>
      <w:r w:rsidR="00C428E5" w:rsidRPr="00AD1756">
        <w:lastRenderedPageBreak/>
        <w:t>принятия на нынешней сессии. В связи с перебоями в обычных рабочих процессах, вызванными пандемией Covid-19, в первой половине 2020 года такие встречи не проводились. Председатель представит обновленную информацию на нынешней сессии.</w:t>
      </w:r>
    </w:p>
    <w:p w14:paraId="01F651BD" w14:textId="77777777" w:rsidR="00C428E5" w:rsidRPr="00AD1756" w:rsidRDefault="00CA6CBF" w:rsidP="00C428E5">
      <w:pPr>
        <w:pStyle w:val="SingleTxtG"/>
      </w:pPr>
      <w:r w:rsidRPr="00AD1756">
        <w:tab/>
      </w:r>
      <w:r w:rsidRPr="00AD1756">
        <w:tab/>
      </w:r>
      <w:r w:rsidR="00C428E5" w:rsidRPr="00AD1756">
        <w:t xml:space="preserve">Европейской комиссии будет предложено проинформировать о состоянии протоколов к Соглашению ИнтерБус (один </w:t>
      </w:r>
      <w:r w:rsidRPr="00AD1756">
        <w:t xml:space="preserve">— </w:t>
      </w:r>
      <w:r w:rsidR="00C428E5" w:rsidRPr="00AD1756">
        <w:t xml:space="preserve">для расширения сферы охвата регулярных сообщений, а второй </w:t>
      </w:r>
      <w:r w:rsidRPr="00AD1756">
        <w:t xml:space="preserve">— </w:t>
      </w:r>
      <w:r w:rsidR="00C428E5" w:rsidRPr="00AD1756">
        <w:t xml:space="preserve">с целью обеспечить возможность присоединения к Соглашению ИнтерБус для Марокко), которые были приняты Советом в 2018 году. </w:t>
      </w:r>
    </w:p>
    <w:p w14:paraId="61AA73F5" w14:textId="77777777" w:rsidR="00C428E5" w:rsidRPr="00AD1756" w:rsidRDefault="00C428E5" w:rsidP="00C428E5">
      <w:pPr>
        <w:pStyle w:val="SingleTxtG"/>
        <w:rPr>
          <w:b/>
          <w:bCs/>
        </w:rPr>
      </w:pPr>
      <w:r w:rsidRPr="00AD1756">
        <w:tab/>
      </w:r>
      <w:r w:rsidRPr="00AD1756">
        <w:rPr>
          <w:b/>
          <w:bCs/>
        </w:rPr>
        <w:t>Документация</w:t>
      </w:r>
    </w:p>
    <w:p w14:paraId="632F75F7" w14:textId="77777777" w:rsidR="00C428E5" w:rsidRPr="00AD1756" w:rsidRDefault="00C428E5" w:rsidP="00C428E5">
      <w:pPr>
        <w:pStyle w:val="SingleTxtG"/>
      </w:pPr>
      <w:r w:rsidRPr="00AD1756">
        <w:t>ECE/TRANS/SC.1/2015/3</w:t>
      </w:r>
    </w:p>
    <w:p w14:paraId="2ECD6E28" w14:textId="77777777" w:rsidR="00C428E5" w:rsidRPr="00AD1756" w:rsidRDefault="00CA6CBF" w:rsidP="00C428E5">
      <w:pPr>
        <w:pStyle w:val="H23G"/>
      </w:pPr>
      <w:r w:rsidRPr="00AD1756">
        <w:tab/>
      </w:r>
      <w:r w:rsidR="00C428E5" w:rsidRPr="00AD1756">
        <w:t>e)</w:t>
      </w:r>
      <w:r w:rsidR="00C428E5" w:rsidRPr="00AD1756">
        <w:tab/>
      </w:r>
      <w:r w:rsidR="00C428E5" w:rsidRPr="00AD1756">
        <w:rPr>
          <w:bCs/>
        </w:rPr>
        <w:t>Сводная резолюция об облегчении международных автомобильных перевозок</w:t>
      </w:r>
      <w:r w:rsidRPr="00AD1756">
        <w:rPr>
          <w:bCs/>
        </w:rPr>
        <w:t> </w:t>
      </w:r>
      <w:r w:rsidR="00C428E5" w:rsidRPr="00AD1756">
        <w:rPr>
          <w:bCs/>
        </w:rPr>
        <w:t>(СР.4)</w:t>
      </w:r>
    </w:p>
    <w:p w14:paraId="1A07BDD0" w14:textId="77777777" w:rsidR="00C428E5" w:rsidRPr="00AD1756" w:rsidRDefault="00C428E5" w:rsidP="00C428E5">
      <w:pPr>
        <w:pStyle w:val="H23G"/>
      </w:pPr>
      <w:r w:rsidRPr="00AD1756">
        <w:tab/>
      </w:r>
      <w:r w:rsidRPr="00AD1756">
        <w:tab/>
      </w:r>
      <w:r w:rsidRPr="00AD1756">
        <w:rPr>
          <w:bCs/>
        </w:rPr>
        <w:t>Связь между происхождением товаров и транспортными операциями</w:t>
      </w:r>
    </w:p>
    <w:p w14:paraId="3609A0C4" w14:textId="77777777" w:rsidR="00C428E5" w:rsidRPr="00AD1756" w:rsidRDefault="00CA6CBF" w:rsidP="00C428E5">
      <w:pPr>
        <w:pStyle w:val="SingleTxtG"/>
      </w:pPr>
      <w:r w:rsidRPr="00AD1756">
        <w:tab/>
      </w:r>
      <w:r w:rsidRPr="00AD1756">
        <w:tab/>
      </w:r>
      <w:r w:rsidR="00C428E5" w:rsidRPr="00AD1756">
        <w:t xml:space="preserve">На последней сессии Польша представила документ ECE/TRANS/SC.1/2019/3, в котором содержалось предложение по поправкам с целью пересмотра СР.4 для включения определения </w:t>
      </w:r>
      <w:r w:rsidRPr="00AD1756">
        <w:t>«</w:t>
      </w:r>
      <w:r w:rsidR="00C428E5" w:rsidRPr="00AD1756">
        <w:t>двусторонних перевозок</w:t>
      </w:r>
      <w:r w:rsidRPr="00AD1756">
        <w:t>»</w:t>
      </w:r>
      <w:r w:rsidR="00C428E5" w:rsidRPr="00AD1756">
        <w:t xml:space="preserve"> в качестве нового подпункта 4.1.9. </w:t>
      </w:r>
    </w:p>
    <w:p w14:paraId="2A694EA1" w14:textId="77777777" w:rsidR="00C428E5" w:rsidRPr="00AD1756" w:rsidRDefault="00CA6CBF" w:rsidP="00C428E5">
      <w:pPr>
        <w:pStyle w:val="SingleTxtG"/>
      </w:pPr>
      <w:r w:rsidRPr="00AD1756">
        <w:tab/>
      </w:r>
      <w:r w:rsidRPr="00AD1756">
        <w:tab/>
      </w:r>
      <w:r w:rsidR="00C428E5" w:rsidRPr="00AD1756">
        <w:t>SC.1 просила Латвию, Польшу, Российскую Федерацию и Турцию рассмотреть альтернативные определения, приведенные ниже, и согласовать определение, которое будет предложено в документе ECE/TRANS/SC.1/2019/3/Rev.1 к нынешней сессии. Кроме того, членам SC.1 было предложено напрямую связаться с представителями Польши для передачи других альтернативных вариантов.</w:t>
      </w:r>
    </w:p>
    <w:p w14:paraId="24FA3EA5" w14:textId="77777777" w:rsidR="00C428E5" w:rsidRPr="00AD1756" w:rsidRDefault="00CA6CBF" w:rsidP="00C428E5">
      <w:pPr>
        <w:pStyle w:val="SingleTxtG"/>
      </w:pPr>
      <w:r w:rsidRPr="00AD1756">
        <w:tab/>
      </w:r>
      <w:r w:rsidRPr="00AD1756">
        <w:tab/>
      </w:r>
      <w:r w:rsidR="00C428E5" w:rsidRPr="00AD1756">
        <w:t xml:space="preserve">Предложение Польши и Российской Федерации: </w:t>
      </w:r>
    </w:p>
    <w:p w14:paraId="2F4216B6" w14:textId="77777777" w:rsidR="00C428E5" w:rsidRPr="00AD1756" w:rsidRDefault="00E709F4" w:rsidP="00E709F4">
      <w:pPr>
        <w:pStyle w:val="SingleTxtG"/>
      </w:pPr>
      <w:r w:rsidRPr="00AD1756">
        <w:tab/>
      </w:r>
      <w:r w:rsidRPr="00AD1756">
        <w:rPr>
          <w:b/>
          <w:bCs/>
          <w:i/>
          <w:iCs/>
        </w:rPr>
        <w:t>‒</w:t>
      </w:r>
      <w:r w:rsidR="00C428E5" w:rsidRPr="00AD1756">
        <w:tab/>
        <w:t xml:space="preserve">4.1.9 «Под </w:t>
      </w:r>
      <w:r w:rsidRPr="00AD1756">
        <w:t>“</w:t>
      </w:r>
      <w:r w:rsidR="00C428E5" w:rsidRPr="00AD1756">
        <w:t>двусторонней перевозкой</w:t>
      </w:r>
      <w:r w:rsidRPr="00AD1756">
        <w:t>”</w:t>
      </w:r>
      <w:r w:rsidR="00C428E5" w:rsidRPr="00AD1756">
        <w:t xml:space="preserve"> подразумевается транспортная операция, осуществляемая транспортным средством с грузом или без груза, зарегистрированным в одной стране, пункт отправления которого находится на территории регистрации транспортного средства, а пункт назначения которого находится на территории другой стороны или наоборот».</w:t>
      </w:r>
    </w:p>
    <w:p w14:paraId="156E04A2" w14:textId="77777777" w:rsidR="00C428E5" w:rsidRPr="00AD1756" w:rsidRDefault="00C428E5" w:rsidP="00C428E5">
      <w:pPr>
        <w:pStyle w:val="SingleTxtG"/>
      </w:pPr>
      <w:r w:rsidRPr="00AD1756">
        <w:t xml:space="preserve">Предложение Турции: </w:t>
      </w:r>
    </w:p>
    <w:p w14:paraId="38B47D63" w14:textId="77777777" w:rsidR="00C428E5" w:rsidRPr="00AD1756" w:rsidRDefault="00E709F4" w:rsidP="00C428E5">
      <w:pPr>
        <w:pStyle w:val="SingleTxtG"/>
      </w:pPr>
      <w:r w:rsidRPr="00AD1756">
        <w:tab/>
      </w:r>
      <w:r w:rsidRPr="00AD1756">
        <w:rPr>
          <w:b/>
          <w:bCs/>
          <w:i/>
          <w:iCs/>
        </w:rPr>
        <w:t>‒</w:t>
      </w:r>
      <w:r w:rsidR="00C428E5" w:rsidRPr="00AD1756">
        <w:tab/>
        <w:t xml:space="preserve">4.1.9 «Под </w:t>
      </w:r>
      <w:r w:rsidRPr="00AD1756">
        <w:t>“</w:t>
      </w:r>
      <w:r w:rsidR="00C428E5" w:rsidRPr="00AD1756">
        <w:t>двусторонней перевозкой</w:t>
      </w:r>
      <w:r w:rsidRPr="00AD1756">
        <w:t>”</w:t>
      </w:r>
      <w:r w:rsidR="00C428E5" w:rsidRPr="00AD1756">
        <w:t xml:space="preserve"> подразумевается транспортная операция, осуществляемая транспортным средством, которое зарегистрировано в одной стране, а пункт назначения которого расположен на территории другой стороны или наоборот и которое не подпадает под определение перевозки между третьими странами, приведенное в пункте 4.1.7».</w:t>
      </w:r>
    </w:p>
    <w:p w14:paraId="7F3B2430" w14:textId="77777777" w:rsidR="00C428E5" w:rsidRPr="00AD1756" w:rsidRDefault="00E709F4" w:rsidP="00C428E5">
      <w:pPr>
        <w:pStyle w:val="SingleTxtG"/>
      </w:pPr>
      <w:r w:rsidRPr="00AD1756">
        <w:tab/>
      </w:r>
      <w:r w:rsidRPr="00AD1756">
        <w:tab/>
      </w:r>
      <w:r w:rsidR="00C428E5" w:rsidRPr="00AD1756">
        <w:t>Латвии, Польше, Российской Федерации и Турции предлагается представить документ ECE/TRANS/SC.1/2019/3/Rev.1 и/или передать обновленную информацию о состоявшихся обсуждениях.</w:t>
      </w:r>
    </w:p>
    <w:p w14:paraId="1AE854DA" w14:textId="77777777" w:rsidR="00C428E5" w:rsidRPr="00AD1756" w:rsidRDefault="00C428E5" w:rsidP="00C428E5">
      <w:pPr>
        <w:pStyle w:val="SingleTxtG"/>
        <w:rPr>
          <w:b/>
          <w:bCs/>
          <w:lang w:val="en-US"/>
        </w:rPr>
      </w:pPr>
      <w:r w:rsidRPr="00AD1756">
        <w:rPr>
          <w:b/>
          <w:bCs/>
        </w:rPr>
        <w:t>Документация</w:t>
      </w:r>
    </w:p>
    <w:p w14:paraId="5E0BFC25" w14:textId="77777777" w:rsidR="00C428E5" w:rsidRPr="00AD1756" w:rsidRDefault="00C428E5" w:rsidP="00C428E5">
      <w:pPr>
        <w:pStyle w:val="SingleTxtG"/>
        <w:rPr>
          <w:lang w:val="en-US"/>
        </w:rPr>
      </w:pPr>
      <w:r w:rsidRPr="00AD1756">
        <w:rPr>
          <w:lang w:val="en-US"/>
        </w:rPr>
        <w:t>ECE/TRANS/SC.1/2019/3/Rev.1</w:t>
      </w:r>
    </w:p>
    <w:p w14:paraId="0CD50630" w14:textId="77777777" w:rsidR="00C428E5" w:rsidRPr="00AD1756" w:rsidRDefault="00E709F4" w:rsidP="00C428E5">
      <w:pPr>
        <w:pStyle w:val="H1G"/>
      </w:pPr>
      <w:r w:rsidRPr="00AD1756">
        <w:rPr>
          <w:lang w:val="en-US"/>
        </w:rPr>
        <w:tab/>
      </w:r>
      <w:r w:rsidR="00C428E5" w:rsidRPr="00AD1756">
        <w:t>3.</w:t>
      </w:r>
      <w:r w:rsidR="00C428E5" w:rsidRPr="00AD1756">
        <w:tab/>
      </w:r>
      <w:r w:rsidR="00C428E5" w:rsidRPr="00AD1756">
        <w:rPr>
          <w:bCs/>
        </w:rPr>
        <w:t>Поддержка новых технологий и инноваций на внутреннем транспорте</w:t>
      </w:r>
    </w:p>
    <w:p w14:paraId="635B24BF" w14:textId="77777777" w:rsidR="00C428E5" w:rsidRPr="00AD1756" w:rsidRDefault="00C428E5" w:rsidP="00C428E5">
      <w:pPr>
        <w:pStyle w:val="H23G"/>
      </w:pPr>
      <w:r w:rsidRPr="00AD1756">
        <w:tab/>
      </w:r>
      <w:r w:rsidRPr="00AD1756">
        <w:tab/>
      </w:r>
      <w:r w:rsidRPr="00AD1756">
        <w:rPr>
          <w:bCs/>
        </w:rPr>
        <w:t>Цифровая/</w:t>
      </w:r>
      <w:r w:rsidR="00E709F4" w:rsidRPr="00AD1756">
        <w:rPr>
          <w:bCs/>
        </w:rPr>
        <w:t>«</w:t>
      </w:r>
      <w:r w:rsidRPr="00AD1756">
        <w:rPr>
          <w:bCs/>
        </w:rPr>
        <w:t>умная</w:t>
      </w:r>
      <w:r w:rsidR="00E709F4" w:rsidRPr="00AD1756">
        <w:rPr>
          <w:bCs/>
        </w:rPr>
        <w:t>»</w:t>
      </w:r>
      <w:r w:rsidRPr="00AD1756">
        <w:rPr>
          <w:bCs/>
        </w:rPr>
        <w:t xml:space="preserve"> дорожная инфраструктура</w:t>
      </w:r>
    </w:p>
    <w:p w14:paraId="3A9D8DE7" w14:textId="77777777" w:rsidR="00C428E5" w:rsidRPr="00AD1756" w:rsidRDefault="00E709F4" w:rsidP="00C428E5">
      <w:pPr>
        <w:pStyle w:val="SingleTxtG"/>
      </w:pPr>
      <w:r w:rsidRPr="00AD1756">
        <w:tab/>
      </w:r>
      <w:r w:rsidR="00C428E5" w:rsidRPr="00AD1756">
        <w:tab/>
        <w:t xml:space="preserve">На восемьдесят первой сессии КВТ Комитет призвал SC.1 продолжать работу над проектом </w:t>
      </w:r>
      <w:r w:rsidRPr="00AD1756">
        <w:t>«</w:t>
      </w:r>
      <w:r w:rsidR="00C428E5" w:rsidRPr="00AD1756">
        <w:t>умных</w:t>
      </w:r>
      <w:r w:rsidRPr="00AD1756">
        <w:t>»</w:t>
      </w:r>
      <w:r w:rsidR="00C428E5" w:rsidRPr="00AD1756">
        <w:t xml:space="preserve"> дорог (ECE/TRANS/288, пункт 35). В этой связи, а также с учетом поставленных в стратегии КВТ приоритетных задач по стимулированию новых технологий и инноваций на внутреннем транспорте SC.1 на прошлой сессии вновь подтвердила актуальность данного пункта своей повестки дня.</w:t>
      </w:r>
    </w:p>
    <w:p w14:paraId="49599A94" w14:textId="77777777" w:rsidR="00C428E5" w:rsidRPr="00AD1756" w:rsidRDefault="00E709F4" w:rsidP="00C428E5">
      <w:pPr>
        <w:pStyle w:val="SingleTxtG"/>
      </w:pPr>
      <w:r w:rsidRPr="00AD1756">
        <w:lastRenderedPageBreak/>
        <w:tab/>
      </w:r>
      <w:r w:rsidRPr="00AD1756">
        <w:tab/>
      </w:r>
      <w:r w:rsidR="00C428E5" w:rsidRPr="00AD1756">
        <w:t>На прошлой сессии Лихтенштейн заявил о заинтересованности в организации на нынешней сессии презентации по вопросу о контроле срока эксплуатации транспортного средства при помощи технологии блокчейн.</w:t>
      </w:r>
    </w:p>
    <w:p w14:paraId="0D8BFA6F" w14:textId="77777777" w:rsidR="00C428E5" w:rsidRPr="00AD1756" w:rsidRDefault="00E709F4" w:rsidP="00C428E5">
      <w:pPr>
        <w:pStyle w:val="SingleTxtG"/>
      </w:pPr>
      <w:r w:rsidRPr="00AD1756">
        <w:tab/>
      </w:r>
      <w:r w:rsidRPr="00AD1756">
        <w:tab/>
      </w:r>
      <w:r w:rsidR="00C428E5" w:rsidRPr="00AD1756">
        <w:t>Членам SC.1 будет предложено представить на следующей сессии инициативы по цифровизации дорожных систем или дорожной инфраструктуры в своих странах либо обменяться информацией по этому вопросу.</w:t>
      </w:r>
    </w:p>
    <w:p w14:paraId="4E131F8F" w14:textId="77777777" w:rsidR="00C428E5" w:rsidRPr="00AD1756" w:rsidRDefault="00C428E5" w:rsidP="00C428E5">
      <w:pPr>
        <w:pStyle w:val="SingleTxtG"/>
        <w:rPr>
          <w:b/>
          <w:bCs/>
        </w:rPr>
      </w:pPr>
      <w:r w:rsidRPr="00AD1756">
        <w:rPr>
          <w:b/>
          <w:bCs/>
        </w:rPr>
        <w:t>Документация</w:t>
      </w:r>
    </w:p>
    <w:p w14:paraId="4EAE835F" w14:textId="77777777" w:rsidR="00C428E5" w:rsidRPr="00AD1756" w:rsidRDefault="00C428E5" w:rsidP="00C428E5">
      <w:pPr>
        <w:pStyle w:val="SingleTxtG"/>
      </w:pPr>
      <w:r w:rsidRPr="00AD1756">
        <w:t>ECE/TRANS/288</w:t>
      </w:r>
    </w:p>
    <w:p w14:paraId="17F2A5DC" w14:textId="77777777" w:rsidR="00C428E5" w:rsidRPr="00AD1756" w:rsidRDefault="00E709F4" w:rsidP="00C428E5">
      <w:pPr>
        <w:pStyle w:val="H1G"/>
      </w:pPr>
      <w:r w:rsidRPr="00AD1756">
        <w:tab/>
      </w:r>
      <w:r w:rsidR="00C428E5" w:rsidRPr="00AD1756">
        <w:t>4.</w:t>
      </w:r>
      <w:r w:rsidR="00C428E5" w:rsidRPr="00AD1756">
        <w:tab/>
      </w:r>
      <w:r w:rsidR="00C428E5" w:rsidRPr="00AD1756">
        <w:rPr>
          <w:bCs/>
        </w:rPr>
        <w:t>Региональный, межрегиональный и глобальный диалог по</w:t>
      </w:r>
      <w:r w:rsidRPr="00AD1756">
        <w:rPr>
          <w:bCs/>
        </w:rPr>
        <w:t> </w:t>
      </w:r>
      <w:r w:rsidR="00C428E5" w:rsidRPr="00AD1756">
        <w:rPr>
          <w:bCs/>
        </w:rPr>
        <w:t>вопросам политики в области внутреннего транспорта</w:t>
      </w:r>
    </w:p>
    <w:p w14:paraId="52D1B44D" w14:textId="77777777" w:rsidR="00C428E5" w:rsidRPr="00AD1756" w:rsidRDefault="00C428E5" w:rsidP="00C428E5">
      <w:pPr>
        <w:pStyle w:val="H23G"/>
      </w:pPr>
      <w:r w:rsidRPr="00AD1756">
        <w:tab/>
      </w:r>
      <w:r w:rsidRPr="00AD1756">
        <w:tab/>
      </w:r>
      <w:r w:rsidRPr="00AD1756">
        <w:rPr>
          <w:bCs/>
        </w:rPr>
        <w:t>Количественные ограничения на международные автомобильные перевозки грузов</w:t>
      </w:r>
    </w:p>
    <w:p w14:paraId="51FEBD79" w14:textId="77777777" w:rsidR="00C428E5" w:rsidRPr="00AD1756" w:rsidRDefault="00E709F4" w:rsidP="00C428E5">
      <w:pPr>
        <w:pStyle w:val="SingleTxtG"/>
      </w:pPr>
      <w:r w:rsidRPr="00AD1756">
        <w:tab/>
      </w:r>
      <w:r w:rsidRPr="00AD1756">
        <w:tab/>
      </w:r>
      <w:r w:rsidR="00C428E5" w:rsidRPr="00AD1756">
        <w:t xml:space="preserve">На своей </w:t>
      </w:r>
      <w:r w:rsidR="00AD1756">
        <w:t>сто двенадцатой</w:t>
      </w:r>
      <w:r w:rsidR="00C428E5" w:rsidRPr="00AD1756">
        <w:t xml:space="preserve"> сессии SC.1 обсудила исследование Европейской комиссии (ЕК) по экономическому анализу соглашения между Европейским союзом и Турцией, в котором сделан вывод о том, что Турция и Европейский союз понесли большие финансовые потери из-за транспортных квот и ограничений. Турция просила Европейскую комиссию проанализировать транзитные сборы, взимаемые с перевозчиков из Турции в Болгарии, Греции и Румынии, и вынести решение о том, в какой степени они соответствуют Таможенному союзу между Европейским союзом и Турцией. </w:t>
      </w:r>
    </w:p>
    <w:p w14:paraId="34B79A15" w14:textId="77777777" w:rsidR="00C428E5" w:rsidRPr="00AD1756" w:rsidRDefault="00E709F4" w:rsidP="00C428E5">
      <w:pPr>
        <w:pStyle w:val="SingleTxtG"/>
      </w:pPr>
      <w:r w:rsidRPr="00AD1756">
        <w:tab/>
      </w:r>
      <w:r w:rsidRPr="00AD1756">
        <w:tab/>
      </w:r>
      <w:r w:rsidR="00C428E5" w:rsidRPr="00AD1756">
        <w:t>На последней сессии Еврокомиссия сообщила, что, изучив данный вопрос, она не усматривает никаких несоответствий с точки зрения Таможенного союза. Представитель Австрии сослался на решение Европейского суда C629/16, которое может представлять интерес и предусматривает систему двусторонних квот, соответствующую договору о Таможенном союзе между Европейским союзом и Турцией. SC.1 решила сохранить этот пункт в повестке дня следующей сессии, с тем чтобы при желании Турция и Европейская комиссия могли передать обновленную информацию о любом другом исследовании по этому вопросу.</w:t>
      </w:r>
    </w:p>
    <w:p w14:paraId="029EEA47" w14:textId="77777777" w:rsidR="00C428E5" w:rsidRPr="00AD1756" w:rsidRDefault="00E709F4" w:rsidP="00C428E5">
      <w:pPr>
        <w:pStyle w:val="H1G"/>
      </w:pPr>
      <w:r w:rsidRPr="00AD1756">
        <w:tab/>
      </w:r>
      <w:r w:rsidR="00C428E5" w:rsidRPr="00AD1756">
        <w:t>5.</w:t>
      </w:r>
      <w:r w:rsidR="00C428E5" w:rsidRPr="00AD1756">
        <w:tab/>
      </w:r>
      <w:r w:rsidR="00C428E5" w:rsidRPr="00AD1756">
        <w:rPr>
          <w:bCs/>
        </w:rPr>
        <w:t>Содействие обеспечению устойчивого регионального и</w:t>
      </w:r>
      <w:r w:rsidRPr="00AD1756">
        <w:rPr>
          <w:bCs/>
        </w:rPr>
        <w:t> </w:t>
      </w:r>
      <w:r w:rsidR="00C428E5" w:rsidRPr="00AD1756">
        <w:rPr>
          <w:bCs/>
        </w:rPr>
        <w:t>межрегионального сообщения и мобильности на внутреннем транспорте</w:t>
      </w:r>
    </w:p>
    <w:p w14:paraId="258E66AF" w14:textId="77777777" w:rsidR="00C428E5" w:rsidRPr="00AD1756" w:rsidRDefault="00E709F4" w:rsidP="00C428E5">
      <w:pPr>
        <w:pStyle w:val="H23G"/>
      </w:pPr>
      <w:r w:rsidRPr="00AD1756">
        <w:tab/>
      </w:r>
      <w:r w:rsidR="00C428E5" w:rsidRPr="00AD1756">
        <w:t>a)</w:t>
      </w:r>
      <w:r w:rsidR="00C428E5" w:rsidRPr="00AD1756">
        <w:tab/>
      </w:r>
      <w:r w:rsidR="00C428E5" w:rsidRPr="00AD1756">
        <w:rPr>
          <w:bCs/>
        </w:rPr>
        <w:t>Безопасная и устойчивая дорожная инфраструктура</w:t>
      </w:r>
    </w:p>
    <w:p w14:paraId="63060697" w14:textId="77777777" w:rsidR="00C428E5" w:rsidRPr="00AD1756" w:rsidRDefault="00E709F4" w:rsidP="00C428E5">
      <w:pPr>
        <w:pStyle w:val="H4G"/>
      </w:pPr>
      <w:r w:rsidRPr="00AD1756">
        <w:tab/>
      </w:r>
      <w:r w:rsidR="00C428E5" w:rsidRPr="00AD1756">
        <w:t>i)</w:t>
      </w:r>
      <w:r w:rsidR="00C428E5" w:rsidRPr="00AD1756">
        <w:tab/>
      </w:r>
      <w:r w:rsidR="00C428E5" w:rsidRPr="00AD1756">
        <w:rPr>
          <w:iCs/>
        </w:rPr>
        <w:t>Проверки и аудиты безопасности дорог</w:t>
      </w:r>
    </w:p>
    <w:p w14:paraId="7937B67A" w14:textId="77777777" w:rsidR="00C428E5" w:rsidRPr="00AD1756" w:rsidRDefault="00E709F4" w:rsidP="00C428E5">
      <w:pPr>
        <w:pStyle w:val="SingleTxtG"/>
      </w:pPr>
      <w:r w:rsidRPr="00AD1756">
        <w:tab/>
      </w:r>
      <w:r w:rsidRPr="00AD1756">
        <w:tab/>
      </w:r>
      <w:r w:rsidR="00C428E5" w:rsidRPr="00AD1756">
        <w:t>На своей сто четырнадцатой сессии SC.1 решила рассмотреть тему безопасной и устойчивой дорожной инфраструктуры в целом в качестве нового пункта своей повестки дня будущих сессий (пункт 25, ECE/TRANS/SC.1/412).</w:t>
      </w:r>
    </w:p>
    <w:p w14:paraId="69606E8A" w14:textId="77777777" w:rsidR="00C428E5" w:rsidRPr="00AD1756" w:rsidRDefault="00E709F4" w:rsidP="00C428E5">
      <w:pPr>
        <w:pStyle w:val="SingleTxtG"/>
      </w:pPr>
      <w:r w:rsidRPr="00AD1756">
        <w:tab/>
      </w:r>
      <w:r w:rsidRPr="00AD1756">
        <w:tab/>
      </w:r>
      <w:r w:rsidR="00C428E5" w:rsidRPr="00AD1756">
        <w:t>SC.1 будет предложено выбрать темы, представляющие интерес в рамках этого пункта, для обсуждения на нынешней или следующей сессии.</w:t>
      </w:r>
    </w:p>
    <w:p w14:paraId="337D86AA" w14:textId="77777777" w:rsidR="00C428E5" w:rsidRPr="00AD1756" w:rsidRDefault="00E709F4" w:rsidP="00C428E5">
      <w:pPr>
        <w:pStyle w:val="H4G"/>
      </w:pPr>
      <w:r w:rsidRPr="00AD1756">
        <w:tab/>
      </w:r>
      <w:r w:rsidR="00C428E5" w:rsidRPr="00AD1756">
        <w:t>ii)</w:t>
      </w:r>
      <w:r w:rsidR="00C428E5" w:rsidRPr="00AD1756">
        <w:tab/>
      </w:r>
      <w:r w:rsidR="00C428E5" w:rsidRPr="00AD1756">
        <w:rPr>
          <w:iCs/>
        </w:rPr>
        <w:t>Последствия изменения климата для международных транспортных сетей и узлов и</w:t>
      </w:r>
      <w:r w:rsidR="00AD1756">
        <w:rPr>
          <w:iCs/>
        </w:rPr>
        <w:t> </w:t>
      </w:r>
      <w:r w:rsidR="00C428E5" w:rsidRPr="00AD1756">
        <w:rPr>
          <w:iCs/>
        </w:rPr>
        <w:t>адаптация к ним</w:t>
      </w:r>
      <w:r w:rsidR="00C428E5" w:rsidRPr="00AD1756">
        <w:t xml:space="preserve"> </w:t>
      </w:r>
    </w:p>
    <w:p w14:paraId="71A3FC20" w14:textId="77777777" w:rsidR="00C428E5" w:rsidRPr="00AD1756" w:rsidRDefault="00E709F4" w:rsidP="00C428E5">
      <w:pPr>
        <w:pStyle w:val="SingleTxtG"/>
      </w:pPr>
      <w:r w:rsidRPr="00AD1756">
        <w:tab/>
      </w:r>
      <w:r w:rsidRPr="00AD1756">
        <w:tab/>
      </w:r>
      <w:r w:rsidR="00C428E5" w:rsidRPr="00AD1756">
        <w:t>На последней сессии секретарь Группы экспертов по последствиям изменения климата для международных транспортных сетей и узлов и адаптации к ним ЕЭК ООН представил обзор доклада этой Группы, анализирующей последствия изменения климата для международных транспортных сетей и узлов и адаптаци</w:t>
      </w:r>
      <w:r w:rsidR="00AD1756">
        <w:t>ю</w:t>
      </w:r>
      <w:r w:rsidR="00C428E5" w:rsidRPr="00AD1756">
        <w:t xml:space="preserve"> к ним с точки зрения основных транспортных активов в регионе ЕЭК (неофициальный</w:t>
      </w:r>
      <w:r w:rsidRPr="00AD1756">
        <w:br/>
      </w:r>
      <w:r w:rsidR="00C428E5" w:rsidRPr="00AD1756">
        <w:t xml:space="preserve">документ № 6 WP.5/GE.3 и документ ECE/TRANS/WP.5/2019/3). SC.1 высоко оценила </w:t>
      </w:r>
      <w:r w:rsidR="00C428E5" w:rsidRPr="00AD1756">
        <w:lastRenderedPageBreak/>
        <w:t xml:space="preserve">эту информацию и просила секретаря Группы экспертов представить обновленную информацию на нынешней сессии. </w:t>
      </w:r>
    </w:p>
    <w:p w14:paraId="3B0C45B2" w14:textId="77777777" w:rsidR="00C428E5" w:rsidRPr="00AD1756" w:rsidRDefault="00E709F4" w:rsidP="00E709F4">
      <w:pPr>
        <w:pStyle w:val="SingleTxtG"/>
        <w:pageBreakBefore/>
      </w:pPr>
      <w:r w:rsidRPr="00AD1756">
        <w:lastRenderedPageBreak/>
        <w:tab/>
      </w:r>
      <w:r w:rsidRPr="00AD1756">
        <w:tab/>
      </w:r>
      <w:r w:rsidR="00C428E5" w:rsidRPr="00AD1756">
        <w:t xml:space="preserve">Членам SC.1 было также предложено представить в секретариат шейп-файлы (т. е. такие проекционные данные, как EPSG 3857, и по крайней мере одно поле, содержащее номер/а дороги/дорог категории E) дорог категории E в своих странах, которые можно было бы использовать для обновления карты дорог категории E. </w:t>
      </w:r>
    </w:p>
    <w:p w14:paraId="60DA910F" w14:textId="77777777" w:rsidR="00C428E5" w:rsidRPr="00AD1756" w:rsidRDefault="00E709F4" w:rsidP="00C428E5">
      <w:pPr>
        <w:pStyle w:val="SingleTxtG"/>
      </w:pPr>
      <w:r w:rsidRPr="00AD1756">
        <w:tab/>
      </w:r>
      <w:r w:rsidRPr="00AD1756">
        <w:tab/>
      </w:r>
      <w:r w:rsidR="00C428E5" w:rsidRPr="00AD1756">
        <w:t xml:space="preserve">Представитель Германии предложил секретариату также запросить шейп-файлы, касающиеся дорог категории Е, из базы данных TEС-T. Секретариат представит обновленную информацию на нынешней сессии. </w:t>
      </w:r>
    </w:p>
    <w:p w14:paraId="3BFBCCA8" w14:textId="77777777" w:rsidR="00C428E5" w:rsidRPr="00AD1756" w:rsidRDefault="00E709F4" w:rsidP="00C428E5">
      <w:pPr>
        <w:pStyle w:val="H4G"/>
      </w:pPr>
      <w:r w:rsidRPr="00AD1756">
        <w:tab/>
      </w:r>
      <w:r w:rsidR="00C428E5" w:rsidRPr="00AD1756">
        <w:t>iii)</w:t>
      </w:r>
      <w:r w:rsidR="00C428E5" w:rsidRPr="00AD1756">
        <w:tab/>
      </w:r>
      <w:r w:rsidR="00C428E5" w:rsidRPr="00AD1756">
        <w:rPr>
          <w:iCs/>
        </w:rPr>
        <w:t>Сопоставительный анализ для транспортной инфраструктуры</w:t>
      </w:r>
      <w:r w:rsidR="00C428E5" w:rsidRPr="00AD1756">
        <w:t xml:space="preserve"> </w:t>
      </w:r>
    </w:p>
    <w:p w14:paraId="45E72B90" w14:textId="77777777" w:rsidR="00C428E5" w:rsidRPr="00AD1756" w:rsidRDefault="00E709F4" w:rsidP="00C428E5">
      <w:pPr>
        <w:pStyle w:val="SingleTxtG"/>
      </w:pPr>
      <w:r w:rsidRPr="00AD1756">
        <w:tab/>
      </w:r>
      <w:r w:rsidRPr="00AD1756">
        <w:tab/>
      </w:r>
      <w:r w:rsidR="00C428E5" w:rsidRPr="00AD1756">
        <w:t xml:space="preserve">На последней сессии секретарь Группы экспертов по вопросам сравнительного анализа расходов на строительство транспортной инфраструктуры (WP.5/GE.4) представил информацию о деятельности GE.4, связанной с идентификацией моделей, методами, инструментами и оптимальной практикой для оценки, расчета и анализа затрат на транспортную инфраструктуру по всем видам транспорта (автомобильного, железнодорожного, внутреннего водного и интермодального). Секретарь Группы экспертов проинформировал также SC.1 о проекте ЮНДА по разработке показателей устойчивого сообщения на внутреннем транспорте. SC.1 высоко оценила эту информацию и просила секретаря Группы экспертов представить обновленную информацию на нынешней сессии. </w:t>
      </w:r>
    </w:p>
    <w:p w14:paraId="507F07AE" w14:textId="77777777" w:rsidR="00C428E5" w:rsidRPr="00AD1756" w:rsidRDefault="00E709F4" w:rsidP="00AD1756">
      <w:pPr>
        <w:pStyle w:val="H23G"/>
      </w:pPr>
      <w:r w:rsidRPr="00AD1756">
        <w:tab/>
      </w:r>
      <w:r w:rsidR="00C428E5" w:rsidRPr="00AD1756">
        <w:t>b)</w:t>
      </w:r>
      <w:r w:rsidR="00C428E5" w:rsidRPr="00AD1756">
        <w:tab/>
      </w:r>
      <w:r w:rsidR="00C428E5" w:rsidRPr="00AD1756">
        <w:rPr>
          <w:bCs/>
        </w:rPr>
        <w:t>Проект трансъевропейской автомагистрали Север</w:t>
      </w:r>
      <w:r w:rsidR="00AD1756" w:rsidRPr="00AD1756">
        <w:rPr>
          <w:bCs/>
        </w:rPr>
        <w:t xml:space="preserve"> — </w:t>
      </w:r>
      <w:r w:rsidR="00C428E5" w:rsidRPr="00AD1756">
        <w:rPr>
          <w:bCs/>
        </w:rPr>
        <w:t>Юг (ТЕА)</w:t>
      </w:r>
    </w:p>
    <w:p w14:paraId="34568C48" w14:textId="77777777" w:rsidR="00C428E5" w:rsidRPr="00AD1756" w:rsidRDefault="00E709F4" w:rsidP="00C428E5">
      <w:pPr>
        <w:pStyle w:val="SingleTxtG"/>
      </w:pPr>
      <w:r w:rsidRPr="00AD1756">
        <w:tab/>
      </w:r>
      <w:r w:rsidRPr="00AD1756">
        <w:tab/>
      </w:r>
      <w:r w:rsidR="00C428E5" w:rsidRPr="00AD1756">
        <w:t>Управляющему проекта ТЕА предлагается представить доклад (неофициальный документ № 1) и сообщить о существенном прогрессе, достигнутом в рамках проекта ТЕА с момента проведения последней сессии.</w:t>
      </w:r>
    </w:p>
    <w:p w14:paraId="77507979" w14:textId="77777777" w:rsidR="00C428E5" w:rsidRPr="00AD1756" w:rsidRDefault="00E709F4" w:rsidP="00C428E5">
      <w:pPr>
        <w:pStyle w:val="SingleTxtG"/>
      </w:pPr>
      <w:r w:rsidRPr="00AD1756">
        <w:tab/>
      </w:r>
      <w:r w:rsidRPr="00AD1756">
        <w:tab/>
      </w:r>
      <w:r w:rsidR="00C428E5" w:rsidRPr="00AD1756">
        <w:t>На последней сессии SC.1 просила регионального советника ЕЭК ООН по транспорту довести до сведения Управляющего проекта ТЕА, что SC.1 заинтересована в деятельности в рамках проекта ТЕА, и представить на нынешней сессии предложения по областям взаимодействия и возможностям сотрудничества между SC.1 и Группой по проекту ТЕА. Региональному советнику по транспорту будет предложено выступить перед SC.1 по этому вопросу.</w:t>
      </w:r>
    </w:p>
    <w:p w14:paraId="6551168F" w14:textId="77777777" w:rsidR="00C428E5" w:rsidRPr="00AD1756" w:rsidRDefault="00C428E5" w:rsidP="00C428E5">
      <w:pPr>
        <w:pStyle w:val="SingleTxtG"/>
        <w:rPr>
          <w:b/>
          <w:bCs/>
        </w:rPr>
      </w:pPr>
      <w:r w:rsidRPr="00AD1756">
        <w:rPr>
          <w:b/>
          <w:bCs/>
        </w:rPr>
        <w:t>Документация</w:t>
      </w:r>
    </w:p>
    <w:p w14:paraId="72DB52AC" w14:textId="77777777" w:rsidR="00C428E5" w:rsidRPr="00AD1756" w:rsidRDefault="00C428E5" w:rsidP="00C428E5">
      <w:pPr>
        <w:pStyle w:val="SingleTxtG"/>
      </w:pPr>
      <w:r w:rsidRPr="00AD1756">
        <w:t>неофициальный документ № 2</w:t>
      </w:r>
    </w:p>
    <w:p w14:paraId="62FF91CF" w14:textId="77777777" w:rsidR="00C428E5" w:rsidRPr="00AD1756" w:rsidRDefault="00E709F4" w:rsidP="00C428E5">
      <w:pPr>
        <w:pStyle w:val="H1G"/>
      </w:pPr>
      <w:r w:rsidRPr="00AD1756">
        <w:tab/>
      </w:r>
      <w:r w:rsidR="00C428E5" w:rsidRPr="00AD1756">
        <w:t>6.</w:t>
      </w:r>
      <w:r w:rsidR="00C428E5" w:rsidRPr="00AD1756">
        <w:tab/>
      </w:r>
      <w:r w:rsidR="00C428E5" w:rsidRPr="00AD1756">
        <w:rPr>
          <w:bCs/>
        </w:rPr>
        <w:t>Облегчение международных автомобильных перевозок</w:t>
      </w:r>
    </w:p>
    <w:p w14:paraId="01899FD3" w14:textId="77777777" w:rsidR="00C428E5" w:rsidRPr="00AD1756" w:rsidRDefault="00C428E5" w:rsidP="00C428E5">
      <w:pPr>
        <w:pStyle w:val="H23G"/>
        <w:rPr>
          <w:bCs/>
        </w:rPr>
      </w:pPr>
      <w:r w:rsidRPr="00AD1756">
        <w:tab/>
      </w:r>
      <w:r w:rsidRPr="00AD1756">
        <w:tab/>
      </w:r>
      <w:r w:rsidRPr="00AD1756">
        <w:rPr>
          <w:bCs/>
        </w:rPr>
        <w:t>Международная система страхования автотранспортных средств («Зеленая карта»)</w:t>
      </w:r>
    </w:p>
    <w:p w14:paraId="17C50B2A" w14:textId="77777777" w:rsidR="00C428E5" w:rsidRPr="00AD1756" w:rsidRDefault="00E709F4" w:rsidP="00C428E5">
      <w:pPr>
        <w:pStyle w:val="SingleTxtG"/>
      </w:pPr>
      <w:r w:rsidRPr="00AD1756">
        <w:tab/>
      </w:r>
      <w:r w:rsidR="00C428E5" w:rsidRPr="00AD1756">
        <w:tab/>
        <w:t>Генеральный секретарь Совета страховых бюро проинформируют Рабочую группу о последних изменениях в системе «Зеленая карта» (ECE/TRANS/SC.1/2020/1).</w:t>
      </w:r>
    </w:p>
    <w:p w14:paraId="7D4A15DC" w14:textId="77777777" w:rsidR="00C428E5" w:rsidRPr="00AD1756" w:rsidRDefault="00C428E5" w:rsidP="00C428E5">
      <w:pPr>
        <w:pStyle w:val="SingleTxtG"/>
        <w:rPr>
          <w:b/>
          <w:bCs/>
        </w:rPr>
      </w:pPr>
      <w:r w:rsidRPr="00AD1756">
        <w:tab/>
      </w:r>
      <w:r w:rsidRPr="00AD1756">
        <w:rPr>
          <w:b/>
          <w:bCs/>
        </w:rPr>
        <w:t>Документация</w:t>
      </w:r>
    </w:p>
    <w:p w14:paraId="1E3588D4" w14:textId="77777777" w:rsidR="00C428E5" w:rsidRPr="00AD1756" w:rsidRDefault="00C428E5" w:rsidP="00C428E5">
      <w:pPr>
        <w:pStyle w:val="SingleTxtG"/>
      </w:pPr>
      <w:r w:rsidRPr="00AD1756">
        <w:t xml:space="preserve">ECE/TRANS/SC.1/2020/1 </w:t>
      </w:r>
    </w:p>
    <w:p w14:paraId="06CEFE77" w14:textId="77777777" w:rsidR="00C428E5" w:rsidRPr="00AD1756" w:rsidRDefault="00E709F4" w:rsidP="00C428E5">
      <w:pPr>
        <w:pStyle w:val="H1G"/>
      </w:pPr>
      <w:r w:rsidRPr="00AD1756">
        <w:tab/>
      </w:r>
      <w:r w:rsidR="00C428E5" w:rsidRPr="00AD1756">
        <w:t>7.</w:t>
      </w:r>
      <w:r w:rsidR="00C428E5" w:rsidRPr="00AD1756">
        <w:tab/>
      </w:r>
      <w:r w:rsidR="00C428E5" w:rsidRPr="00AD1756">
        <w:rPr>
          <w:bCs/>
        </w:rPr>
        <w:t>Пересмотр круга ведения и правил процедуры SC.1</w:t>
      </w:r>
    </w:p>
    <w:p w14:paraId="4E04DFB7" w14:textId="77777777" w:rsidR="00C428E5" w:rsidRPr="00AD1756" w:rsidRDefault="00E709F4" w:rsidP="00C428E5">
      <w:pPr>
        <w:pStyle w:val="SingleTxtG"/>
      </w:pPr>
      <w:r w:rsidRPr="00AD1756">
        <w:tab/>
      </w:r>
      <w:r w:rsidR="00C428E5" w:rsidRPr="00AD1756">
        <w:tab/>
        <w:t>В 2016 году Бельгия и Германия внесли предложение об изменениях к кругу ведения и правилам процедуры SC.1 (неофициальные документы № 3 и 4 (2016</w:t>
      </w:r>
      <w:r w:rsidRPr="00AD1756">
        <w:t> </w:t>
      </w:r>
      <w:r w:rsidR="00C428E5" w:rsidRPr="00AD1756">
        <w:t xml:space="preserve">год)). На последней сессии SC.1 возобновила обсуждения, которые она ранее отложила. Германия координировала обсуждение неофициального документа № 4. </w:t>
      </w:r>
    </w:p>
    <w:p w14:paraId="2C074A12" w14:textId="77777777" w:rsidR="00C428E5" w:rsidRPr="00AD1756" w:rsidRDefault="00E709F4" w:rsidP="00C428E5">
      <w:pPr>
        <w:pStyle w:val="SingleTxtG"/>
      </w:pPr>
      <w:r w:rsidRPr="00AD1756">
        <w:tab/>
      </w:r>
      <w:r w:rsidRPr="00AD1756">
        <w:tab/>
      </w:r>
      <w:r w:rsidR="00C428E5" w:rsidRPr="00AD1756">
        <w:t xml:space="preserve">К нынешней сессии SC.1 просила Германию представить неофициальный документ с предлагаемыми ею изменениями после проведения вместе с секретариатом проверки предлагаемого текста с точки зрения соответствующих руководящих указаний, используемых рабочими группами ЕЭК (ECE/TRANS/SC.1/2020/2). Германии будет предложено представить обновленную информацию о предлагаемых </w:t>
      </w:r>
      <w:r w:rsidR="00C428E5" w:rsidRPr="00AD1756">
        <w:lastRenderedPageBreak/>
        <w:t>изменениях в круге ведения SC.1. Секретариат воспользуется этой возможностью, чтобы проинформировать SC.1 о правилах процедуры Комитета по внутреннему транспорту (КВТ), которые были приняты на его восемьдесят второй сессии в феврале 2020 года (пункты 17 и 18, ECE/TRANS/294).</w:t>
      </w:r>
    </w:p>
    <w:p w14:paraId="2EB15F2B" w14:textId="77777777" w:rsidR="00C428E5" w:rsidRPr="00AD1756" w:rsidRDefault="00C428E5" w:rsidP="00C428E5">
      <w:pPr>
        <w:pStyle w:val="SingleTxtG"/>
        <w:rPr>
          <w:b/>
          <w:bCs/>
        </w:rPr>
      </w:pPr>
      <w:r w:rsidRPr="00AD1756">
        <w:rPr>
          <w:b/>
          <w:bCs/>
        </w:rPr>
        <w:t>Документация</w:t>
      </w:r>
    </w:p>
    <w:p w14:paraId="659CCB29" w14:textId="77777777" w:rsidR="00C428E5" w:rsidRPr="00AD1756" w:rsidRDefault="00C428E5" w:rsidP="00AD1756">
      <w:pPr>
        <w:pStyle w:val="SingleTxtG"/>
        <w:jc w:val="left"/>
      </w:pPr>
      <w:r w:rsidRPr="00AD1756">
        <w:t>неофициальные документы № 3 и 4 (2016 год), ECE/TRANS/SC.1/2020/2, ECE/TRANS/294</w:t>
      </w:r>
    </w:p>
    <w:p w14:paraId="4B2ADC3B" w14:textId="77777777" w:rsidR="00C428E5" w:rsidRPr="00AD1756" w:rsidRDefault="00E709F4" w:rsidP="00C428E5">
      <w:pPr>
        <w:pStyle w:val="H1G"/>
      </w:pPr>
      <w:r w:rsidRPr="00AD1756">
        <w:tab/>
      </w:r>
      <w:r w:rsidR="00C428E5" w:rsidRPr="00AD1756">
        <w:t>8.</w:t>
      </w:r>
      <w:r w:rsidR="00C428E5" w:rsidRPr="00AD1756">
        <w:tab/>
      </w:r>
      <w:r w:rsidR="00C428E5" w:rsidRPr="00AD1756">
        <w:rPr>
          <w:bCs/>
        </w:rPr>
        <w:t>Деятельность, представляющая интерес для Рабочей группы</w:t>
      </w:r>
    </w:p>
    <w:p w14:paraId="464F9255" w14:textId="77777777" w:rsidR="00C428E5" w:rsidRPr="00AD1756" w:rsidRDefault="00E709F4" w:rsidP="00C428E5">
      <w:pPr>
        <w:pStyle w:val="H23G"/>
      </w:pPr>
      <w:r w:rsidRPr="00AD1756">
        <w:tab/>
      </w:r>
      <w:r w:rsidR="00C428E5" w:rsidRPr="00AD1756">
        <w:t>a)</w:t>
      </w:r>
      <w:r w:rsidR="00C428E5" w:rsidRPr="00AD1756">
        <w:tab/>
      </w:r>
      <w:r w:rsidR="00C428E5" w:rsidRPr="00AD1756">
        <w:rPr>
          <w:bCs/>
        </w:rPr>
        <w:t>Национальные делегации</w:t>
      </w:r>
    </w:p>
    <w:p w14:paraId="75ADAAFB" w14:textId="77777777" w:rsidR="00C428E5" w:rsidRPr="00AD1756" w:rsidRDefault="00E709F4" w:rsidP="00C428E5">
      <w:pPr>
        <w:pStyle w:val="SingleTxtG"/>
      </w:pPr>
      <w:r w:rsidRPr="00AD1756">
        <w:tab/>
      </w:r>
      <w:r w:rsidRPr="00AD1756">
        <w:tab/>
      </w:r>
      <w:r w:rsidR="00C428E5" w:rsidRPr="00AD1756">
        <w:t>Национальные делегации, возможно, пожелают представить информацию об изменениях в области автомобильного транспорта в своих соответствующих странах.</w:t>
      </w:r>
    </w:p>
    <w:p w14:paraId="228552CD" w14:textId="77777777" w:rsidR="00C428E5" w:rsidRPr="00AD1756" w:rsidRDefault="00E709F4" w:rsidP="00C428E5">
      <w:pPr>
        <w:pStyle w:val="H23G"/>
      </w:pPr>
      <w:r w:rsidRPr="00AD1756">
        <w:tab/>
      </w:r>
      <w:r w:rsidR="00C428E5" w:rsidRPr="00AD1756">
        <w:t>b)</w:t>
      </w:r>
      <w:r w:rsidR="00C428E5" w:rsidRPr="00AD1756">
        <w:tab/>
      </w:r>
      <w:r w:rsidR="00C428E5" w:rsidRPr="00AD1756">
        <w:rPr>
          <w:bCs/>
        </w:rPr>
        <w:t>Международные организации</w:t>
      </w:r>
    </w:p>
    <w:p w14:paraId="6FC64070" w14:textId="77777777" w:rsidR="00C428E5" w:rsidRPr="00AD1756" w:rsidRDefault="00E709F4" w:rsidP="00C428E5">
      <w:pPr>
        <w:pStyle w:val="SingleTxtG"/>
        <w:rPr>
          <w:rFonts w:asciiTheme="majorBidi" w:hAnsiTheme="majorBidi" w:cstheme="majorBidi"/>
          <w:sz w:val="22"/>
          <w:szCs w:val="22"/>
        </w:rPr>
      </w:pPr>
      <w:r w:rsidRPr="00AD1756">
        <w:tab/>
      </w:r>
      <w:r w:rsidRPr="00AD1756">
        <w:tab/>
      </w:r>
      <w:r w:rsidR="00C428E5" w:rsidRPr="00AD1756">
        <w:t xml:space="preserve">Представители международных организаций, возможно, пожелают представить информацию об изменениях в области автомобильных перевозок в своих соответствующих областях работы. </w:t>
      </w:r>
    </w:p>
    <w:p w14:paraId="23A2EAD8" w14:textId="77777777" w:rsidR="00C428E5" w:rsidRPr="00AD1756" w:rsidRDefault="00E709F4" w:rsidP="00C428E5">
      <w:pPr>
        <w:pStyle w:val="H23G"/>
      </w:pPr>
      <w:r w:rsidRPr="00AD1756">
        <w:tab/>
      </w:r>
      <w:r w:rsidR="00C428E5" w:rsidRPr="00AD1756">
        <w:t>c)</w:t>
      </w:r>
      <w:r w:rsidR="00C428E5" w:rsidRPr="00AD1756">
        <w:tab/>
      </w:r>
      <w:r w:rsidR="00C428E5" w:rsidRPr="00AD1756">
        <w:rPr>
          <w:bCs/>
        </w:rPr>
        <w:t>Деятельность органов Европейской экономической комиссии Организации Объединенных Наций (ЕЭК ООН) и других организаций системы Организации Объединенных Наций</w:t>
      </w:r>
    </w:p>
    <w:p w14:paraId="3C183883" w14:textId="77777777" w:rsidR="00C428E5" w:rsidRPr="00AD1756" w:rsidRDefault="00E709F4" w:rsidP="00C428E5">
      <w:pPr>
        <w:pStyle w:val="SingleTxtG"/>
      </w:pPr>
      <w:r w:rsidRPr="00AD1756">
        <w:tab/>
      </w:r>
      <w:r w:rsidRPr="00AD1756">
        <w:tab/>
      </w:r>
      <w:r w:rsidR="00C428E5" w:rsidRPr="00AD1756">
        <w:t xml:space="preserve">Рабочая группа будет проинформирована об итогах соответствующих сессий Комитета по внутреннему транспорту (КВТ), его вспомогательных органов и других подразделений Организации Объединенных Наций в отношении вопросов, представляющих интерес для Рабочей группы. </w:t>
      </w:r>
    </w:p>
    <w:p w14:paraId="083CBD7B" w14:textId="77777777" w:rsidR="00C428E5" w:rsidRPr="00AD1756" w:rsidRDefault="00E709F4" w:rsidP="00C428E5">
      <w:pPr>
        <w:pStyle w:val="SingleTxtG"/>
      </w:pPr>
      <w:r w:rsidRPr="00AD1756">
        <w:tab/>
      </w:r>
      <w:r w:rsidRPr="00AD1756">
        <w:tab/>
      </w:r>
      <w:r w:rsidR="00C428E5" w:rsidRPr="00AD1756">
        <w:t xml:space="preserve">Секретарю КВТ предлагается представить обзор основных результатов и соответствующих вопросов, представляющих интерес, а также возможной последующей деятельности, которую надлежит провести SC.1 с учетом решений восемьдесят второй сессии КВТ. </w:t>
      </w:r>
    </w:p>
    <w:p w14:paraId="1D3DBA87" w14:textId="77777777" w:rsidR="00C428E5" w:rsidRPr="00AD1756" w:rsidRDefault="00E709F4" w:rsidP="00C428E5">
      <w:pPr>
        <w:pStyle w:val="SingleTxtG"/>
      </w:pPr>
      <w:r w:rsidRPr="00AD1756">
        <w:tab/>
      </w:r>
      <w:r w:rsidRPr="00AD1756">
        <w:tab/>
      </w:r>
      <w:r w:rsidR="00C428E5" w:rsidRPr="00AD1756">
        <w:t>Учитывая расширение сотрудничества SC.1 с Глобальным форумом по безопасности дорожного движения (WP.1) и Всемирным форумом для согласования правил в области транспортных средств (WP.29), SC.1 предложила секретарям WP.1 и WP.29 принять участие в работе нынешней сессии и представить обзор вопросов, имеющих отношение к SC.1, которые были рассмотрены на их недавних сессиях и/или планируется рассмотреть на будущих сессиях. В частности, секретарю WP.1 будет предложено проинформировать об инициативе WP.1 по разработке нового правового документа об использовании автоматизированных транспортных средств в дорожном движении, включая создание новой группы экспертов для этой цели. Секретарю WP.29 будет предложено проинформировать о состоянии рамочного документа по безопасности автоматизированных транспортных средств и о работе неофициальной группы экспертов по регулированию вопросов, касающихся автономных/</w:t>
      </w:r>
      <w:r w:rsidR="00AD1756">
        <w:br/>
      </w:r>
      <w:r w:rsidR="00C428E5" w:rsidRPr="00AD1756">
        <w:t>автоматизированных и подключенных транспортных средств (включая кибербезопасность) (известной также как WP.29/GRVA).</w:t>
      </w:r>
    </w:p>
    <w:p w14:paraId="64299246" w14:textId="77777777" w:rsidR="00C428E5" w:rsidRPr="00AD1756" w:rsidRDefault="00E709F4" w:rsidP="00C428E5">
      <w:pPr>
        <w:pStyle w:val="H1G"/>
      </w:pPr>
      <w:r w:rsidRPr="00AD1756">
        <w:tab/>
      </w:r>
      <w:r w:rsidR="00C428E5" w:rsidRPr="00AD1756">
        <w:t>9.</w:t>
      </w:r>
      <w:r w:rsidR="00C428E5" w:rsidRPr="00AD1756">
        <w:tab/>
      </w:r>
      <w:r w:rsidR="00C428E5" w:rsidRPr="00AD1756">
        <w:rPr>
          <w:bCs/>
        </w:rPr>
        <w:t>Прочие вопросы</w:t>
      </w:r>
    </w:p>
    <w:p w14:paraId="29DD8157" w14:textId="77777777" w:rsidR="00C428E5" w:rsidRPr="00AD1756" w:rsidRDefault="00E709F4" w:rsidP="00C428E5">
      <w:pPr>
        <w:pStyle w:val="SingleTxtG"/>
      </w:pPr>
      <w:r w:rsidRPr="00AD1756">
        <w:tab/>
      </w:r>
      <w:r w:rsidRPr="00AD1756">
        <w:tab/>
      </w:r>
      <w:r w:rsidR="00C428E5" w:rsidRPr="00AD1756">
        <w:t>Секретариат проведет презентацию по проекту совместного использования автомобилей (каршеринг и карпулинг), который осуществляется в настоящее время и сосредоточен на странах Центральной Азии. SC.1 будет предложено рассмотреть и поддержать руководящие принципы, разработанные для этого проекта (неофициальный документ № 3 (на английском языке) и неофициальный</w:t>
      </w:r>
      <w:r w:rsidRPr="00AD1756">
        <w:br/>
      </w:r>
      <w:r w:rsidR="00C428E5" w:rsidRPr="00AD1756">
        <w:t xml:space="preserve">документ № 4 (на русском языке)). </w:t>
      </w:r>
    </w:p>
    <w:p w14:paraId="31B7AE63" w14:textId="77777777" w:rsidR="00C428E5" w:rsidRPr="00AD1756" w:rsidRDefault="00E709F4" w:rsidP="00C428E5">
      <w:pPr>
        <w:pStyle w:val="SingleTxtG"/>
      </w:pPr>
      <w:r w:rsidRPr="00AD1756">
        <w:lastRenderedPageBreak/>
        <w:tab/>
      </w:r>
      <w:r w:rsidRPr="00AD1756">
        <w:tab/>
      </w:r>
      <w:r w:rsidR="00C428E5" w:rsidRPr="00AD1756">
        <w:t>SC.1, возможно, пожелает рассмотреть другие вопросы в рамках этого пункта повестки дня.</w:t>
      </w:r>
    </w:p>
    <w:p w14:paraId="6EA9E640" w14:textId="77777777" w:rsidR="00C428E5" w:rsidRPr="00AD1756" w:rsidRDefault="00C428E5" w:rsidP="00C428E5">
      <w:pPr>
        <w:pStyle w:val="SingleTxtG"/>
        <w:rPr>
          <w:b/>
          <w:bCs/>
        </w:rPr>
      </w:pPr>
      <w:r w:rsidRPr="00AD1756">
        <w:rPr>
          <w:b/>
          <w:bCs/>
        </w:rPr>
        <w:t>Документация</w:t>
      </w:r>
    </w:p>
    <w:p w14:paraId="06F320BC" w14:textId="77777777" w:rsidR="00C428E5" w:rsidRPr="00AD1756" w:rsidRDefault="00C428E5" w:rsidP="00AD1756">
      <w:pPr>
        <w:pStyle w:val="SingleTxtG"/>
        <w:jc w:val="left"/>
      </w:pPr>
      <w:r w:rsidRPr="00AD1756">
        <w:t>неофициальный документ № 3, неофициальный документ № 4</w:t>
      </w:r>
    </w:p>
    <w:p w14:paraId="383B8CF6" w14:textId="77777777" w:rsidR="00C428E5" w:rsidRPr="00AD1756" w:rsidRDefault="00E709F4" w:rsidP="00C428E5">
      <w:pPr>
        <w:pStyle w:val="H1G"/>
        <w:rPr>
          <w:rStyle w:val="SingleTxtGChar"/>
        </w:rPr>
      </w:pPr>
      <w:r w:rsidRPr="00AD1756">
        <w:tab/>
      </w:r>
      <w:r w:rsidR="00C428E5" w:rsidRPr="00AD1756">
        <w:t>10.</w:t>
      </w:r>
      <w:r w:rsidR="00C428E5" w:rsidRPr="00AD1756">
        <w:tab/>
        <w:t>Сроки проведения следующей сессии</w:t>
      </w:r>
    </w:p>
    <w:p w14:paraId="5F9B89D7" w14:textId="77777777" w:rsidR="00C428E5" w:rsidRPr="00AD1756" w:rsidRDefault="00E709F4" w:rsidP="00C428E5">
      <w:pPr>
        <w:pStyle w:val="SingleTxtG"/>
      </w:pPr>
      <w:r w:rsidRPr="00AD1756">
        <w:tab/>
      </w:r>
      <w:r w:rsidRPr="00AD1756">
        <w:tab/>
      </w:r>
      <w:r w:rsidR="00C428E5" w:rsidRPr="00AD1756">
        <w:t>Рабочая группа будет проинформирована о том, что ее следующую сессию планируется провести 13–15 октября 2021 года.</w:t>
      </w:r>
    </w:p>
    <w:p w14:paraId="6D03DA17" w14:textId="77777777" w:rsidR="00C428E5" w:rsidRPr="00AD1756" w:rsidRDefault="00E709F4" w:rsidP="00C428E5">
      <w:pPr>
        <w:pStyle w:val="H1G"/>
      </w:pPr>
      <w:r w:rsidRPr="00AD1756">
        <w:tab/>
      </w:r>
      <w:r w:rsidR="00C428E5" w:rsidRPr="00AD1756">
        <w:t>11.</w:t>
      </w:r>
      <w:r w:rsidR="00C428E5" w:rsidRPr="00AD1756">
        <w:tab/>
        <w:t>Выборы должностных лиц</w:t>
      </w:r>
    </w:p>
    <w:p w14:paraId="47D28E27" w14:textId="77777777" w:rsidR="00C428E5" w:rsidRPr="00AD1756" w:rsidRDefault="00E709F4" w:rsidP="00C428E5">
      <w:pPr>
        <w:pStyle w:val="SingleTxtG"/>
      </w:pPr>
      <w:r w:rsidRPr="00AD1756">
        <w:tab/>
      </w:r>
      <w:r w:rsidRPr="00AD1756">
        <w:tab/>
      </w:r>
      <w:r w:rsidR="00C428E5" w:rsidRPr="00AD1756">
        <w:t xml:space="preserve">Рабочей группе будет предложено избрать своих должностных лиц на период с ноября 2020 года по октябрь 2022 года. Кругом ведения и правилами процедуры SC.1 (ECE/TRANS/SC.1/396/Add.1, глава V, правило 12) предусматривается, что «один раз в два года в конце сессии второго года SC.1 избирает из числа представителей членов ЕЭК Председателя и двух заместителей Председателя, которые вступают в должность в начале первой сессии следующего после их избрания года. Эти должностные лица могут быть переизбраны». В настоящее время должностными лицами SC.1 являются г-н Р. Симоненко из Украины (Председатель) и г-н К. Левчак из Польши (заместитель Председателя). </w:t>
      </w:r>
    </w:p>
    <w:p w14:paraId="73A45A49" w14:textId="77777777" w:rsidR="00C428E5" w:rsidRPr="00AD1756" w:rsidRDefault="00E709F4" w:rsidP="00C428E5">
      <w:pPr>
        <w:pStyle w:val="H1G"/>
        <w:rPr>
          <w:rStyle w:val="SingleTxtGChar"/>
        </w:rPr>
      </w:pPr>
      <w:r w:rsidRPr="00AD1756">
        <w:tab/>
      </w:r>
      <w:r w:rsidR="00C428E5" w:rsidRPr="00AD1756">
        <w:t>12.</w:t>
      </w:r>
      <w:r w:rsidR="00C428E5" w:rsidRPr="00AD1756">
        <w:tab/>
        <w:t>Утверждение доклада</w:t>
      </w:r>
    </w:p>
    <w:p w14:paraId="0328A6D9" w14:textId="77777777" w:rsidR="00C428E5" w:rsidRPr="00AD1756" w:rsidRDefault="00E709F4" w:rsidP="00C428E5">
      <w:pPr>
        <w:pStyle w:val="SingleTxtG"/>
      </w:pPr>
      <w:r w:rsidRPr="00AD1756">
        <w:tab/>
      </w:r>
      <w:r w:rsidRPr="00AD1756">
        <w:tab/>
      </w:r>
      <w:r w:rsidR="00C428E5" w:rsidRPr="00AD1756">
        <w:t>Рабочая группа утвердит доклад о работе нынешней сессии.</w:t>
      </w:r>
    </w:p>
    <w:p w14:paraId="49957DEA" w14:textId="77777777" w:rsidR="00C428E5" w:rsidRPr="00AD1756" w:rsidRDefault="00C428E5" w:rsidP="00C428E5">
      <w:pPr>
        <w:spacing w:before="240"/>
        <w:jc w:val="center"/>
        <w:rPr>
          <w:u w:val="single"/>
        </w:rPr>
      </w:pPr>
      <w:r w:rsidRPr="00AD1756">
        <w:rPr>
          <w:u w:val="single"/>
        </w:rPr>
        <w:tab/>
      </w:r>
      <w:r w:rsidRPr="00AD1756">
        <w:rPr>
          <w:u w:val="single"/>
        </w:rPr>
        <w:tab/>
      </w:r>
      <w:r w:rsidRPr="00AD1756">
        <w:rPr>
          <w:u w:val="single"/>
        </w:rPr>
        <w:tab/>
      </w:r>
    </w:p>
    <w:p w14:paraId="070C64DD" w14:textId="77777777" w:rsidR="00E12C5F" w:rsidRPr="00AD1756" w:rsidRDefault="00E12C5F" w:rsidP="00D9145B"/>
    <w:sectPr w:rsidR="00E12C5F" w:rsidRPr="00AD1756" w:rsidSect="000D4699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9C23FF" w14:textId="77777777" w:rsidR="00981A6C" w:rsidRPr="00A312BC" w:rsidRDefault="00981A6C" w:rsidP="00A312BC"/>
  </w:endnote>
  <w:endnote w:type="continuationSeparator" w:id="0">
    <w:p w14:paraId="434C6710" w14:textId="77777777" w:rsidR="00981A6C" w:rsidRPr="00A312BC" w:rsidRDefault="00981A6C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561A6" w14:textId="77777777" w:rsidR="000D4699" w:rsidRPr="000D4699" w:rsidRDefault="000D4699">
    <w:pPr>
      <w:pStyle w:val="Footer"/>
    </w:pPr>
    <w:r w:rsidRPr="000D4699">
      <w:rPr>
        <w:b/>
        <w:sz w:val="18"/>
      </w:rPr>
      <w:fldChar w:fldCharType="begin"/>
    </w:r>
    <w:r w:rsidRPr="000D4699">
      <w:rPr>
        <w:b/>
        <w:sz w:val="18"/>
      </w:rPr>
      <w:instrText xml:space="preserve"> PAGE  \* MERGEFORMAT </w:instrText>
    </w:r>
    <w:r w:rsidRPr="000D4699">
      <w:rPr>
        <w:b/>
        <w:sz w:val="18"/>
      </w:rPr>
      <w:fldChar w:fldCharType="separate"/>
    </w:r>
    <w:r w:rsidRPr="000D4699">
      <w:rPr>
        <w:b/>
        <w:noProof/>
        <w:sz w:val="18"/>
      </w:rPr>
      <w:t>2</w:t>
    </w:r>
    <w:r w:rsidRPr="000D4699">
      <w:rPr>
        <w:b/>
        <w:sz w:val="18"/>
      </w:rPr>
      <w:fldChar w:fldCharType="end"/>
    </w:r>
    <w:r>
      <w:rPr>
        <w:b/>
        <w:sz w:val="18"/>
      </w:rPr>
      <w:tab/>
    </w:r>
    <w:r>
      <w:t>GE.20-10424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A63A3" w14:textId="77777777" w:rsidR="000D4699" w:rsidRPr="000D4699" w:rsidRDefault="000D4699" w:rsidP="000D4699">
    <w:pPr>
      <w:pStyle w:val="Footer"/>
      <w:tabs>
        <w:tab w:val="clear" w:pos="9639"/>
        <w:tab w:val="right" w:pos="9638"/>
      </w:tabs>
      <w:rPr>
        <w:b/>
        <w:sz w:val="18"/>
      </w:rPr>
    </w:pPr>
    <w:r>
      <w:t>GE.20-10424</w:t>
    </w:r>
    <w:r>
      <w:tab/>
    </w:r>
    <w:r w:rsidRPr="000D4699">
      <w:rPr>
        <w:b/>
        <w:sz w:val="18"/>
      </w:rPr>
      <w:fldChar w:fldCharType="begin"/>
    </w:r>
    <w:r w:rsidRPr="000D4699">
      <w:rPr>
        <w:b/>
        <w:sz w:val="18"/>
      </w:rPr>
      <w:instrText xml:space="preserve"> PAGE  \* MERGEFORMAT </w:instrText>
    </w:r>
    <w:r w:rsidRPr="000D4699">
      <w:rPr>
        <w:b/>
        <w:sz w:val="18"/>
      </w:rPr>
      <w:fldChar w:fldCharType="separate"/>
    </w:r>
    <w:r w:rsidRPr="000D4699">
      <w:rPr>
        <w:b/>
        <w:noProof/>
        <w:sz w:val="18"/>
      </w:rPr>
      <w:t>3</w:t>
    </w:r>
    <w:r w:rsidRPr="000D469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A00FB" w14:textId="77777777" w:rsidR="00042B72" w:rsidRPr="000D4699" w:rsidRDefault="000D4699" w:rsidP="000D4699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4C9BC2BD" wp14:editId="0E8AB8EF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20-10424  (R)</w:t>
    </w:r>
    <w:r w:rsidR="00AD1756">
      <w:t xml:space="preserve">  100820  100820</w:t>
    </w:r>
    <w:r>
      <w:br/>
    </w:r>
    <w:r w:rsidRPr="000D4699">
      <w:rPr>
        <w:rFonts w:ascii="C39T30Lfz" w:hAnsi="C39T30Lfz"/>
        <w:kern w:val="14"/>
        <w:sz w:val="56"/>
      </w:rPr>
      <w:t></w:t>
    </w:r>
    <w:r w:rsidRPr="000D4699">
      <w:rPr>
        <w:rFonts w:ascii="C39T30Lfz" w:hAnsi="C39T30Lfz"/>
        <w:kern w:val="14"/>
        <w:sz w:val="56"/>
      </w:rPr>
      <w:t></w:t>
    </w:r>
    <w:r w:rsidRPr="000D4699">
      <w:rPr>
        <w:rFonts w:ascii="C39T30Lfz" w:hAnsi="C39T30Lfz"/>
        <w:kern w:val="14"/>
        <w:sz w:val="56"/>
      </w:rPr>
      <w:t></w:t>
    </w:r>
    <w:r w:rsidRPr="000D4699">
      <w:rPr>
        <w:rFonts w:ascii="C39T30Lfz" w:hAnsi="C39T30Lfz"/>
        <w:kern w:val="14"/>
        <w:sz w:val="56"/>
      </w:rPr>
      <w:t></w:t>
    </w:r>
    <w:r w:rsidRPr="000D4699">
      <w:rPr>
        <w:rFonts w:ascii="C39T30Lfz" w:hAnsi="C39T30Lfz"/>
        <w:kern w:val="14"/>
        <w:sz w:val="56"/>
      </w:rPr>
      <w:t></w:t>
    </w:r>
    <w:r w:rsidRPr="000D4699">
      <w:rPr>
        <w:rFonts w:ascii="C39T30Lfz" w:hAnsi="C39T30Lfz"/>
        <w:kern w:val="14"/>
        <w:sz w:val="56"/>
      </w:rPr>
      <w:t></w:t>
    </w:r>
    <w:r w:rsidRPr="000D4699">
      <w:rPr>
        <w:rFonts w:ascii="C39T30Lfz" w:hAnsi="C39T30Lfz"/>
        <w:kern w:val="14"/>
        <w:sz w:val="56"/>
      </w:rPr>
      <w:t></w:t>
    </w:r>
    <w:r w:rsidRPr="000D4699">
      <w:rPr>
        <w:rFonts w:ascii="C39T30Lfz" w:hAnsi="C39T30Lfz"/>
        <w:kern w:val="14"/>
        <w:sz w:val="56"/>
      </w:rPr>
      <w:t></w:t>
    </w:r>
    <w:r w:rsidRPr="000D4699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449373AB" wp14:editId="67C9444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F677D9" w14:textId="77777777" w:rsidR="00981A6C" w:rsidRPr="001075E9" w:rsidRDefault="00981A6C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CDAD0DA" w14:textId="77777777" w:rsidR="00981A6C" w:rsidRDefault="00981A6C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2F4C695A" w14:textId="77777777" w:rsidR="00C428E5" w:rsidRPr="00250D52" w:rsidRDefault="00C428E5" w:rsidP="00C428E5">
      <w:pPr>
        <w:pStyle w:val="FootnoteText"/>
      </w:pPr>
      <w:r>
        <w:tab/>
      </w:r>
      <w:r w:rsidRPr="00C428E5">
        <w:rPr>
          <w:sz w:val="20"/>
        </w:rPr>
        <w:t>*</w:t>
      </w:r>
      <w:r>
        <w:tab/>
        <w:t>По соображениям экономии делегатов просят приносить на заседания все соответствующие документы. В зале заседаний никакая документация распространяться не будет. До сессии документы можно загрузить с веб-сайта Отдела транспорта ЕЭК ООН в Интернете (</w:t>
      </w:r>
      <w:hyperlink r:id="rId1" w:history="1">
        <w:r w:rsidRPr="009D3B7D">
          <w:rPr>
            <w:rStyle w:val="Hyperlink"/>
          </w:rPr>
          <w:t>www.unece.org/trans/main/welcwp1.html</w:t>
        </w:r>
      </w:hyperlink>
      <w:r>
        <w:t>). В порядке исключения документы можно также получить по электронной почте (</w:t>
      </w:r>
      <w:hyperlink r:id="rId2" w:history="1">
        <w:r w:rsidRPr="009D3B7D">
          <w:rPr>
            <w:rStyle w:val="Hyperlink"/>
          </w:rPr>
          <w:t>roadtransport@un.org</w:t>
        </w:r>
      </w:hyperlink>
      <w:r>
        <w:t>). В ходе сессии официальные документы можно получить в Секции распространения документов ЮНОГ (комната C.337, третий этаж, Дворец Наций).</w:t>
      </w:r>
    </w:p>
  </w:footnote>
  <w:footnote w:id="2">
    <w:p w14:paraId="21725F37" w14:textId="77777777" w:rsidR="00C428E5" w:rsidRPr="00250D52" w:rsidRDefault="00C428E5" w:rsidP="00C428E5">
      <w:pPr>
        <w:pStyle w:val="FootnoteText"/>
        <w:tabs>
          <w:tab w:val="clear" w:pos="1021"/>
          <w:tab w:val="right" w:pos="1020"/>
        </w:tabs>
        <w:rPr>
          <w:color w:val="000000"/>
        </w:rPr>
      </w:pPr>
      <w:r>
        <w:tab/>
      </w:r>
      <w:r w:rsidRPr="00C428E5">
        <w:rPr>
          <w:sz w:val="20"/>
        </w:rPr>
        <w:t>**</w:t>
      </w:r>
      <w:r>
        <w:tab/>
        <w:t>Делегатам предлагается зарегистрироваться онлайн (</w:t>
      </w:r>
      <w:hyperlink r:id="rId3" w:history="1">
        <w:r w:rsidRPr="009D3B7D">
          <w:rPr>
            <w:rStyle w:val="Hyperlink"/>
          </w:rPr>
          <w:t>https://uncdb.unece.org/app/ext/meeting-registration?id=69Dmzv</w:t>
        </w:r>
      </w:hyperlink>
      <w:r>
        <w:t xml:space="preserve"> или заполнить регистрационный бланк, имеющийся на веб-сайте Отдела устойчивого транспорта ЕЭК ООН (</w:t>
      </w:r>
      <w:hyperlink r:id="rId4" w:history="1">
        <w:r w:rsidRPr="009D3B7D">
          <w:rPr>
            <w:rStyle w:val="Hyperlink"/>
          </w:rPr>
          <w:t>www.unece.org/trans/registfr.html</w:t>
        </w:r>
      </w:hyperlink>
      <w:r>
        <w:t>). Его следует направить в секретариат ЕЭК ООН не позднее чем за одну неделю до начала сессии по электронной почте (</w:t>
      </w:r>
      <w:hyperlink r:id="rId5" w:history="1">
        <w:r w:rsidRPr="009D3B7D">
          <w:rPr>
            <w:rStyle w:val="Hyperlink"/>
          </w:rPr>
          <w:t>roadsafety@un.org</w:t>
        </w:r>
      </w:hyperlink>
      <w:r>
        <w:t xml:space="preserve">). </w:t>
      </w:r>
    </w:p>
    <w:p w14:paraId="3BBB7954" w14:textId="77777777" w:rsidR="00C428E5" w:rsidRPr="00250D52" w:rsidRDefault="00C428E5" w:rsidP="00CA6CBF">
      <w:pPr>
        <w:pStyle w:val="FootnoteText"/>
        <w:widowControl w:val="0"/>
      </w:pPr>
      <w:r>
        <w:tab/>
      </w:r>
      <w:r>
        <w:tab/>
        <w:t>По прибытии во Дворец Наций делегатам следует получить пропуск в Секции охраны и безопасности ЮНОГ, которая находится у въезда со стороны Прени (Pregny Gate) (14, Avenue de la Paix). В случае затруднений просьба связаться по телефону с секретариатом (внутренний номер: 75716 или 72401). Схему Дворца Наций и другую полезную информацию</w:t>
      </w:r>
      <w:r>
        <w:br/>
        <w:t>см. на веб-сайте (</w:t>
      </w:r>
      <w:hyperlink r:id="rId6" w:history="1">
        <w:r w:rsidRPr="009D3B7D">
          <w:rPr>
            <w:rStyle w:val="Hyperlink"/>
          </w:rPr>
          <w:t>www.unece.org/meetings/practical.htm</w:t>
        </w:r>
      </w:hyperlink>
      <w: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26DBD" w14:textId="3F728929" w:rsidR="000D4699" w:rsidRPr="000D4699" w:rsidRDefault="00BE668E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671BE1">
      <w:t>ECE/TRANS/SC.1/413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30A73" w14:textId="5BB5DF5F" w:rsidR="000D4699" w:rsidRPr="000D4699" w:rsidRDefault="00BE668E" w:rsidP="000D4699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671BE1">
      <w:t>ECE/TRANS/SC.1/413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A6C"/>
    <w:rsid w:val="00033EE1"/>
    <w:rsid w:val="00042B72"/>
    <w:rsid w:val="000558BD"/>
    <w:rsid w:val="000B57E7"/>
    <w:rsid w:val="000B6373"/>
    <w:rsid w:val="000D4699"/>
    <w:rsid w:val="000E4E5B"/>
    <w:rsid w:val="000F09DF"/>
    <w:rsid w:val="000F3753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71BE1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81A6C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AD1756"/>
    <w:rsid w:val="00AE51DD"/>
    <w:rsid w:val="00B10CC7"/>
    <w:rsid w:val="00B36DF7"/>
    <w:rsid w:val="00B539E7"/>
    <w:rsid w:val="00B62458"/>
    <w:rsid w:val="00BC18B2"/>
    <w:rsid w:val="00BD33EE"/>
    <w:rsid w:val="00BE1CC7"/>
    <w:rsid w:val="00BE668E"/>
    <w:rsid w:val="00C106D6"/>
    <w:rsid w:val="00C119AE"/>
    <w:rsid w:val="00C428E5"/>
    <w:rsid w:val="00C60F0C"/>
    <w:rsid w:val="00C71E84"/>
    <w:rsid w:val="00C805C9"/>
    <w:rsid w:val="00C92939"/>
    <w:rsid w:val="00CA1679"/>
    <w:rsid w:val="00CA6CBF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09F4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B5CCE67"/>
  <w15:docId w15:val="{2FFC7DC2-75ED-4D83-B521-77D818C79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C428E5"/>
    <w:rPr>
      <w:lang w:val="ru-RU" w:eastAsia="en-US"/>
    </w:rPr>
  </w:style>
  <w:style w:type="character" w:customStyle="1" w:styleId="H1GChar">
    <w:name w:val="_ H_1_G Char"/>
    <w:link w:val="H1G"/>
    <w:rsid w:val="00C428E5"/>
    <w:rPr>
      <w:b/>
      <w:sz w:val="24"/>
      <w:lang w:val="ru-RU" w:eastAsia="ru-RU"/>
    </w:rPr>
  </w:style>
  <w:style w:type="character" w:styleId="UnresolvedMention">
    <w:name w:val="Unresolved Mention"/>
    <w:basedOn w:val="DefaultParagraphFont"/>
    <w:uiPriority w:val="99"/>
    <w:semiHidden/>
    <w:unhideWhenUsed/>
    <w:rsid w:val="00C428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uncdb.unece.org/app/ext/meeting-registration?id=69Dmzv" TargetMode="External"/><Relationship Id="rId2" Type="http://schemas.openxmlformats.org/officeDocument/2006/relationships/hyperlink" Target="mailto:roadtransport@un.org" TargetMode="External"/><Relationship Id="rId1" Type="http://schemas.openxmlformats.org/officeDocument/2006/relationships/hyperlink" Target="http://www.unece.org/trans/main/welcwp1.html" TargetMode="External"/><Relationship Id="rId6" Type="http://schemas.openxmlformats.org/officeDocument/2006/relationships/hyperlink" Target="http://www.unece.org/meetings/practical.htm" TargetMode="External"/><Relationship Id="rId5" Type="http://schemas.openxmlformats.org/officeDocument/2006/relationships/hyperlink" Target="mailto:roadsafety@un.org" TargetMode="External"/><Relationship Id="rId4" Type="http://schemas.openxmlformats.org/officeDocument/2006/relationships/hyperlink" Target="http://www.unece.org/trans/registfr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3130</Words>
  <Characters>17845</Characters>
  <Application>Microsoft Office Word</Application>
  <DocSecurity>4</DocSecurity>
  <Lines>148</Lines>
  <Paragraphs>41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ECE/TRANS/SC.1/413</vt:lpstr>
      <vt:lpstr>A/</vt:lpstr>
      <vt:lpstr>A/</vt:lpstr>
    </vt:vector>
  </TitlesOfParts>
  <Company>DCM</Company>
  <LinksUpToDate>false</LinksUpToDate>
  <CharactersWithSpaces>20934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ECE/TRANS/SC.1/413</dc:title>
  <dc:subject/>
  <dc:creator>Uliana ANTIPOVA</dc:creator>
  <cp:keywords/>
  <cp:lastModifiedBy>Josephine Ayiku</cp:lastModifiedBy>
  <cp:revision>2</cp:revision>
  <cp:lastPrinted>2020-08-10T12:58:00Z</cp:lastPrinted>
  <dcterms:created xsi:type="dcterms:W3CDTF">2020-09-01T13:48:00Z</dcterms:created>
  <dcterms:modified xsi:type="dcterms:W3CDTF">2020-09-01T13:48:00Z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