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6EC8513" w14:textId="77777777" w:rsidTr="00C97039">
        <w:trPr>
          <w:trHeight w:hRule="exact" w:val="851"/>
        </w:trPr>
        <w:tc>
          <w:tcPr>
            <w:tcW w:w="1276" w:type="dxa"/>
            <w:tcBorders>
              <w:bottom w:val="single" w:sz="4" w:space="0" w:color="auto"/>
            </w:tcBorders>
          </w:tcPr>
          <w:p w14:paraId="1553665E" w14:textId="77777777" w:rsidR="00F35BAF" w:rsidRPr="00DB58B5" w:rsidRDefault="00F35BAF" w:rsidP="00866775"/>
        </w:tc>
        <w:tc>
          <w:tcPr>
            <w:tcW w:w="2268" w:type="dxa"/>
            <w:tcBorders>
              <w:bottom w:val="single" w:sz="4" w:space="0" w:color="auto"/>
            </w:tcBorders>
            <w:vAlign w:val="bottom"/>
          </w:tcPr>
          <w:p w14:paraId="3B8AEB1B"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B6A452C" w14:textId="77777777" w:rsidR="00F35BAF" w:rsidRPr="00DB58B5" w:rsidRDefault="00866775" w:rsidP="00866775">
            <w:pPr>
              <w:jc w:val="right"/>
            </w:pPr>
            <w:r w:rsidRPr="00866775">
              <w:rPr>
                <w:sz w:val="40"/>
              </w:rPr>
              <w:t>ECE</w:t>
            </w:r>
            <w:r>
              <w:t>/TRANS/WP.15/AC.2/74</w:t>
            </w:r>
          </w:p>
        </w:tc>
      </w:tr>
      <w:tr w:rsidR="00F35BAF" w:rsidRPr="00DB58B5" w14:paraId="380C4969" w14:textId="77777777" w:rsidTr="00C97039">
        <w:trPr>
          <w:trHeight w:hRule="exact" w:val="2835"/>
        </w:trPr>
        <w:tc>
          <w:tcPr>
            <w:tcW w:w="1276" w:type="dxa"/>
            <w:tcBorders>
              <w:top w:val="single" w:sz="4" w:space="0" w:color="auto"/>
              <w:bottom w:val="single" w:sz="12" w:space="0" w:color="auto"/>
            </w:tcBorders>
          </w:tcPr>
          <w:p w14:paraId="0AB9E673" w14:textId="77777777" w:rsidR="00F35BAF" w:rsidRPr="00DB58B5" w:rsidRDefault="00F35BAF" w:rsidP="00C97039">
            <w:pPr>
              <w:spacing w:before="120"/>
              <w:jc w:val="center"/>
            </w:pPr>
            <w:r>
              <w:rPr>
                <w:noProof/>
                <w:lang w:eastAsia="fr-CH"/>
              </w:rPr>
              <w:drawing>
                <wp:inline distT="0" distB="0" distL="0" distR="0" wp14:anchorId="4742CB27" wp14:editId="6878643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8CA7444"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9DB07CE" w14:textId="77777777" w:rsidR="00F35BAF" w:rsidRDefault="00866775" w:rsidP="00C97039">
            <w:pPr>
              <w:spacing w:before="240"/>
            </w:pPr>
            <w:r>
              <w:t>Distr. générale</w:t>
            </w:r>
          </w:p>
          <w:p w14:paraId="52C73F07" w14:textId="77777777" w:rsidR="00866775" w:rsidRDefault="00866775" w:rsidP="00866775">
            <w:pPr>
              <w:spacing w:line="240" w:lineRule="exact"/>
            </w:pPr>
            <w:r>
              <w:t>13 février 2020</w:t>
            </w:r>
          </w:p>
          <w:p w14:paraId="40C9DD8A" w14:textId="77777777" w:rsidR="00866775" w:rsidRDefault="00866775" w:rsidP="00866775">
            <w:pPr>
              <w:spacing w:line="240" w:lineRule="exact"/>
            </w:pPr>
            <w:r>
              <w:t>Français</w:t>
            </w:r>
          </w:p>
          <w:p w14:paraId="1B44C37D" w14:textId="77777777" w:rsidR="00866775" w:rsidRPr="00DB58B5" w:rsidRDefault="00866775" w:rsidP="00866775">
            <w:pPr>
              <w:spacing w:line="240" w:lineRule="exact"/>
            </w:pPr>
            <w:r>
              <w:t>Original : anglais</w:t>
            </w:r>
          </w:p>
        </w:tc>
      </w:tr>
    </w:tbl>
    <w:p w14:paraId="4A69010F" w14:textId="77777777" w:rsidR="007F20FA" w:rsidRPr="000312C0" w:rsidRDefault="007F20FA" w:rsidP="007F20FA">
      <w:pPr>
        <w:spacing w:before="120"/>
        <w:rPr>
          <w:b/>
          <w:sz w:val="28"/>
          <w:szCs w:val="28"/>
        </w:rPr>
      </w:pPr>
      <w:r w:rsidRPr="000312C0">
        <w:rPr>
          <w:b/>
          <w:sz w:val="28"/>
          <w:szCs w:val="28"/>
        </w:rPr>
        <w:t>Commission économique pour l</w:t>
      </w:r>
      <w:r w:rsidR="003968B4">
        <w:rPr>
          <w:b/>
          <w:sz w:val="28"/>
          <w:szCs w:val="28"/>
        </w:rPr>
        <w:t>’</w:t>
      </w:r>
      <w:r w:rsidRPr="000312C0">
        <w:rPr>
          <w:b/>
          <w:sz w:val="28"/>
          <w:szCs w:val="28"/>
        </w:rPr>
        <w:t>Europe</w:t>
      </w:r>
    </w:p>
    <w:p w14:paraId="395A73F7" w14:textId="77777777" w:rsidR="007F20FA" w:rsidRDefault="007F20FA" w:rsidP="007F20FA">
      <w:pPr>
        <w:spacing w:before="120"/>
        <w:rPr>
          <w:sz w:val="28"/>
          <w:szCs w:val="28"/>
        </w:rPr>
      </w:pPr>
      <w:r w:rsidRPr="00685843">
        <w:rPr>
          <w:sz w:val="28"/>
          <w:szCs w:val="28"/>
        </w:rPr>
        <w:t>Comité des transports intérieurs</w:t>
      </w:r>
    </w:p>
    <w:p w14:paraId="5E1FAA90" w14:textId="77777777" w:rsidR="00866775" w:rsidRPr="009E01B8" w:rsidRDefault="00866775" w:rsidP="00AF0CB5">
      <w:pPr>
        <w:spacing w:before="120"/>
        <w:rPr>
          <w:b/>
          <w:sz w:val="24"/>
          <w:szCs w:val="24"/>
        </w:rPr>
      </w:pPr>
      <w:r w:rsidRPr="009E01B8">
        <w:rPr>
          <w:b/>
          <w:sz w:val="24"/>
          <w:szCs w:val="24"/>
        </w:rPr>
        <w:t>Groupe de travail des transports</w:t>
      </w:r>
      <w:r>
        <w:rPr>
          <w:b/>
          <w:sz w:val="24"/>
          <w:szCs w:val="24"/>
        </w:rPr>
        <w:t xml:space="preserve"> </w:t>
      </w:r>
      <w:r w:rsidRPr="009E01B8">
        <w:rPr>
          <w:b/>
          <w:sz w:val="24"/>
          <w:szCs w:val="24"/>
        </w:rPr>
        <w:t>de marchandises dangereuses</w:t>
      </w:r>
    </w:p>
    <w:p w14:paraId="7FDF3C5C" w14:textId="77777777" w:rsidR="00866775" w:rsidRPr="004812F5" w:rsidRDefault="00866775" w:rsidP="00AF0CB5">
      <w:pPr>
        <w:spacing w:before="120"/>
        <w:rPr>
          <w:b/>
        </w:rPr>
      </w:pPr>
      <w:r w:rsidRPr="004812F5">
        <w:rPr>
          <w:b/>
          <w:lang w:val="fr-FR"/>
        </w:rPr>
        <w:t>Réunion commune d</w:t>
      </w:r>
      <w:r w:rsidR="003968B4">
        <w:rPr>
          <w:b/>
          <w:lang w:val="fr-FR"/>
        </w:rPr>
        <w:t>’</w:t>
      </w:r>
      <w:r w:rsidRPr="004812F5">
        <w:rPr>
          <w:b/>
          <w:lang w:val="fr-FR"/>
        </w:rPr>
        <w:t>experts sur le Règlement annexé</w:t>
      </w:r>
      <w:r>
        <w:rPr>
          <w:b/>
          <w:lang w:val="fr-FR"/>
        </w:rPr>
        <w:br/>
      </w:r>
      <w:r w:rsidRPr="004812F5">
        <w:rPr>
          <w:b/>
          <w:lang w:val="fr-FR"/>
        </w:rPr>
        <w:t>à l</w:t>
      </w:r>
      <w:r w:rsidR="003968B4">
        <w:rPr>
          <w:b/>
          <w:lang w:val="fr-FR"/>
        </w:rPr>
        <w:t>’</w:t>
      </w:r>
      <w:r w:rsidRPr="004812F5">
        <w:rPr>
          <w:b/>
          <w:lang w:val="fr-FR"/>
        </w:rPr>
        <w:t>Accord européen</w:t>
      </w:r>
      <w:r>
        <w:rPr>
          <w:b/>
          <w:lang w:val="fr-FR"/>
        </w:rPr>
        <w:t xml:space="preserve"> </w:t>
      </w:r>
      <w:r w:rsidRPr="004812F5">
        <w:rPr>
          <w:b/>
          <w:lang w:val="fr-FR"/>
        </w:rPr>
        <w:t>relatif au transport international</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de navigation</w:t>
      </w:r>
      <w:r>
        <w:rPr>
          <w:b/>
          <w:bCs/>
          <w:iCs/>
          <w:lang w:val="fr-FR"/>
        </w:rPr>
        <w:br/>
      </w:r>
      <w:r w:rsidRPr="004812F5">
        <w:rPr>
          <w:b/>
          <w:bCs/>
          <w:iCs/>
          <w:lang w:val="fr-FR"/>
        </w:rPr>
        <w:t xml:space="preserve">intérieures (ADN) </w:t>
      </w:r>
      <w:r w:rsidRPr="004812F5">
        <w:rPr>
          <w:b/>
          <w:bCs/>
          <w:lang w:val="fr-FR"/>
        </w:rPr>
        <w:t>(Comité de sécurité de l</w:t>
      </w:r>
      <w:r w:rsidR="003968B4">
        <w:rPr>
          <w:b/>
          <w:bCs/>
          <w:lang w:val="fr-FR"/>
        </w:rPr>
        <w:t>’</w:t>
      </w:r>
      <w:r w:rsidRPr="004812F5">
        <w:rPr>
          <w:b/>
          <w:bCs/>
          <w:lang w:val="fr-FR"/>
        </w:rPr>
        <w:t>ADN)</w:t>
      </w:r>
    </w:p>
    <w:p w14:paraId="321BA4C3" w14:textId="77777777" w:rsidR="00866775" w:rsidRPr="00234E40" w:rsidRDefault="00866775" w:rsidP="00AF0CB5">
      <w:pPr>
        <w:spacing w:before="120"/>
        <w:rPr>
          <w:b/>
        </w:rPr>
      </w:pPr>
      <w:r w:rsidRPr="00866775">
        <w:rPr>
          <w:b/>
          <w:bCs/>
          <w:lang w:val="fr-FR"/>
        </w:rPr>
        <w:t>Trente-sixième</w:t>
      </w:r>
      <w:r>
        <w:rPr>
          <w:b/>
        </w:rPr>
        <w:t xml:space="preserve"> </w:t>
      </w:r>
      <w:r w:rsidRPr="00234E40">
        <w:rPr>
          <w:b/>
        </w:rPr>
        <w:t>session</w:t>
      </w:r>
    </w:p>
    <w:p w14:paraId="698C92BF" w14:textId="77777777" w:rsidR="00866775" w:rsidRDefault="00866775" w:rsidP="00AF0CB5">
      <w:r>
        <w:t xml:space="preserve">Genève, </w:t>
      </w:r>
      <w:r w:rsidRPr="00866775">
        <w:t>27-31 janvier 2020</w:t>
      </w:r>
    </w:p>
    <w:p w14:paraId="50E69548" w14:textId="77777777" w:rsidR="00866775" w:rsidRPr="00866775" w:rsidRDefault="00866775" w:rsidP="00866775">
      <w:pPr>
        <w:pStyle w:val="HChG"/>
        <w:rPr>
          <w:lang w:val="fr-FR"/>
        </w:rPr>
      </w:pPr>
      <w:bookmarkStart w:id="0" w:name="_Toc410743246"/>
      <w:bookmarkStart w:id="1" w:name="_Toc428948781"/>
      <w:bookmarkStart w:id="2" w:name="_Toc442372095"/>
      <w:bookmarkStart w:id="3" w:name="_Toc505688398"/>
      <w:bookmarkStart w:id="4" w:name="_Toc32481629"/>
      <w:r>
        <w:rPr>
          <w:lang w:val="fr-FR"/>
        </w:rPr>
        <w:tab/>
      </w:r>
      <w:r>
        <w:rPr>
          <w:lang w:val="fr-FR"/>
        </w:rPr>
        <w:tab/>
      </w:r>
      <w:r w:rsidRPr="00866775">
        <w:rPr>
          <w:lang w:val="fr-FR"/>
        </w:rPr>
        <w:t>Rapport de la Réunion commune d</w:t>
      </w:r>
      <w:r w:rsidR="003968B4">
        <w:rPr>
          <w:lang w:val="fr-FR"/>
        </w:rPr>
        <w:t>’</w:t>
      </w:r>
      <w:r w:rsidRPr="00866775">
        <w:rPr>
          <w:lang w:val="fr-FR"/>
        </w:rPr>
        <w:t>experts du Règlement annexé à l</w:t>
      </w:r>
      <w:r w:rsidR="003968B4">
        <w:rPr>
          <w:lang w:val="fr-FR"/>
        </w:rPr>
        <w:t>’</w:t>
      </w:r>
      <w:r w:rsidRPr="00866775">
        <w:rPr>
          <w:lang w:val="fr-FR"/>
        </w:rPr>
        <w:t xml:space="preserve">Accord européen relatif au transport </w:t>
      </w:r>
      <w:r>
        <w:rPr>
          <w:lang w:val="fr-FR"/>
        </w:rPr>
        <w:br/>
      </w:r>
      <w:r w:rsidRPr="00866775">
        <w:rPr>
          <w:lang w:val="fr-FR"/>
        </w:rPr>
        <w:t xml:space="preserve">international des marchandises dangereuses par voies </w:t>
      </w:r>
      <w:r>
        <w:rPr>
          <w:lang w:val="fr-FR"/>
        </w:rPr>
        <w:br/>
      </w:r>
      <w:r w:rsidRPr="00866775">
        <w:rPr>
          <w:lang w:val="fr-FR"/>
        </w:rPr>
        <w:t>de navigation intérieures (Comité de sécurité de l</w:t>
      </w:r>
      <w:r w:rsidR="003968B4">
        <w:rPr>
          <w:lang w:val="fr-FR"/>
        </w:rPr>
        <w:t>’</w:t>
      </w:r>
      <w:r w:rsidRPr="00866775">
        <w:rPr>
          <w:lang w:val="fr-FR"/>
        </w:rPr>
        <w:t xml:space="preserve">ADN) </w:t>
      </w:r>
      <w:r>
        <w:rPr>
          <w:lang w:val="fr-FR"/>
        </w:rPr>
        <w:br/>
      </w:r>
      <w:r w:rsidRPr="00866775">
        <w:rPr>
          <w:lang w:val="fr-FR"/>
        </w:rPr>
        <w:t>sur sa trente-sixième session</w:t>
      </w:r>
      <w:bookmarkEnd w:id="0"/>
      <w:bookmarkEnd w:id="1"/>
      <w:bookmarkEnd w:id="2"/>
      <w:bookmarkEnd w:id="3"/>
      <w:r w:rsidRPr="00866775">
        <w:rPr>
          <w:b w:val="0"/>
          <w:sz w:val="20"/>
          <w:lang w:val="en-US"/>
        </w:rPr>
        <w:footnoteReference w:customMarkFollows="1" w:id="2"/>
        <w:sym w:font="Symbol" w:char="F02A"/>
      </w:r>
      <w:bookmarkEnd w:id="4"/>
    </w:p>
    <w:p w14:paraId="38F9DA93" w14:textId="77777777" w:rsidR="00866775" w:rsidRPr="00866775" w:rsidRDefault="00866775" w:rsidP="00866775">
      <w:pPr>
        <w:spacing w:after="120"/>
        <w:rPr>
          <w:sz w:val="28"/>
        </w:rPr>
      </w:pPr>
      <w:r w:rsidRPr="00866775">
        <w:br w:type="page"/>
      </w:r>
      <w:r w:rsidRPr="00866775">
        <w:rPr>
          <w:sz w:val="28"/>
        </w:rPr>
        <w:lastRenderedPageBreak/>
        <w:t>Table des matières</w:t>
      </w:r>
    </w:p>
    <w:p w14:paraId="64431710" w14:textId="77777777" w:rsidR="00866775" w:rsidRPr="00866775" w:rsidRDefault="00866775" w:rsidP="00866775">
      <w:pPr>
        <w:tabs>
          <w:tab w:val="right" w:pos="8929"/>
          <w:tab w:val="right" w:pos="9638"/>
        </w:tabs>
        <w:spacing w:after="120"/>
        <w:ind w:left="283"/>
        <w:rPr>
          <w:i/>
          <w:sz w:val="18"/>
        </w:rPr>
      </w:pPr>
      <w:r w:rsidRPr="00866775">
        <w:rPr>
          <w:i/>
          <w:sz w:val="18"/>
        </w:rPr>
        <w:tab/>
        <w:t>Paragraphes</w:t>
      </w:r>
      <w:r w:rsidRPr="00866775">
        <w:rPr>
          <w:i/>
          <w:sz w:val="18"/>
        </w:rPr>
        <w:tab/>
        <w:t>Page</w:t>
      </w:r>
    </w:p>
    <w:p w14:paraId="7CD89C99" w14:textId="77777777" w:rsidR="00866775" w:rsidRDefault="00866775" w:rsidP="00866775">
      <w:pPr>
        <w:tabs>
          <w:tab w:val="right" w:pos="850"/>
          <w:tab w:val="right" w:leader="dot" w:pos="7654"/>
          <w:tab w:val="right" w:pos="8929"/>
          <w:tab w:val="right" w:pos="9638"/>
        </w:tabs>
        <w:spacing w:after="120"/>
        <w:ind w:left="1134" w:hanging="1134"/>
      </w:pPr>
      <w:r>
        <w:tab/>
        <w:t>I.</w:t>
      </w:r>
      <w:r>
        <w:tab/>
      </w:r>
      <w:r w:rsidR="009D0112" w:rsidRPr="00866775">
        <w:rPr>
          <w:lang w:val="fr-FR"/>
        </w:rPr>
        <w:t>Participation</w:t>
      </w:r>
      <w:r>
        <w:tab/>
      </w:r>
      <w:r>
        <w:tab/>
      </w:r>
      <w:r w:rsidR="003C2BA9" w:rsidRPr="003C2BA9">
        <w:rPr>
          <w:webHidden/>
        </w:rPr>
        <w:t>1−4</w:t>
      </w:r>
      <w:r>
        <w:tab/>
      </w:r>
      <w:r w:rsidR="00AD037E">
        <w:t>4</w:t>
      </w:r>
    </w:p>
    <w:p w14:paraId="1CFC86FB" w14:textId="77777777" w:rsidR="00866775" w:rsidRDefault="00866775" w:rsidP="00866775">
      <w:pPr>
        <w:tabs>
          <w:tab w:val="right" w:pos="850"/>
          <w:tab w:val="right" w:leader="dot" w:pos="7654"/>
          <w:tab w:val="right" w:pos="8929"/>
          <w:tab w:val="right" w:pos="9638"/>
        </w:tabs>
        <w:spacing w:after="120"/>
        <w:ind w:left="1134" w:hanging="1134"/>
      </w:pPr>
      <w:r>
        <w:tab/>
        <w:t>II.</w:t>
      </w:r>
      <w:r>
        <w:tab/>
      </w:r>
      <w:r w:rsidR="009D0112" w:rsidRPr="00866775">
        <w:rPr>
          <w:lang w:val="fr-FR"/>
        </w:rPr>
        <w:t>Adoption de l</w:t>
      </w:r>
      <w:r w:rsidR="003968B4">
        <w:rPr>
          <w:lang w:val="fr-FR"/>
        </w:rPr>
        <w:t>’</w:t>
      </w:r>
      <w:r w:rsidR="009D0112" w:rsidRPr="00866775">
        <w:rPr>
          <w:lang w:val="fr-FR"/>
        </w:rPr>
        <w:t>ordre du jour (point</w:t>
      </w:r>
      <w:r w:rsidR="009D0112">
        <w:rPr>
          <w:lang w:val="fr-FR"/>
        </w:rPr>
        <w:t> </w:t>
      </w:r>
      <w:r w:rsidR="009D0112" w:rsidRPr="00866775">
        <w:rPr>
          <w:lang w:val="fr-FR"/>
        </w:rPr>
        <w:t>1 de l</w:t>
      </w:r>
      <w:r w:rsidR="003968B4">
        <w:rPr>
          <w:lang w:val="fr-FR"/>
        </w:rPr>
        <w:t>’</w:t>
      </w:r>
      <w:r w:rsidR="009D0112" w:rsidRPr="00866775">
        <w:rPr>
          <w:lang w:val="fr-FR"/>
        </w:rPr>
        <w:t>ordre du jour)</w:t>
      </w:r>
      <w:r>
        <w:tab/>
      </w:r>
      <w:r>
        <w:tab/>
      </w:r>
      <w:r w:rsidR="003C2BA9" w:rsidRPr="003C2BA9">
        <w:rPr>
          <w:webHidden/>
        </w:rPr>
        <w:t>5</w:t>
      </w:r>
      <w:r>
        <w:tab/>
      </w:r>
      <w:r w:rsidR="00AD037E">
        <w:t>4</w:t>
      </w:r>
    </w:p>
    <w:p w14:paraId="1ED30628" w14:textId="77777777" w:rsidR="00866775" w:rsidRDefault="00866775" w:rsidP="00866775">
      <w:pPr>
        <w:tabs>
          <w:tab w:val="right" w:pos="850"/>
          <w:tab w:val="right" w:leader="dot" w:pos="7654"/>
          <w:tab w:val="right" w:pos="8929"/>
          <w:tab w:val="right" w:pos="9638"/>
        </w:tabs>
        <w:spacing w:after="120"/>
        <w:ind w:left="1134" w:hanging="1134"/>
      </w:pPr>
      <w:r>
        <w:tab/>
        <w:t>III.</w:t>
      </w:r>
      <w:r>
        <w:tab/>
      </w:r>
      <w:r w:rsidR="009D0112" w:rsidRPr="00866775">
        <w:rPr>
          <w:lang w:val="fr-FR"/>
        </w:rPr>
        <w:t>Élection du Bureau pour 2020 (point</w:t>
      </w:r>
      <w:r w:rsidR="009D0112">
        <w:rPr>
          <w:lang w:val="fr-FR"/>
        </w:rPr>
        <w:t> </w:t>
      </w:r>
      <w:r w:rsidR="009D0112" w:rsidRPr="00866775">
        <w:rPr>
          <w:lang w:val="fr-FR"/>
        </w:rPr>
        <w:t>2 de l</w:t>
      </w:r>
      <w:r w:rsidR="003968B4">
        <w:rPr>
          <w:lang w:val="fr-FR"/>
        </w:rPr>
        <w:t>’</w:t>
      </w:r>
      <w:r w:rsidR="009D0112" w:rsidRPr="00866775">
        <w:rPr>
          <w:lang w:val="fr-FR"/>
        </w:rPr>
        <w:t>ordre du jour)</w:t>
      </w:r>
      <w:r>
        <w:tab/>
      </w:r>
      <w:r>
        <w:tab/>
      </w:r>
      <w:r w:rsidR="003C2BA9">
        <w:t>6</w:t>
      </w:r>
      <w:r>
        <w:tab/>
      </w:r>
      <w:r w:rsidR="00AD037E">
        <w:t>4</w:t>
      </w:r>
    </w:p>
    <w:p w14:paraId="209FDE23" w14:textId="77777777" w:rsidR="00866775" w:rsidRDefault="00866775" w:rsidP="00866775">
      <w:pPr>
        <w:tabs>
          <w:tab w:val="right" w:pos="850"/>
          <w:tab w:val="right" w:leader="dot" w:pos="7654"/>
          <w:tab w:val="right" w:pos="8929"/>
          <w:tab w:val="right" w:pos="9638"/>
        </w:tabs>
        <w:spacing w:after="120"/>
        <w:ind w:left="1134" w:hanging="1134"/>
      </w:pPr>
      <w:r>
        <w:tab/>
        <w:t>IV.</w:t>
      </w:r>
      <w:r>
        <w:tab/>
      </w:r>
      <w:r w:rsidR="009D0112" w:rsidRPr="00866775">
        <w:rPr>
          <w:lang w:val="fr-FR"/>
        </w:rPr>
        <w:t>Questions découlant des travaux d</w:t>
      </w:r>
      <w:r w:rsidR="003968B4">
        <w:rPr>
          <w:lang w:val="fr-FR"/>
        </w:rPr>
        <w:t>’</w:t>
      </w:r>
      <w:r w:rsidR="009D0112" w:rsidRPr="00866775">
        <w:rPr>
          <w:lang w:val="fr-FR"/>
        </w:rPr>
        <w:t>organes des Nations</w:t>
      </w:r>
      <w:r w:rsidR="009D0112">
        <w:rPr>
          <w:lang w:val="fr-FR"/>
        </w:rPr>
        <w:t> </w:t>
      </w:r>
      <w:r w:rsidR="009D0112" w:rsidRPr="00866775">
        <w:rPr>
          <w:lang w:val="fr-FR"/>
        </w:rPr>
        <w:t xml:space="preserve">Unies ou </w:t>
      </w:r>
      <w:r w:rsidR="009D0112">
        <w:rPr>
          <w:lang w:val="fr-FR"/>
        </w:rPr>
        <w:br/>
      </w:r>
      <w:r w:rsidR="009D0112" w:rsidRPr="00866775">
        <w:rPr>
          <w:lang w:val="fr-FR"/>
        </w:rPr>
        <w:t>d</w:t>
      </w:r>
      <w:r w:rsidR="003968B4">
        <w:rPr>
          <w:lang w:val="fr-FR"/>
        </w:rPr>
        <w:t>’</w:t>
      </w:r>
      <w:r w:rsidR="009D0112" w:rsidRPr="00866775">
        <w:rPr>
          <w:lang w:val="fr-FR"/>
        </w:rPr>
        <w:t>autres organisations (point</w:t>
      </w:r>
      <w:r w:rsidR="009D0112">
        <w:rPr>
          <w:lang w:val="fr-FR"/>
        </w:rPr>
        <w:t> </w:t>
      </w:r>
      <w:r w:rsidR="009D0112" w:rsidRPr="00866775">
        <w:rPr>
          <w:lang w:val="fr-FR"/>
        </w:rPr>
        <w:t>3 de l</w:t>
      </w:r>
      <w:r w:rsidR="003968B4">
        <w:rPr>
          <w:lang w:val="fr-FR"/>
        </w:rPr>
        <w:t>’</w:t>
      </w:r>
      <w:r w:rsidR="009D0112" w:rsidRPr="00866775">
        <w:rPr>
          <w:lang w:val="fr-FR"/>
        </w:rPr>
        <w:t>ordre du jour)</w:t>
      </w:r>
      <w:r>
        <w:tab/>
      </w:r>
      <w:r>
        <w:tab/>
      </w:r>
      <w:r w:rsidR="003C2BA9" w:rsidRPr="003C2BA9">
        <w:rPr>
          <w:webHidden/>
        </w:rPr>
        <w:t>7</w:t>
      </w:r>
      <w:r w:rsidR="00A039A0">
        <w:rPr>
          <w:webHidden/>
        </w:rPr>
        <w:t>−</w:t>
      </w:r>
      <w:r w:rsidR="003C2BA9" w:rsidRPr="003C2BA9">
        <w:rPr>
          <w:webHidden/>
        </w:rPr>
        <w:t>13</w:t>
      </w:r>
      <w:r>
        <w:tab/>
      </w:r>
      <w:r w:rsidR="00A039A0">
        <w:t>4</w:t>
      </w:r>
    </w:p>
    <w:p w14:paraId="3019A1A2" w14:textId="77777777" w:rsidR="00866775" w:rsidRDefault="00866775" w:rsidP="00866775">
      <w:pPr>
        <w:tabs>
          <w:tab w:val="right" w:leader="dot" w:pos="7654"/>
          <w:tab w:val="right" w:pos="8929"/>
          <w:tab w:val="right" w:pos="9638"/>
        </w:tabs>
        <w:spacing w:after="120"/>
        <w:ind w:left="1559" w:hanging="425"/>
      </w:pPr>
      <w:r>
        <w:t>A.</w:t>
      </w:r>
      <w:r>
        <w:tab/>
      </w:r>
      <w:r w:rsidR="009D0112" w:rsidRPr="00866775">
        <w:rPr>
          <w:lang w:val="fr-FR"/>
        </w:rPr>
        <w:t xml:space="preserve">Informations communiquées par le secrétariat </w:t>
      </w:r>
      <w:r w:rsidR="009D0112">
        <w:rPr>
          <w:lang w:val="fr-FR"/>
        </w:rPr>
        <w:br/>
      </w:r>
      <w:r w:rsidR="009D0112" w:rsidRPr="00866775">
        <w:rPr>
          <w:lang w:val="fr-FR"/>
        </w:rPr>
        <w:t>de la Commission du Danube</w:t>
      </w:r>
      <w:r>
        <w:tab/>
      </w:r>
      <w:r>
        <w:tab/>
      </w:r>
      <w:r w:rsidR="003C2BA9" w:rsidRPr="003C2BA9">
        <w:rPr>
          <w:webHidden/>
        </w:rPr>
        <w:t>8-9</w:t>
      </w:r>
      <w:r>
        <w:tab/>
      </w:r>
      <w:r w:rsidR="00A039A0">
        <w:t>5</w:t>
      </w:r>
    </w:p>
    <w:p w14:paraId="625A912D" w14:textId="77777777" w:rsidR="00866775" w:rsidRDefault="00866775" w:rsidP="00866775">
      <w:pPr>
        <w:tabs>
          <w:tab w:val="right" w:leader="dot" w:pos="7654"/>
          <w:tab w:val="right" w:pos="8929"/>
          <w:tab w:val="right" w:pos="9638"/>
        </w:tabs>
        <w:spacing w:after="120"/>
        <w:ind w:left="1559" w:hanging="425"/>
      </w:pPr>
      <w:r>
        <w:t>B.</w:t>
      </w:r>
      <w:r>
        <w:tab/>
      </w:r>
      <w:r w:rsidR="009D0112" w:rsidRPr="00866775">
        <w:rPr>
          <w:lang w:val="fr-FR"/>
        </w:rPr>
        <w:t xml:space="preserve">Informations sur les prescriptions spéciales applicables </w:t>
      </w:r>
      <w:r w:rsidR="009D0112">
        <w:rPr>
          <w:lang w:val="fr-FR"/>
        </w:rPr>
        <w:br/>
      </w:r>
      <w:r w:rsidR="009D0112" w:rsidRPr="00866775">
        <w:rPr>
          <w:lang w:val="fr-FR"/>
        </w:rPr>
        <w:t>aux systèmes à propulsion électrique dans le standard ES-TRIN</w:t>
      </w:r>
      <w:r>
        <w:tab/>
      </w:r>
      <w:r>
        <w:tab/>
      </w:r>
      <w:r w:rsidR="003C2BA9" w:rsidRPr="003C2BA9">
        <w:rPr>
          <w:webHidden/>
        </w:rPr>
        <w:t>10</w:t>
      </w:r>
      <w:r w:rsidR="00A039A0">
        <w:rPr>
          <w:webHidden/>
        </w:rPr>
        <w:t>−</w:t>
      </w:r>
      <w:r w:rsidR="003C2BA9" w:rsidRPr="003C2BA9">
        <w:rPr>
          <w:webHidden/>
        </w:rPr>
        <w:t>12</w:t>
      </w:r>
      <w:r>
        <w:tab/>
      </w:r>
      <w:r w:rsidR="00A039A0">
        <w:t>5</w:t>
      </w:r>
    </w:p>
    <w:p w14:paraId="47805692" w14:textId="77777777" w:rsidR="00866775" w:rsidRDefault="00866775" w:rsidP="00866775">
      <w:pPr>
        <w:tabs>
          <w:tab w:val="right" w:leader="dot" w:pos="7654"/>
          <w:tab w:val="right" w:pos="8929"/>
          <w:tab w:val="right" w:pos="9638"/>
        </w:tabs>
        <w:spacing w:after="120"/>
        <w:ind w:left="1559" w:hanging="425"/>
      </w:pPr>
      <w:r>
        <w:t>C.</w:t>
      </w:r>
      <w:r>
        <w:tab/>
      </w:r>
      <w:r w:rsidR="009D0112" w:rsidRPr="00866775">
        <w:rPr>
          <w:lang w:val="fr-FR"/>
        </w:rPr>
        <w:t xml:space="preserve">Informations sur les possibilités de financement pour rendre plus </w:t>
      </w:r>
      <w:r w:rsidR="009D0112">
        <w:rPr>
          <w:lang w:val="fr-FR"/>
        </w:rPr>
        <w:br/>
      </w:r>
      <w:r w:rsidR="009D0112">
        <w:t>« </w:t>
      </w:r>
      <w:r w:rsidR="009D0112" w:rsidRPr="00866775">
        <w:t>écologique</w:t>
      </w:r>
      <w:r w:rsidR="009D0112">
        <w:t> »</w:t>
      </w:r>
      <w:r w:rsidR="009D0112" w:rsidRPr="00866775">
        <w:t xml:space="preserve"> le </w:t>
      </w:r>
      <w:r w:rsidR="009D0112" w:rsidRPr="00866775">
        <w:rPr>
          <w:lang w:val="fr-FR"/>
        </w:rPr>
        <w:t>transport des marchandises dangereuses</w:t>
      </w:r>
      <w:r>
        <w:tab/>
      </w:r>
      <w:r>
        <w:tab/>
      </w:r>
      <w:r w:rsidR="003C2BA9">
        <w:t>13</w:t>
      </w:r>
      <w:r>
        <w:tab/>
      </w:r>
      <w:r w:rsidR="00A039A0">
        <w:t>6</w:t>
      </w:r>
    </w:p>
    <w:p w14:paraId="2185F61C" w14:textId="77777777" w:rsidR="00866775" w:rsidRDefault="00866775" w:rsidP="00866775">
      <w:pPr>
        <w:tabs>
          <w:tab w:val="right" w:pos="850"/>
          <w:tab w:val="right" w:leader="dot" w:pos="7654"/>
          <w:tab w:val="right" w:pos="8929"/>
          <w:tab w:val="right" w:pos="9638"/>
        </w:tabs>
        <w:spacing w:after="120"/>
        <w:ind w:left="1134" w:hanging="1134"/>
      </w:pPr>
      <w:r>
        <w:tab/>
        <w:t>V.</w:t>
      </w:r>
      <w:r>
        <w:tab/>
      </w:r>
      <w:r w:rsidR="009D0112" w:rsidRPr="00866775">
        <w:rPr>
          <w:lang w:val="fr-FR"/>
        </w:rPr>
        <w:t>Mise en œuvre de l</w:t>
      </w:r>
      <w:r w:rsidR="003968B4">
        <w:rPr>
          <w:lang w:val="fr-FR"/>
        </w:rPr>
        <w:t>’</w:t>
      </w:r>
      <w:r w:rsidR="009D0112" w:rsidRPr="00866775">
        <w:rPr>
          <w:lang w:val="fr-FR"/>
        </w:rPr>
        <w:t xml:space="preserve">Accord européen relatif au transport international </w:t>
      </w:r>
      <w:r w:rsidR="009D0112">
        <w:rPr>
          <w:lang w:val="fr-FR"/>
        </w:rPr>
        <w:br/>
      </w:r>
      <w:r w:rsidR="009D0112" w:rsidRPr="00866775">
        <w:rPr>
          <w:lang w:val="fr-FR"/>
        </w:rPr>
        <w:t xml:space="preserve">des marchandises dangereuses par voies de navigation intérieures (ADN) </w:t>
      </w:r>
      <w:r w:rsidR="009D0112">
        <w:rPr>
          <w:lang w:val="fr-FR"/>
        </w:rPr>
        <w:br/>
      </w:r>
      <w:r w:rsidR="009D0112" w:rsidRPr="00866775">
        <w:rPr>
          <w:lang w:val="fr-FR"/>
        </w:rPr>
        <w:t>(point 4 de l</w:t>
      </w:r>
      <w:r w:rsidR="003968B4">
        <w:rPr>
          <w:lang w:val="fr-FR"/>
        </w:rPr>
        <w:t>’</w:t>
      </w:r>
      <w:r w:rsidR="009D0112" w:rsidRPr="00866775">
        <w:rPr>
          <w:lang w:val="fr-FR"/>
        </w:rPr>
        <w:t>ordre du jour)</w:t>
      </w:r>
      <w:r>
        <w:tab/>
      </w:r>
      <w:r>
        <w:tab/>
      </w:r>
      <w:r w:rsidR="003C2BA9" w:rsidRPr="003C2BA9">
        <w:rPr>
          <w:webHidden/>
        </w:rPr>
        <w:t>14</w:t>
      </w:r>
      <w:r w:rsidR="00A039A0">
        <w:rPr>
          <w:webHidden/>
        </w:rPr>
        <w:t>−</w:t>
      </w:r>
      <w:r w:rsidR="003C2BA9" w:rsidRPr="003C2BA9">
        <w:rPr>
          <w:webHidden/>
        </w:rPr>
        <w:t>28</w:t>
      </w:r>
      <w:r>
        <w:tab/>
      </w:r>
      <w:r w:rsidR="00A039A0">
        <w:t>6</w:t>
      </w:r>
    </w:p>
    <w:p w14:paraId="2B3F4632" w14:textId="77777777" w:rsidR="00866775" w:rsidRDefault="00866775" w:rsidP="00866775">
      <w:pPr>
        <w:tabs>
          <w:tab w:val="right" w:leader="dot" w:pos="7654"/>
          <w:tab w:val="right" w:pos="8929"/>
          <w:tab w:val="right" w:pos="9638"/>
        </w:tabs>
        <w:spacing w:after="120"/>
        <w:ind w:left="1559" w:hanging="425"/>
      </w:pPr>
      <w:r>
        <w:t>A.</w:t>
      </w:r>
      <w:r>
        <w:tab/>
      </w:r>
      <w:r w:rsidR="009D0112" w:rsidRPr="00866775">
        <w:rPr>
          <w:lang w:val="fr-FR"/>
        </w:rPr>
        <w:t>État de l</w:t>
      </w:r>
      <w:r w:rsidR="003968B4">
        <w:rPr>
          <w:lang w:val="fr-FR"/>
        </w:rPr>
        <w:t>’</w:t>
      </w:r>
      <w:r w:rsidR="009D0112" w:rsidRPr="00866775">
        <w:rPr>
          <w:lang w:val="fr-FR"/>
        </w:rPr>
        <w:t>ADN</w:t>
      </w:r>
      <w:r>
        <w:tab/>
      </w:r>
      <w:r>
        <w:tab/>
      </w:r>
      <w:r w:rsidR="003C2BA9">
        <w:t>14</w:t>
      </w:r>
      <w:r>
        <w:tab/>
      </w:r>
      <w:r w:rsidR="00A039A0">
        <w:t>6</w:t>
      </w:r>
    </w:p>
    <w:p w14:paraId="3574C495" w14:textId="77777777" w:rsidR="00866775" w:rsidRDefault="00866775" w:rsidP="00866775">
      <w:pPr>
        <w:tabs>
          <w:tab w:val="right" w:leader="dot" w:pos="7654"/>
          <w:tab w:val="right" w:pos="8929"/>
          <w:tab w:val="right" w:pos="9638"/>
        </w:tabs>
        <w:spacing w:after="120"/>
        <w:ind w:left="1559" w:hanging="425"/>
      </w:pPr>
      <w:r>
        <w:t>B.</w:t>
      </w:r>
      <w:r>
        <w:tab/>
      </w:r>
      <w:r w:rsidR="009D0112" w:rsidRPr="009D0112">
        <w:rPr>
          <w:lang w:val="fr-FR"/>
        </w:rPr>
        <w:t>Autorisations spéciales, dérogations et équivalences</w:t>
      </w:r>
      <w:r>
        <w:tab/>
      </w:r>
      <w:r>
        <w:tab/>
      </w:r>
      <w:r w:rsidR="003C2BA9">
        <w:t>15</w:t>
      </w:r>
      <w:r>
        <w:tab/>
      </w:r>
      <w:r w:rsidR="00A039A0">
        <w:t>6</w:t>
      </w:r>
    </w:p>
    <w:p w14:paraId="5BA6487E" w14:textId="77777777" w:rsidR="00866775" w:rsidRDefault="00866775" w:rsidP="00866775">
      <w:pPr>
        <w:tabs>
          <w:tab w:val="right" w:leader="dot" w:pos="7654"/>
          <w:tab w:val="right" w:pos="8929"/>
          <w:tab w:val="right" w:pos="9638"/>
        </w:tabs>
        <w:spacing w:after="120"/>
        <w:ind w:left="1559" w:hanging="425"/>
      </w:pPr>
      <w:r>
        <w:t>C.</w:t>
      </w:r>
      <w:r>
        <w:tab/>
      </w:r>
      <w:r w:rsidR="009D0112" w:rsidRPr="009D0112">
        <w:rPr>
          <w:lang w:val="fr-FR"/>
        </w:rPr>
        <w:t>Interprétation du Règlement annexé à l</w:t>
      </w:r>
      <w:r w:rsidR="003968B4">
        <w:rPr>
          <w:lang w:val="fr-FR"/>
        </w:rPr>
        <w:t>’</w:t>
      </w:r>
      <w:r w:rsidR="009D0112" w:rsidRPr="009D0112">
        <w:rPr>
          <w:lang w:val="fr-FR"/>
        </w:rPr>
        <w:t>ADN</w:t>
      </w:r>
      <w:r>
        <w:tab/>
      </w:r>
      <w:r>
        <w:tab/>
      </w:r>
      <w:r w:rsidR="003C2BA9">
        <w:t>16</w:t>
      </w:r>
      <w:r>
        <w:tab/>
      </w:r>
      <w:r w:rsidR="00A039A0">
        <w:t>6</w:t>
      </w:r>
    </w:p>
    <w:p w14:paraId="1537E4BD" w14:textId="77777777" w:rsidR="00866775" w:rsidRDefault="00866775" w:rsidP="00866775">
      <w:pPr>
        <w:tabs>
          <w:tab w:val="right" w:leader="dot" w:pos="7654"/>
          <w:tab w:val="right" w:pos="8929"/>
          <w:tab w:val="right" w:pos="9638"/>
        </w:tabs>
        <w:spacing w:after="120"/>
        <w:ind w:left="1559" w:hanging="425"/>
      </w:pPr>
      <w:r>
        <w:t>D.</w:t>
      </w:r>
      <w:r>
        <w:tab/>
      </w:r>
      <w:r w:rsidR="009D0112" w:rsidRPr="009D0112">
        <w:rPr>
          <w:lang w:val="fr-FR"/>
        </w:rPr>
        <w:t>Formation des experts</w:t>
      </w:r>
      <w:r>
        <w:tab/>
      </w:r>
      <w:r>
        <w:tab/>
      </w:r>
      <w:r w:rsidR="003C2BA9">
        <w:t>17</w:t>
      </w:r>
      <w:r>
        <w:tab/>
      </w:r>
      <w:r w:rsidR="00A039A0">
        <w:t>6</w:t>
      </w:r>
    </w:p>
    <w:p w14:paraId="1C4EEDC5" w14:textId="77777777" w:rsidR="00866775" w:rsidRDefault="00866775" w:rsidP="00866775">
      <w:pPr>
        <w:tabs>
          <w:tab w:val="right" w:leader="dot" w:pos="7654"/>
          <w:tab w:val="right" w:pos="8929"/>
          <w:tab w:val="right" w:pos="9638"/>
        </w:tabs>
        <w:spacing w:after="120"/>
        <w:ind w:left="1559" w:hanging="425"/>
      </w:pPr>
      <w:r>
        <w:t>E.</w:t>
      </w:r>
      <w:r>
        <w:tab/>
      </w:r>
      <w:r w:rsidR="009D0112" w:rsidRPr="009D0112">
        <w:rPr>
          <w:lang w:val="fr-FR"/>
        </w:rPr>
        <w:t>Questions relatives aux sociétés de classification</w:t>
      </w:r>
      <w:r>
        <w:tab/>
      </w:r>
      <w:r>
        <w:tab/>
      </w:r>
      <w:r w:rsidR="003C2BA9" w:rsidRPr="003C2BA9">
        <w:rPr>
          <w:webHidden/>
        </w:rPr>
        <w:t>18</w:t>
      </w:r>
      <w:r w:rsidR="00A039A0">
        <w:rPr>
          <w:webHidden/>
        </w:rPr>
        <w:t>−</w:t>
      </w:r>
      <w:r w:rsidR="003C2BA9" w:rsidRPr="003C2BA9">
        <w:rPr>
          <w:webHidden/>
        </w:rPr>
        <w:t>28</w:t>
      </w:r>
      <w:r>
        <w:tab/>
      </w:r>
      <w:r w:rsidR="00A039A0">
        <w:t>7</w:t>
      </w:r>
    </w:p>
    <w:p w14:paraId="1B046082" w14:textId="77777777" w:rsidR="00866775" w:rsidRDefault="00866775" w:rsidP="00866775">
      <w:pPr>
        <w:tabs>
          <w:tab w:val="right" w:leader="dot" w:pos="7654"/>
          <w:tab w:val="right" w:pos="8929"/>
          <w:tab w:val="right" w:pos="9638"/>
        </w:tabs>
        <w:spacing w:after="120"/>
        <w:ind w:left="1984" w:hanging="425"/>
      </w:pPr>
      <w:r>
        <w:t>1.</w:t>
      </w:r>
      <w:r>
        <w:tab/>
      </w:r>
      <w:r w:rsidR="009D0112" w:rsidRPr="009D0112">
        <w:t xml:space="preserve">Nouvelle génération de bateaux fluviomaritimes conçus pour </w:t>
      </w:r>
      <w:r w:rsidR="009D0112" w:rsidRPr="009D0112">
        <w:br/>
        <w:t>le transport de marchandises dangereuses : l</w:t>
      </w:r>
      <w:r w:rsidR="003968B4">
        <w:t>’</w:t>
      </w:r>
      <w:r w:rsidR="009D0112" w:rsidRPr="009D0112">
        <w:t xml:space="preserve">expérience </w:t>
      </w:r>
      <w:r w:rsidR="009D0112" w:rsidRPr="009D0112">
        <w:br/>
        <w:t>de la Fédération de Russie</w:t>
      </w:r>
      <w:r>
        <w:tab/>
      </w:r>
      <w:r>
        <w:tab/>
      </w:r>
      <w:r w:rsidR="003C2BA9" w:rsidRPr="003C2BA9">
        <w:rPr>
          <w:webHidden/>
        </w:rPr>
        <w:t>18</w:t>
      </w:r>
      <w:r w:rsidR="00A039A0">
        <w:rPr>
          <w:webHidden/>
        </w:rPr>
        <w:t>−</w:t>
      </w:r>
      <w:r w:rsidR="003C2BA9" w:rsidRPr="003C2BA9">
        <w:rPr>
          <w:webHidden/>
        </w:rPr>
        <w:t>21</w:t>
      </w:r>
      <w:r>
        <w:tab/>
      </w:r>
      <w:r w:rsidR="00A039A0">
        <w:t>7</w:t>
      </w:r>
    </w:p>
    <w:p w14:paraId="11F708B6" w14:textId="77777777" w:rsidR="00866775" w:rsidRDefault="00866775" w:rsidP="00866775">
      <w:pPr>
        <w:tabs>
          <w:tab w:val="right" w:leader="dot" w:pos="7654"/>
          <w:tab w:val="right" w:pos="8929"/>
          <w:tab w:val="right" w:pos="9638"/>
        </w:tabs>
        <w:spacing w:after="120"/>
        <w:ind w:left="1984" w:hanging="425"/>
      </w:pPr>
      <w:r>
        <w:t>2.</w:t>
      </w:r>
      <w:r>
        <w:tab/>
      </w:r>
      <w:r w:rsidR="009D0112" w:rsidRPr="009D0112">
        <w:rPr>
          <w:lang w:val="fr-FR"/>
        </w:rPr>
        <w:t xml:space="preserve">Proposition de mise à jour du 9.3.4 (Variantes de construction) </w:t>
      </w:r>
      <w:r w:rsidR="009D0112">
        <w:rPr>
          <w:lang w:val="fr-FR"/>
        </w:rPr>
        <w:br/>
      </w:r>
      <w:r w:rsidR="009D0112" w:rsidRPr="009D0112">
        <w:rPr>
          <w:lang w:val="fr-FR"/>
        </w:rPr>
        <w:t>de l</w:t>
      </w:r>
      <w:r w:rsidR="003968B4">
        <w:rPr>
          <w:lang w:val="fr-FR"/>
        </w:rPr>
        <w:t>’</w:t>
      </w:r>
      <w:r w:rsidR="009D0112" w:rsidRPr="009D0112">
        <w:rPr>
          <w:lang w:val="fr-FR"/>
        </w:rPr>
        <w:t>ADN</w:t>
      </w:r>
      <w:r>
        <w:tab/>
      </w:r>
      <w:r>
        <w:tab/>
      </w:r>
      <w:r w:rsidR="003C2BA9">
        <w:t>22</w:t>
      </w:r>
      <w:r>
        <w:tab/>
      </w:r>
      <w:r w:rsidR="00A039A0">
        <w:t>7</w:t>
      </w:r>
    </w:p>
    <w:p w14:paraId="4D15EB68" w14:textId="77777777" w:rsidR="00866775" w:rsidRDefault="00866775" w:rsidP="00866775">
      <w:pPr>
        <w:tabs>
          <w:tab w:val="right" w:leader="dot" w:pos="7654"/>
          <w:tab w:val="right" w:pos="8929"/>
          <w:tab w:val="right" w:pos="9638"/>
        </w:tabs>
        <w:spacing w:after="120"/>
        <w:ind w:left="1984" w:hanging="425"/>
      </w:pPr>
      <w:r>
        <w:t>3.</w:t>
      </w:r>
      <w:r>
        <w:tab/>
      </w:r>
      <w:r w:rsidR="009D0112" w:rsidRPr="009D0112">
        <w:rPr>
          <w:lang w:val="fr-FR"/>
        </w:rPr>
        <w:t>Preuves de conformité à la norme EN ISO/IEC 17020:2012</w:t>
      </w:r>
      <w:r>
        <w:tab/>
      </w:r>
      <w:r>
        <w:tab/>
      </w:r>
      <w:r w:rsidR="003C2BA9" w:rsidRPr="003C2BA9">
        <w:rPr>
          <w:webHidden/>
        </w:rPr>
        <w:t>23</w:t>
      </w:r>
      <w:r w:rsidR="00A039A0">
        <w:rPr>
          <w:webHidden/>
        </w:rPr>
        <w:t>−</w:t>
      </w:r>
      <w:r w:rsidR="003C2BA9" w:rsidRPr="003C2BA9">
        <w:rPr>
          <w:webHidden/>
        </w:rPr>
        <w:t>26</w:t>
      </w:r>
      <w:r>
        <w:tab/>
      </w:r>
      <w:r w:rsidR="00A039A0">
        <w:t>7</w:t>
      </w:r>
    </w:p>
    <w:p w14:paraId="5CF4E4F3" w14:textId="77777777" w:rsidR="00866775" w:rsidRDefault="00866775" w:rsidP="00866775">
      <w:pPr>
        <w:tabs>
          <w:tab w:val="right" w:leader="dot" w:pos="7654"/>
          <w:tab w:val="right" w:pos="8929"/>
          <w:tab w:val="right" w:pos="9638"/>
        </w:tabs>
        <w:spacing w:after="120"/>
        <w:ind w:left="1984" w:hanging="425"/>
      </w:pPr>
      <w:r>
        <w:t>4.</w:t>
      </w:r>
      <w:r>
        <w:tab/>
      </w:r>
      <w:r w:rsidR="009D0112" w:rsidRPr="009D0112">
        <w:rPr>
          <w:lang w:val="fr-FR"/>
        </w:rPr>
        <w:t>État d</w:t>
      </w:r>
      <w:r w:rsidR="003968B4">
        <w:rPr>
          <w:lang w:val="fr-FR"/>
        </w:rPr>
        <w:t>’</w:t>
      </w:r>
      <w:r w:rsidR="009D0112" w:rsidRPr="009D0112">
        <w:rPr>
          <w:lang w:val="fr-FR"/>
        </w:rPr>
        <w:t>avancement de l</w:t>
      </w:r>
      <w:r w:rsidR="003968B4">
        <w:rPr>
          <w:lang w:val="fr-FR"/>
        </w:rPr>
        <w:t>’</w:t>
      </w:r>
      <w:r w:rsidR="009D0112" w:rsidRPr="009D0112">
        <w:rPr>
          <w:lang w:val="fr-FR"/>
        </w:rPr>
        <w:t>agrément des instruments de chargement</w:t>
      </w:r>
      <w:r w:rsidRPr="009D0112">
        <w:tab/>
      </w:r>
      <w:r>
        <w:tab/>
      </w:r>
      <w:r w:rsidR="003C2BA9">
        <w:t>27</w:t>
      </w:r>
      <w:r>
        <w:tab/>
      </w:r>
      <w:r w:rsidR="00A039A0">
        <w:t>8</w:t>
      </w:r>
    </w:p>
    <w:p w14:paraId="3A0014E5" w14:textId="77777777" w:rsidR="00866775" w:rsidRDefault="00866775" w:rsidP="00866775">
      <w:pPr>
        <w:tabs>
          <w:tab w:val="right" w:leader="dot" w:pos="7654"/>
          <w:tab w:val="right" w:pos="8929"/>
          <w:tab w:val="right" w:pos="9638"/>
        </w:tabs>
        <w:spacing w:after="120"/>
        <w:ind w:left="1984" w:hanging="425"/>
      </w:pPr>
      <w:r>
        <w:t>5.</w:t>
      </w:r>
      <w:r>
        <w:tab/>
      </w:r>
      <w:r w:rsidR="009D0112" w:rsidRPr="009D0112">
        <w:rPr>
          <w:lang w:val="fr-FR"/>
        </w:rPr>
        <w:t>Classement en zones − Zone 1</w:t>
      </w:r>
      <w:r>
        <w:tab/>
      </w:r>
      <w:r>
        <w:tab/>
      </w:r>
      <w:r w:rsidR="003C2BA9">
        <w:t>28</w:t>
      </w:r>
      <w:r>
        <w:tab/>
      </w:r>
      <w:r w:rsidR="00A039A0">
        <w:t>8</w:t>
      </w:r>
    </w:p>
    <w:p w14:paraId="302E6E22" w14:textId="77777777" w:rsidR="00866775" w:rsidRDefault="00866775" w:rsidP="00866775">
      <w:pPr>
        <w:tabs>
          <w:tab w:val="right" w:pos="850"/>
          <w:tab w:val="right" w:leader="dot" w:pos="7654"/>
          <w:tab w:val="right" w:pos="8929"/>
          <w:tab w:val="right" w:pos="9638"/>
        </w:tabs>
        <w:spacing w:after="120"/>
        <w:ind w:left="1134" w:hanging="1134"/>
      </w:pPr>
      <w:r>
        <w:tab/>
        <w:t>VI.</w:t>
      </w:r>
      <w:r>
        <w:tab/>
      </w:r>
      <w:r w:rsidR="009D0112" w:rsidRPr="009D0112">
        <w:t>Propositions d</w:t>
      </w:r>
      <w:r w:rsidR="003968B4">
        <w:t>’</w:t>
      </w:r>
      <w:r w:rsidR="009D0112" w:rsidRPr="009D0112">
        <w:t>amendements au Règlement annexé à l</w:t>
      </w:r>
      <w:r w:rsidR="003968B4">
        <w:t>’</w:t>
      </w:r>
      <w:r w:rsidR="009D0112" w:rsidRPr="009D0112">
        <w:t xml:space="preserve">ADN </w:t>
      </w:r>
      <w:r w:rsidR="009D0112" w:rsidRPr="009D0112">
        <w:br/>
        <w:t>(point 5 de l</w:t>
      </w:r>
      <w:r w:rsidR="003968B4">
        <w:t>’</w:t>
      </w:r>
      <w:r w:rsidR="009D0112" w:rsidRPr="009D0112">
        <w:t>ordre du jour)</w:t>
      </w:r>
      <w:r>
        <w:tab/>
      </w:r>
      <w:r>
        <w:tab/>
      </w:r>
      <w:r w:rsidR="003C2BA9" w:rsidRPr="003C2BA9">
        <w:rPr>
          <w:webHidden/>
        </w:rPr>
        <w:t>29</w:t>
      </w:r>
      <w:r w:rsidR="00A039A0">
        <w:rPr>
          <w:webHidden/>
        </w:rPr>
        <w:t>−</w:t>
      </w:r>
      <w:r w:rsidR="003C2BA9" w:rsidRPr="003C2BA9">
        <w:rPr>
          <w:webHidden/>
        </w:rPr>
        <w:t>53</w:t>
      </w:r>
      <w:r>
        <w:tab/>
      </w:r>
      <w:r w:rsidR="00A039A0">
        <w:t>8</w:t>
      </w:r>
    </w:p>
    <w:p w14:paraId="0043D922" w14:textId="77777777" w:rsidR="00866775" w:rsidRDefault="00866775" w:rsidP="00866775">
      <w:pPr>
        <w:tabs>
          <w:tab w:val="right" w:leader="dot" w:pos="7654"/>
          <w:tab w:val="right" w:pos="8929"/>
          <w:tab w:val="right" w:pos="9638"/>
        </w:tabs>
        <w:spacing w:after="120"/>
        <w:ind w:left="1559" w:hanging="425"/>
      </w:pPr>
      <w:r>
        <w:t>A.</w:t>
      </w:r>
      <w:r>
        <w:tab/>
      </w:r>
      <w:r w:rsidR="009D0112" w:rsidRPr="009D0112">
        <w:rPr>
          <w:lang w:val="fr-FR"/>
        </w:rPr>
        <w:t>Travaux de la Réunion commune RID/ADR/ADN</w:t>
      </w:r>
      <w:r>
        <w:tab/>
      </w:r>
      <w:r>
        <w:tab/>
      </w:r>
      <w:r w:rsidR="00C65463">
        <w:t>29−32</w:t>
      </w:r>
      <w:r>
        <w:tab/>
      </w:r>
      <w:r w:rsidR="00A039A0">
        <w:t>8</w:t>
      </w:r>
    </w:p>
    <w:p w14:paraId="45EDAB78" w14:textId="77777777" w:rsidR="00866775" w:rsidRDefault="00866775" w:rsidP="00866775">
      <w:pPr>
        <w:tabs>
          <w:tab w:val="right" w:leader="dot" w:pos="7654"/>
          <w:tab w:val="right" w:pos="8929"/>
          <w:tab w:val="right" w:pos="9638"/>
        </w:tabs>
        <w:spacing w:after="120"/>
        <w:ind w:left="1559" w:hanging="425"/>
      </w:pPr>
      <w:r>
        <w:t>B.</w:t>
      </w:r>
      <w:r>
        <w:tab/>
      </w:r>
      <w:r w:rsidR="009D0112" w:rsidRPr="009D0112">
        <w:rPr>
          <w:lang w:val="fr-FR"/>
        </w:rPr>
        <w:t>Autres propositions</w:t>
      </w:r>
      <w:r>
        <w:tab/>
      </w:r>
      <w:r>
        <w:tab/>
      </w:r>
      <w:r w:rsidR="00C65463">
        <w:rPr>
          <w:webHidden/>
        </w:rPr>
        <w:t>33−52</w:t>
      </w:r>
      <w:r>
        <w:tab/>
      </w:r>
      <w:r w:rsidR="00A039A0">
        <w:t>9</w:t>
      </w:r>
    </w:p>
    <w:p w14:paraId="49D7E453" w14:textId="77777777" w:rsidR="00866775" w:rsidRDefault="00866775" w:rsidP="00866775">
      <w:pPr>
        <w:tabs>
          <w:tab w:val="right" w:leader="dot" w:pos="7654"/>
          <w:tab w:val="right" w:pos="8929"/>
          <w:tab w:val="right" w:pos="9638"/>
        </w:tabs>
        <w:spacing w:after="120"/>
        <w:ind w:left="1984" w:hanging="425"/>
      </w:pPr>
      <w:r>
        <w:t>1.</w:t>
      </w:r>
      <w:r>
        <w:tab/>
      </w:r>
      <w:r w:rsidR="009D0112" w:rsidRPr="009D0112">
        <w:rPr>
          <w:lang w:val="fr-FR"/>
        </w:rPr>
        <w:t>Dispositions transitoires</w:t>
      </w:r>
      <w:r>
        <w:tab/>
      </w:r>
      <w:r>
        <w:tab/>
      </w:r>
      <w:r w:rsidR="00C65463">
        <w:t>33</w:t>
      </w:r>
      <w:r>
        <w:tab/>
      </w:r>
      <w:r w:rsidR="00A039A0">
        <w:t>9</w:t>
      </w:r>
    </w:p>
    <w:p w14:paraId="7A5F222F" w14:textId="77777777" w:rsidR="00866775" w:rsidRDefault="00866775" w:rsidP="00866775">
      <w:pPr>
        <w:tabs>
          <w:tab w:val="right" w:leader="dot" w:pos="7654"/>
          <w:tab w:val="right" w:pos="8929"/>
          <w:tab w:val="right" w:pos="9638"/>
        </w:tabs>
        <w:spacing w:after="120"/>
        <w:ind w:left="1984" w:hanging="425"/>
      </w:pPr>
      <w:r>
        <w:t>2.</w:t>
      </w:r>
      <w:r>
        <w:tab/>
      </w:r>
      <w:r w:rsidR="009D0112" w:rsidRPr="009D0112">
        <w:t>Proposition d</w:t>
      </w:r>
      <w:r w:rsidR="003968B4">
        <w:t>’</w:t>
      </w:r>
      <w:r w:rsidR="009D0112" w:rsidRPr="009D0112">
        <w:t xml:space="preserve">uniformisation des différentes versions </w:t>
      </w:r>
      <w:r w:rsidR="009D0112" w:rsidRPr="009D0112">
        <w:br/>
        <w:t>linguistiques du paragraphe 8.2.1.4 de l</w:t>
      </w:r>
      <w:r w:rsidR="003968B4">
        <w:t>’</w:t>
      </w:r>
      <w:r w:rsidR="009D0112" w:rsidRPr="009D0112">
        <w:t>ADN</w:t>
      </w:r>
      <w:r>
        <w:tab/>
      </w:r>
      <w:r>
        <w:tab/>
      </w:r>
      <w:r w:rsidR="00C65463">
        <w:t>34</w:t>
      </w:r>
      <w:r>
        <w:tab/>
      </w:r>
      <w:r w:rsidR="00A039A0">
        <w:t>9</w:t>
      </w:r>
    </w:p>
    <w:p w14:paraId="2EAF63B4" w14:textId="77777777" w:rsidR="00866775" w:rsidRDefault="00866775" w:rsidP="00866775">
      <w:pPr>
        <w:tabs>
          <w:tab w:val="right" w:leader="dot" w:pos="7654"/>
          <w:tab w:val="right" w:pos="8929"/>
          <w:tab w:val="right" w:pos="9638"/>
        </w:tabs>
        <w:spacing w:after="120"/>
        <w:ind w:left="1984" w:hanging="425"/>
      </w:pPr>
      <w:r>
        <w:t>3.</w:t>
      </w:r>
      <w:r>
        <w:tab/>
      </w:r>
      <w:r w:rsidR="009D0112" w:rsidRPr="009D0112">
        <w:rPr>
          <w:lang w:val="fr-FR"/>
        </w:rPr>
        <w:t>Amendements au paragraphe 8.1.2.2 du Règlement annexé à l</w:t>
      </w:r>
      <w:r w:rsidR="003968B4">
        <w:rPr>
          <w:lang w:val="fr-FR"/>
        </w:rPr>
        <w:t>’</w:t>
      </w:r>
      <w:r w:rsidR="009D0112" w:rsidRPr="009D0112">
        <w:rPr>
          <w:lang w:val="fr-FR"/>
        </w:rPr>
        <w:t>ADN</w:t>
      </w:r>
      <w:r>
        <w:tab/>
      </w:r>
      <w:r>
        <w:tab/>
      </w:r>
      <w:r w:rsidR="00C65463">
        <w:t>35</w:t>
      </w:r>
      <w:r>
        <w:tab/>
      </w:r>
      <w:r w:rsidR="00A039A0">
        <w:t>9</w:t>
      </w:r>
    </w:p>
    <w:p w14:paraId="1990C955" w14:textId="77777777" w:rsidR="00866775" w:rsidRDefault="00866775" w:rsidP="00866775">
      <w:pPr>
        <w:tabs>
          <w:tab w:val="right" w:leader="dot" w:pos="7654"/>
          <w:tab w:val="right" w:pos="8929"/>
          <w:tab w:val="right" w:pos="9638"/>
        </w:tabs>
        <w:spacing w:after="120"/>
        <w:ind w:left="1984" w:hanging="425"/>
      </w:pPr>
      <w:r>
        <w:t>4.</w:t>
      </w:r>
      <w:r>
        <w:tab/>
      </w:r>
      <w:r w:rsidR="009D0112" w:rsidRPr="009D0112">
        <w:rPr>
          <w:lang w:val="fr-FR"/>
        </w:rPr>
        <w:t xml:space="preserve">Dispositions transitoires applicables aux systèmes </w:t>
      </w:r>
      <w:r w:rsidR="009D0112">
        <w:rPr>
          <w:lang w:val="fr-FR"/>
        </w:rPr>
        <w:br/>
      </w:r>
      <w:r w:rsidR="009D0112" w:rsidRPr="009D0112">
        <w:rPr>
          <w:lang w:val="fr-FR"/>
        </w:rPr>
        <w:t>de protection autonomes</w:t>
      </w:r>
      <w:r>
        <w:tab/>
      </w:r>
      <w:r>
        <w:tab/>
      </w:r>
      <w:r w:rsidR="00C65463" w:rsidRPr="003C2BA9">
        <w:rPr>
          <w:webHidden/>
        </w:rPr>
        <w:t>36</w:t>
      </w:r>
      <w:r w:rsidR="00A039A0">
        <w:rPr>
          <w:webHidden/>
        </w:rPr>
        <w:t>−</w:t>
      </w:r>
      <w:r w:rsidR="00C65463" w:rsidRPr="003C2BA9">
        <w:rPr>
          <w:webHidden/>
        </w:rPr>
        <w:t>37</w:t>
      </w:r>
      <w:r>
        <w:tab/>
      </w:r>
      <w:r w:rsidR="00A039A0">
        <w:t>9</w:t>
      </w:r>
    </w:p>
    <w:p w14:paraId="62888CA8" w14:textId="77777777" w:rsidR="00866775" w:rsidRDefault="00866775" w:rsidP="00866775">
      <w:pPr>
        <w:tabs>
          <w:tab w:val="right" w:leader="dot" w:pos="7654"/>
          <w:tab w:val="right" w:pos="8929"/>
          <w:tab w:val="right" w:pos="9638"/>
        </w:tabs>
        <w:spacing w:after="120"/>
        <w:ind w:left="1984" w:hanging="425"/>
      </w:pPr>
      <w:r>
        <w:t>5.</w:t>
      </w:r>
      <w:r>
        <w:tab/>
      </w:r>
      <w:r w:rsidR="009D0112" w:rsidRPr="009D0112">
        <w:t>Matériaux de construction</w:t>
      </w:r>
      <w:r>
        <w:tab/>
      </w:r>
      <w:r>
        <w:tab/>
      </w:r>
      <w:r w:rsidR="00C65463">
        <w:t>38</w:t>
      </w:r>
      <w:r>
        <w:tab/>
      </w:r>
      <w:r w:rsidR="00A039A0">
        <w:t>9</w:t>
      </w:r>
    </w:p>
    <w:p w14:paraId="2B88ED83" w14:textId="77777777" w:rsidR="00866775" w:rsidRDefault="00866775" w:rsidP="00866775">
      <w:pPr>
        <w:tabs>
          <w:tab w:val="right" w:leader="dot" w:pos="7654"/>
          <w:tab w:val="right" w:pos="8929"/>
          <w:tab w:val="right" w:pos="9638"/>
        </w:tabs>
        <w:spacing w:after="120"/>
        <w:ind w:left="1984" w:hanging="425"/>
      </w:pPr>
      <w:r>
        <w:t>6.</w:t>
      </w:r>
      <w:r>
        <w:tab/>
      </w:r>
      <w:r w:rsidR="009D0112" w:rsidRPr="009D0112">
        <w:t>Paragraphe 9.3.3.13.4 de l</w:t>
      </w:r>
      <w:r w:rsidR="003968B4">
        <w:t>’</w:t>
      </w:r>
      <w:r w:rsidR="009D0112" w:rsidRPr="009D0112">
        <w:t>ADN</w:t>
      </w:r>
      <w:r>
        <w:tab/>
      </w:r>
      <w:r>
        <w:tab/>
      </w:r>
      <w:r w:rsidR="00C65463">
        <w:t>39</w:t>
      </w:r>
      <w:r>
        <w:tab/>
      </w:r>
      <w:r w:rsidR="00A039A0">
        <w:t>10</w:t>
      </w:r>
    </w:p>
    <w:p w14:paraId="3F0C8452" w14:textId="77777777" w:rsidR="00866775" w:rsidRDefault="00866775" w:rsidP="00866775">
      <w:pPr>
        <w:tabs>
          <w:tab w:val="right" w:leader="dot" w:pos="7654"/>
          <w:tab w:val="right" w:pos="8929"/>
          <w:tab w:val="right" w:pos="9638"/>
        </w:tabs>
        <w:spacing w:after="120"/>
        <w:ind w:left="1984" w:hanging="425"/>
      </w:pPr>
      <w:r>
        <w:t>7.</w:t>
      </w:r>
      <w:r>
        <w:tab/>
      </w:r>
      <w:r w:rsidR="009D0112" w:rsidRPr="009D0112">
        <w:t>Amendements aux modèles de certificats d</w:t>
      </w:r>
      <w:r w:rsidR="003968B4">
        <w:t>’</w:t>
      </w:r>
      <w:r w:rsidR="009D0112" w:rsidRPr="009D0112">
        <w:t>agrément</w:t>
      </w:r>
      <w:r>
        <w:tab/>
      </w:r>
      <w:r>
        <w:tab/>
      </w:r>
      <w:r w:rsidR="00C65463">
        <w:t>40</w:t>
      </w:r>
      <w:r>
        <w:tab/>
      </w:r>
      <w:r w:rsidR="00A039A0">
        <w:t>10</w:t>
      </w:r>
    </w:p>
    <w:p w14:paraId="5E3D0D70" w14:textId="77777777" w:rsidR="00866775" w:rsidRDefault="00866775" w:rsidP="00866775">
      <w:pPr>
        <w:tabs>
          <w:tab w:val="right" w:leader="dot" w:pos="7654"/>
          <w:tab w:val="right" w:pos="8929"/>
          <w:tab w:val="right" w:pos="9638"/>
        </w:tabs>
        <w:spacing w:after="120"/>
        <w:ind w:left="1984" w:hanging="425"/>
      </w:pPr>
      <w:r>
        <w:t>8.</w:t>
      </w:r>
      <w:r>
        <w:tab/>
      </w:r>
      <w:r w:rsidR="009D0112" w:rsidRPr="009D0112">
        <w:t>Paragraphe 1.8.1.2.1 de l</w:t>
      </w:r>
      <w:r w:rsidR="003968B4">
        <w:t>’</w:t>
      </w:r>
      <w:r w:rsidR="009D0112" w:rsidRPr="009D0112">
        <w:t xml:space="preserve">ADN − Listes de contrôle </w:t>
      </w:r>
      <w:r w:rsidR="009D0112">
        <w:br/>
      </w:r>
      <w:r w:rsidR="009D0112" w:rsidRPr="009D0112">
        <w:t>normalisées des bateaux</w:t>
      </w:r>
      <w:r>
        <w:tab/>
      </w:r>
      <w:r>
        <w:tab/>
      </w:r>
      <w:r w:rsidR="00C65463">
        <w:t>41</w:t>
      </w:r>
      <w:r>
        <w:tab/>
      </w:r>
      <w:r w:rsidR="00A039A0">
        <w:t>10</w:t>
      </w:r>
    </w:p>
    <w:p w14:paraId="67395EBF" w14:textId="77777777" w:rsidR="00866775" w:rsidRDefault="00866775" w:rsidP="00866775">
      <w:pPr>
        <w:tabs>
          <w:tab w:val="right" w:leader="dot" w:pos="7654"/>
          <w:tab w:val="right" w:pos="8929"/>
          <w:tab w:val="right" w:pos="9638"/>
        </w:tabs>
        <w:spacing w:after="120"/>
        <w:ind w:left="1984" w:hanging="425"/>
      </w:pPr>
      <w:bookmarkStart w:id="5" w:name="_GoBack"/>
      <w:bookmarkEnd w:id="5"/>
      <w:r>
        <w:lastRenderedPageBreak/>
        <w:t>9.</w:t>
      </w:r>
      <w:r>
        <w:tab/>
      </w:r>
      <w:r w:rsidR="009D0112" w:rsidRPr="009D0112">
        <w:rPr>
          <w:lang w:val="fr-FR"/>
        </w:rPr>
        <w:t>Tuyauteries flexibles utilisées pour le GNL</w:t>
      </w:r>
      <w:r>
        <w:tab/>
      </w:r>
      <w:r>
        <w:tab/>
      </w:r>
      <w:r w:rsidR="00C65463">
        <w:t>42</w:t>
      </w:r>
      <w:r>
        <w:tab/>
      </w:r>
      <w:r w:rsidR="00A039A0">
        <w:t>10</w:t>
      </w:r>
    </w:p>
    <w:p w14:paraId="1EF4B628" w14:textId="77777777" w:rsidR="00866775" w:rsidRDefault="00866775" w:rsidP="00866775">
      <w:pPr>
        <w:tabs>
          <w:tab w:val="right" w:leader="dot" w:pos="7654"/>
          <w:tab w:val="right" w:pos="8929"/>
          <w:tab w:val="right" w:pos="9638"/>
        </w:tabs>
        <w:spacing w:after="120"/>
        <w:ind w:left="1984" w:hanging="425"/>
      </w:pPr>
      <w:r>
        <w:t>10.</w:t>
      </w:r>
      <w:r>
        <w:tab/>
      </w:r>
      <w:r w:rsidR="009D0112" w:rsidRPr="009D0112">
        <w:t>Proposition d</w:t>
      </w:r>
      <w:r w:rsidR="003968B4">
        <w:t>’</w:t>
      </w:r>
      <w:r w:rsidR="009D0112" w:rsidRPr="009D0112">
        <w:t xml:space="preserve">amendement concernant le numéro ONU 2057 </w:t>
      </w:r>
      <w:r w:rsidR="009D0112" w:rsidRPr="009D0112">
        <w:br/>
        <w:t>(tripropylène) dans le tableau C</w:t>
      </w:r>
      <w:r>
        <w:tab/>
      </w:r>
      <w:r>
        <w:tab/>
      </w:r>
      <w:r w:rsidR="00C65463">
        <w:t>43</w:t>
      </w:r>
      <w:r>
        <w:tab/>
      </w:r>
      <w:r w:rsidR="00A039A0">
        <w:t>10</w:t>
      </w:r>
    </w:p>
    <w:p w14:paraId="2CFCDE2C" w14:textId="77777777" w:rsidR="00866775" w:rsidRDefault="00866775" w:rsidP="00866775">
      <w:pPr>
        <w:tabs>
          <w:tab w:val="right" w:leader="dot" w:pos="7654"/>
          <w:tab w:val="right" w:pos="8929"/>
          <w:tab w:val="right" w:pos="9638"/>
        </w:tabs>
        <w:spacing w:after="120"/>
        <w:ind w:left="1984" w:hanging="425"/>
      </w:pPr>
      <w:r>
        <w:t>11.</w:t>
      </w:r>
      <w:r>
        <w:tab/>
      </w:r>
      <w:r w:rsidR="009D0112" w:rsidRPr="009D0112">
        <w:rPr>
          <w:lang w:val="fr-FR"/>
        </w:rPr>
        <w:t xml:space="preserve">Proposition du secrétariat de la Commission du Danube </w:t>
      </w:r>
      <w:r w:rsidR="009D0112" w:rsidRPr="009D0112">
        <w:rPr>
          <w:lang w:val="fr-FR"/>
        </w:rPr>
        <w:br/>
        <w:t>concernant l</w:t>
      </w:r>
      <w:r w:rsidR="003968B4">
        <w:rPr>
          <w:lang w:val="fr-FR"/>
        </w:rPr>
        <w:t>’</w:t>
      </w:r>
      <w:r w:rsidR="009D0112" w:rsidRPr="009D0112">
        <w:rPr>
          <w:lang w:val="fr-FR"/>
        </w:rPr>
        <w:t>édition 2019 de l</w:t>
      </w:r>
      <w:r w:rsidR="003968B4">
        <w:rPr>
          <w:lang w:val="fr-FR"/>
        </w:rPr>
        <w:t>’</w:t>
      </w:r>
      <w:r w:rsidR="009D0112" w:rsidRPr="009D0112">
        <w:rPr>
          <w:lang w:val="fr-FR"/>
        </w:rPr>
        <w:t>ADN</w:t>
      </w:r>
      <w:r>
        <w:tab/>
      </w:r>
      <w:r>
        <w:tab/>
      </w:r>
      <w:r w:rsidR="00C65463">
        <w:t>44</w:t>
      </w:r>
      <w:r>
        <w:tab/>
      </w:r>
      <w:r w:rsidR="00A039A0">
        <w:t>10</w:t>
      </w:r>
    </w:p>
    <w:p w14:paraId="7BE3F5F4" w14:textId="77777777" w:rsidR="00866775" w:rsidRDefault="00866775" w:rsidP="00866775">
      <w:pPr>
        <w:tabs>
          <w:tab w:val="right" w:leader="dot" w:pos="7654"/>
          <w:tab w:val="right" w:pos="8929"/>
          <w:tab w:val="right" w:pos="9638"/>
        </w:tabs>
        <w:spacing w:after="120"/>
        <w:ind w:left="1984" w:hanging="425"/>
      </w:pPr>
      <w:r>
        <w:t>12.</w:t>
      </w:r>
      <w:r w:rsidRPr="009D0112">
        <w:tab/>
      </w:r>
      <w:r w:rsidR="009D0112" w:rsidRPr="009D0112">
        <w:t>Dégazage − utilisation de l</w:t>
      </w:r>
      <w:r w:rsidR="003968B4">
        <w:t>’</w:t>
      </w:r>
      <w:r w:rsidR="009D0112" w:rsidRPr="009D0112">
        <w:t>ancien terme « </w:t>
      </w:r>
      <w:proofErr w:type="spellStart"/>
      <w:r w:rsidR="009D0112" w:rsidRPr="009D0112">
        <w:t>gas-freeing</w:t>
      </w:r>
      <w:proofErr w:type="spellEnd"/>
      <w:r w:rsidR="009D0112" w:rsidRPr="009D0112">
        <w:t> »</w:t>
      </w:r>
      <w:r>
        <w:tab/>
      </w:r>
      <w:r>
        <w:tab/>
      </w:r>
      <w:r w:rsidR="00C65463">
        <w:t>45</w:t>
      </w:r>
      <w:r>
        <w:tab/>
      </w:r>
      <w:r w:rsidR="00A039A0">
        <w:t>10</w:t>
      </w:r>
    </w:p>
    <w:p w14:paraId="735F85C7" w14:textId="77777777" w:rsidR="00866775" w:rsidRDefault="00866775" w:rsidP="00866775">
      <w:pPr>
        <w:tabs>
          <w:tab w:val="right" w:leader="dot" w:pos="7654"/>
          <w:tab w:val="right" w:pos="8929"/>
          <w:tab w:val="right" w:pos="9638"/>
        </w:tabs>
        <w:spacing w:after="120"/>
        <w:ind w:left="1984" w:hanging="425"/>
      </w:pPr>
      <w:r>
        <w:t>13.</w:t>
      </w:r>
      <w:r>
        <w:tab/>
      </w:r>
      <w:r w:rsidR="009D0112" w:rsidRPr="009D0112">
        <w:rPr>
          <w:lang w:val="fr-FR"/>
        </w:rPr>
        <w:t>Harmonisation des groupes d</w:t>
      </w:r>
      <w:r w:rsidR="003968B4">
        <w:rPr>
          <w:lang w:val="fr-FR"/>
        </w:rPr>
        <w:t>’</w:t>
      </w:r>
      <w:r w:rsidR="009D0112" w:rsidRPr="009D0112">
        <w:rPr>
          <w:lang w:val="fr-FR"/>
        </w:rPr>
        <w:t xml:space="preserve">explosion entre </w:t>
      </w:r>
      <w:r w:rsidR="009D0112">
        <w:rPr>
          <w:lang w:val="fr-FR"/>
        </w:rPr>
        <w:br/>
      </w:r>
      <w:r w:rsidR="009D0112" w:rsidRPr="009D0112">
        <w:rPr>
          <w:lang w:val="fr-FR"/>
        </w:rPr>
        <w:t>le Recueil IBC et l</w:t>
      </w:r>
      <w:r w:rsidR="003968B4">
        <w:rPr>
          <w:lang w:val="fr-FR"/>
        </w:rPr>
        <w:t>’</w:t>
      </w:r>
      <w:r w:rsidR="009D0112" w:rsidRPr="009D0112">
        <w:rPr>
          <w:lang w:val="fr-FR"/>
        </w:rPr>
        <w:t>ADN</w:t>
      </w:r>
      <w:r>
        <w:tab/>
      </w:r>
      <w:r>
        <w:tab/>
      </w:r>
      <w:r w:rsidR="00C65463">
        <w:t>46</w:t>
      </w:r>
      <w:r>
        <w:tab/>
      </w:r>
      <w:r w:rsidR="00A039A0">
        <w:t>11</w:t>
      </w:r>
    </w:p>
    <w:p w14:paraId="329C121D" w14:textId="77777777" w:rsidR="00866775" w:rsidRDefault="00866775" w:rsidP="00866775">
      <w:pPr>
        <w:tabs>
          <w:tab w:val="right" w:leader="dot" w:pos="7654"/>
          <w:tab w:val="right" w:pos="8929"/>
          <w:tab w:val="right" w:pos="9638"/>
        </w:tabs>
        <w:spacing w:after="120"/>
        <w:ind w:left="1984" w:hanging="425"/>
      </w:pPr>
      <w:r>
        <w:t>14.</w:t>
      </w:r>
      <w:r>
        <w:tab/>
      </w:r>
      <w:r w:rsidR="009D0112" w:rsidRPr="009D0112">
        <w:t xml:space="preserve">Modification de la colonne (16) du tableau C </w:t>
      </w:r>
      <w:r w:rsidR="009D0112">
        <w:br/>
      </w:r>
      <w:r w:rsidR="009D0112" w:rsidRPr="009D0112">
        <w:t>pour le numéro ONU 2527</w:t>
      </w:r>
      <w:r>
        <w:tab/>
      </w:r>
      <w:r>
        <w:tab/>
      </w:r>
      <w:r w:rsidR="00C65463">
        <w:t>47</w:t>
      </w:r>
      <w:r>
        <w:tab/>
      </w:r>
      <w:r w:rsidR="00A039A0">
        <w:t>11</w:t>
      </w:r>
    </w:p>
    <w:p w14:paraId="286FAEE4" w14:textId="77777777" w:rsidR="00866775" w:rsidRDefault="00866775" w:rsidP="00866775">
      <w:pPr>
        <w:tabs>
          <w:tab w:val="right" w:leader="dot" w:pos="7654"/>
          <w:tab w:val="right" w:pos="8929"/>
          <w:tab w:val="right" w:pos="9638"/>
        </w:tabs>
        <w:spacing w:after="120"/>
        <w:ind w:left="1984" w:hanging="425"/>
      </w:pPr>
      <w:r>
        <w:t>15.</w:t>
      </w:r>
      <w:r>
        <w:tab/>
      </w:r>
      <w:r w:rsidR="009D0112" w:rsidRPr="009D0112">
        <w:t>Corrections dans l</w:t>
      </w:r>
      <w:r w:rsidR="003968B4">
        <w:t>’</w:t>
      </w:r>
      <w:r w:rsidR="009D0112" w:rsidRPr="009D0112">
        <w:t>édition 2019 de l</w:t>
      </w:r>
      <w:r w:rsidR="003968B4">
        <w:t>’</w:t>
      </w:r>
      <w:r w:rsidR="009D0112" w:rsidRPr="009D0112">
        <w:t>ADN</w:t>
      </w:r>
      <w:r>
        <w:tab/>
      </w:r>
      <w:r>
        <w:tab/>
      </w:r>
      <w:r w:rsidR="00C65463">
        <w:t>48</w:t>
      </w:r>
      <w:r>
        <w:tab/>
      </w:r>
      <w:r w:rsidR="00A039A0">
        <w:t>11</w:t>
      </w:r>
    </w:p>
    <w:p w14:paraId="5F9517D3" w14:textId="77777777" w:rsidR="00866775" w:rsidRDefault="00866775" w:rsidP="00866775">
      <w:pPr>
        <w:tabs>
          <w:tab w:val="right" w:leader="dot" w:pos="7654"/>
          <w:tab w:val="right" w:pos="8929"/>
          <w:tab w:val="right" w:pos="9638"/>
        </w:tabs>
        <w:spacing w:after="120"/>
        <w:ind w:left="1984" w:hanging="425"/>
      </w:pPr>
      <w:r>
        <w:t>16.</w:t>
      </w:r>
      <w:r>
        <w:tab/>
      </w:r>
      <w:r w:rsidR="009D0112" w:rsidRPr="009D0112">
        <w:t>Section 1.2.1 de l</w:t>
      </w:r>
      <w:r w:rsidR="003968B4">
        <w:t>’</w:t>
      </w:r>
      <w:r w:rsidR="009D0112" w:rsidRPr="009D0112">
        <w:t>ADN − Dispositifs de prise d</w:t>
      </w:r>
      <w:r w:rsidR="003968B4">
        <w:t>’</w:t>
      </w:r>
      <w:r w:rsidR="009D0112" w:rsidRPr="009D0112">
        <w:t>échantillons</w:t>
      </w:r>
      <w:r>
        <w:tab/>
      </w:r>
      <w:r>
        <w:tab/>
      </w:r>
      <w:r w:rsidR="00C65463">
        <w:t>49</w:t>
      </w:r>
      <w:r>
        <w:tab/>
      </w:r>
      <w:r w:rsidR="00A039A0">
        <w:t>11</w:t>
      </w:r>
    </w:p>
    <w:p w14:paraId="75BFDFED" w14:textId="77777777" w:rsidR="00866775" w:rsidRDefault="00866775" w:rsidP="00866775">
      <w:pPr>
        <w:tabs>
          <w:tab w:val="right" w:leader="dot" w:pos="7654"/>
          <w:tab w:val="right" w:pos="8929"/>
          <w:tab w:val="right" w:pos="9638"/>
        </w:tabs>
        <w:spacing w:after="120"/>
        <w:ind w:left="1984" w:hanging="425"/>
      </w:pPr>
      <w:r>
        <w:t>17.</w:t>
      </w:r>
      <w:r>
        <w:tab/>
      </w:r>
      <w:r w:rsidR="009D0112" w:rsidRPr="009D0112">
        <w:t>Numéro ONU 3082 − Eau de cale</w:t>
      </w:r>
      <w:r>
        <w:tab/>
      </w:r>
      <w:r>
        <w:tab/>
      </w:r>
      <w:r w:rsidR="00C65463">
        <w:t>50</w:t>
      </w:r>
      <w:r>
        <w:tab/>
      </w:r>
      <w:r w:rsidR="00A039A0">
        <w:t>11</w:t>
      </w:r>
    </w:p>
    <w:p w14:paraId="5CFE84FA" w14:textId="77777777" w:rsidR="00866775" w:rsidRDefault="00866775" w:rsidP="00866775">
      <w:pPr>
        <w:tabs>
          <w:tab w:val="right" w:leader="dot" w:pos="7654"/>
          <w:tab w:val="right" w:pos="8929"/>
          <w:tab w:val="right" w:pos="9638"/>
        </w:tabs>
        <w:spacing w:after="120"/>
        <w:ind w:left="1984" w:hanging="425"/>
      </w:pPr>
      <w:r>
        <w:t>18.</w:t>
      </w:r>
      <w:r>
        <w:tab/>
      </w:r>
      <w:r w:rsidR="009D0112" w:rsidRPr="009D0112">
        <w:t xml:space="preserve">Modifications du paragraphe 7.1.4.1 : Limitations </w:t>
      </w:r>
      <w:r w:rsidR="009D0112">
        <w:br/>
      </w:r>
      <w:r w:rsidR="009D0112" w:rsidRPr="009D0112">
        <w:t>des quantités transportées</w:t>
      </w:r>
      <w:r>
        <w:tab/>
      </w:r>
      <w:r>
        <w:tab/>
      </w:r>
      <w:r w:rsidR="00C65463">
        <w:t>51</w:t>
      </w:r>
      <w:r>
        <w:tab/>
      </w:r>
      <w:r w:rsidR="00A039A0">
        <w:t>11</w:t>
      </w:r>
    </w:p>
    <w:p w14:paraId="2B404AA8" w14:textId="77777777" w:rsidR="00866775" w:rsidRDefault="00866775" w:rsidP="00866775">
      <w:pPr>
        <w:tabs>
          <w:tab w:val="right" w:leader="dot" w:pos="7654"/>
          <w:tab w:val="right" w:pos="8929"/>
          <w:tab w:val="right" w:pos="9638"/>
        </w:tabs>
        <w:spacing w:after="120"/>
        <w:ind w:left="1984" w:hanging="425"/>
      </w:pPr>
      <w:r>
        <w:t>19.</w:t>
      </w:r>
      <w:r>
        <w:tab/>
      </w:r>
      <w:r w:rsidR="009D0112" w:rsidRPr="009D0112">
        <w:t>Amendements au chapitre 7.2 de l</w:t>
      </w:r>
      <w:r w:rsidR="003968B4">
        <w:t>’</w:t>
      </w:r>
      <w:r w:rsidR="009D0112" w:rsidRPr="009D0112">
        <w:t>ADN</w:t>
      </w:r>
      <w:r>
        <w:tab/>
      </w:r>
      <w:r>
        <w:tab/>
      </w:r>
      <w:r w:rsidR="00C65463">
        <w:t>52</w:t>
      </w:r>
      <w:r>
        <w:tab/>
      </w:r>
      <w:r w:rsidR="00A039A0">
        <w:t>12</w:t>
      </w:r>
    </w:p>
    <w:p w14:paraId="5C7CCEB8" w14:textId="77777777" w:rsidR="00866775" w:rsidRDefault="00866775" w:rsidP="00866775">
      <w:pPr>
        <w:tabs>
          <w:tab w:val="right" w:leader="dot" w:pos="7654"/>
          <w:tab w:val="right" w:pos="8929"/>
          <w:tab w:val="right" w:pos="9638"/>
        </w:tabs>
        <w:spacing w:after="120"/>
        <w:ind w:left="1559" w:hanging="425"/>
      </w:pPr>
      <w:r>
        <w:t>C.</w:t>
      </w:r>
      <w:r>
        <w:tab/>
      </w:r>
      <w:r w:rsidR="009D0112" w:rsidRPr="009D0112">
        <w:t>Vérification des amendements adoptés lors de sessions précédentes</w:t>
      </w:r>
      <w:r>
        <w:tab/>
      </w:r>
      <w:r>
        <w:tab/>
      </w:r>
      <w:r w:rsidR="00C65463">
        <w:t>53</w:t>
      </w:r>
      <w:r>
        <w:tab/>
      </w:r>
      <w:r w:rsidR="00A039A0">
        <w:t>12</w:t>
      </w:r>
    </w:p>
    <w:p w14:paraId="3B1351D2" w14:textId="77777777" w:rsidR="00866775" w:rsidRDefault="00866775" w:rsidP="00866775">
      <w:pPr>
        <w:tabs>
          <w:tab w:val="right" w:pos="850"/>
          <w:tab w:val="right" w:leader="dot" w:pos="7654"/>
          <w:tab w:val="right" w:pos="8929"/>
          <w:tab w:val="right" w:pos="9638"/>
        </w:tabs>
        <w:spacing w:after="120"/>
        <w:ind w:left="1134" w:hanging="1134"/>
      </w:pPr>
      <w:r>
        <w:tab/>
        <w:t>VII.</w:t>
      </w:r>
      <w:r>
        <w:tab/>
      </w:r>
      <w:r w:rsidR="009D0112" w:rsidRPr="009D0112">
        <w:t xml:space="preserve">Rapports des groupes de travail informels </w:t>
      </w:r>
      <w:r w:rsidR="009D0112" w:rsidRPr="009D0112">
        <w:br/>
        <w:t>(point 6 de l</w:t>
      </w:r>
      <w:r w:rsidR="003968B4">
        <w:t>’</w:t>
      </w:r>
      <w:r w:rsidR="009D0112" w:rsidRPr="009D0112">
        <w:t>ordre du jour)</w:t>
      </w:r>
      <w:r>
        <w:tab/>
      </w:r>
      <w:r>
        <w:tab/>
      </w:r>
      <w:r w:rsidR="003C2BA9">
        <w:t>54</w:t>
      </w:r>
      <w:r w:rsidR="00C65463">
        <w:t>−58</w:t>
      </w:r>
      <w:r>
        <w:tab/>
      </w:r>
      <w:r w:rsidR="00A039A0">
        <w:t>12</w:t>
      </w:r>
    </w:p>
    <w:p w14:paraId="6F36AB1F" w14:textId="77777777" w:rsidR="00C65463" w:rsidRDefault="00C65463" w:rsidP="00C65463">
      <w:pPr>
        <w:tabs>
          <w:tab w:val="right" w:leader="dot" w:pos="7654"/>
          <w:tab w:val="right" w:pos="8929"/>
          <w:tab w:val="right" w:pos="9638"/>
        </w:tabs>
        <w:spacing w:after="120"/>
        <w:ind w:left="1559" w:hanging="425"/>
      </w:pPr>
      <w:r>
        <w:t>A.</w:t>
      </w:r>
      <w:r>
        <w:tab/>
      </w:r>
      <w:r w:rsidR="009D0112" w:rsidRPr="009D0112">
        <w:t xml:space="preserve">Rapport de la dix-huitième réunion du groupe de travail informel </w:t>
      </w:r>
      <w:r w:rsidR="009D0112">
        <w:br/>
      </w:r>
      <w:r w:rsidR="009D0112" w:rsidRPr="009D0112">
        <w:t>des sociétés de classification ADN recommandées</w:t>
      </w:r>
      <w:r>
        <w:tab/>
      </w:r>
      <w:r>
        <w:tab/>
        <w:t>54</w:t>
      </w:r>
      <w:r>
        <w:tab/>
      </w:r>
      <w:r w:rsidR="00A039A0">
        <w:t>12</w:t>
      </w:r>
    </w:p>
    <w:p w14:paraId="1F4FA931" w14:textId="77777777" w:rsidR="00C65463" w:rsidRDefault="00C65463" w:rsidP="00C65463">
      <w:pPr>
        <w:tabs>
          <w:tab w:val="right" w:leader="dot" w:pos="7654"/>
          <w:tab w:val="right" w:pos="8929"/>
          <w:tab w:val="right" w:pos="9638"/>
        </w:tabs>
        <w:spacing w:after="120"/>
        <w:ind w:left="1559" w:hanging="425"/>
      </w:pPr>
      <w:r>
        <w:t>B.</w:t>
      </w:r>
      <w:r>
        <w:tab/>
      </w:r>
      <w:r w:rsidR="009D0112" w:rsidRPr="009D0112">
        <w:t>Rapport du groupe de travail informel des citernes à membrane</w:t>
      </w:r>
      <w:r>
        <w:tab/>
      </w:r>
      <w:r>
        <w:tab/>
        <w:t>55−56</w:t>
      </w:r>
      <w:r>
        <w:tab/>
      </w:r>
      <w:r w:rsidR="00A039A0">
        <w:t>12</w:t>
      </w:r>
    </w:p>
    <w:p w14:paraId="4E1A8A0D" w14:textId="77777777" w:rsidR="00C65463" w:rsidRDefault="00C65463" w:rsidP="00C65463">
      <w:pPr>
        <w:tabs>
          <w:tab w:val="right" w:leader="dot" w:pos="7654"/>
          <w:tab w:val="right" w:pos="8929"/>
          <w:tab w:val="right" w:pos="9638"/>
        </w:tabs>
        <w:spacing w:after="120"/>
        <w:ind w:left="1559" w:hanging="425"/>
      </w:pPr>
      <w:r>
        <w:t>C.</w:t>
      </w:r>
      <w:r>
        <w:tab/>
      </w:r>
      <w:r w:rsidR="009D0112" w:rsidRPr="009D0112">
        <w:t xml:space="preserve">Rapport de la quatrième réunion du groupe de travail informel </w:t>
      </w:r>
      <w:r w:rsidR="009D0112" w:rsidRPr="009D0112">
        <w:br/>
        <w:t>du mélange de cargaisons à bord des barges</w:t>
      </w:r>
      <w:r>
        <w:tab/>
      </w:r>
      <w:r>
        <w:tab/>
        <w:t>57</w:t>
      </w:r>
      <w:r>
        <w:tab/>
      </w:r>
      <w:r w:rsidR="00A039A0">
        <w:t>12</w:t>
      </w:r>
    </w:p>
    <w:p w14:paraId="6B2EF8F9" w14:textId="77777777" w:rsidR="00C65463" w:rsidRDefault="00C65463" w:rsidP="00C65463">
      <w:pPr>
        <w:tabs>
          <w:tab w:val="right" w:leader="dot" w:pos="7654"/>
          <w:tab w:val="right" w:pos="8929"/>
          <w:tab w:val="right" w:pos="9638"/>
        </w:tabs>
        <w:spacing w:after="120"/>
        <w:ind w:left="1559" w:hanging="425"/>
      </w:pPr>
      <w:r>
        <w:t>D.</w:t>
      </w:r>
      <w:r>
        <w:tab/>
      </w:r>
      <w:r w:rsidR="009D0112" w:rsidRPr="009D0112">
        <w:t xml:space="preserve">Rapport du groupe de travail informel des émissions </w:t>
      </w:r>
      <w:r w:rsidR="009D0112" w:rsidRPr="009D0112">
        <w:br/>
        <w:t>de dégazage et des émissions en exploitation</w:t>
      </w:r>
      <w:r>
        <w:tab/>
      </w:r>
      <w:r>
        <w:tab/>
        <w:t>58</w:t>
      </w:r>
      <w:r>
        <w:tab/>
      </w:r>
      <w:r w:rsidR="00A039A0">
        <w:t>12</w:t>
      </w:r>
    </w:p>
    <w:p w14:paraId="04126A03" w14:textId="77777777" w:rsidR="00C65463" w:rsidRDefault="00C65463" w:rsidP="00866775">
      <w:pPr>
        <w:tabs>
          <w:tab w:val="right" w:pos="850"/>
          <w:tab w:val="right" w:leader="dot" w:pos="7654"/>
          <w:tab w:val="right" w:pos="8929"/>
          <w:tab w:val="right" w:pos="9638"/>
        </w:tabs>
        <w:spacing w:after="120"/>
        <w:ind w:left="1134" w:hanging="1134"/>
      </w:pPr>
      <w:r>
        <w:tab/>
        <w:t>VIII.</w:t>
      </w:r>
      <w:r>
        <w:tab/>
      </w:r>
      <w:r w:rsidR="009D0112" w:rsidRPr="009D0112">
        <w:t xml:space="preserve">Programme de travail et calendrier des réunions </w:t>
      </w:r>
      <w:r w:rsidR="009D0112" w:rsidRPr="009D0112">
        <w:br/>
        <w:t>(point 7 de l</w:t>
      </w:r>
      <w:r w:rsidR="003968B4">
        <w:t>’</w:t>
      </w:r>
      <w:r w:rsidR="009D0112" w:rsidRPr="009D0112">
        <w:t>ordre du jour)</w:t>
      </w:r>
      <w:r>
        <w:tab/>
      </w:r>
      <w:r>
        <w:tab/>
        <w:t>59−60</w:t>
      </w:r>
      <w:r>
        <w:tab/>
      </w:r>
      <w:r w:rsidR="00A039A0">
        <w:t>13</w:t>
      </w:r>
    </w:p>
    <w:p w14:paraId="5179AAD0" w14:textId="77777777" w:rsidR="00866775" w:rsidRDefault="00866775" w:rsidP="00866775">
      <w:pPr>
        <w:tabs>
          <w:tab w:val="right" w:pos="850"/>
          <w:tab w:val="right" w:leader="dot" w:pos="7654"/>
          <w:tab w:val="right" w:pos="8929"/>
          <w:tab w:val="right" w:pos="9638"/>
        </w:tabs>
        <w:spacing w:after="120"/>
        <w:ind w:left="1134" w:hanging="1134"/>
      </w:pPr>
      <w:r>
        <w:tab/>
        <w:t>IX.</w:t>
      </w:r>
      <w:r>
        <w:tab/>
      </w:r>
      <w:r w:rsidR="009D0112" w:rsidRPr="009D0112">
        <w:rPr>
          <w:lang w:val="fr-FR"/>
        </w:rPr>
        <w:t>Questions diverses (point 8 de l</w:t>
      </w:r>
      <w:r w:rsidR="003968B4">
        <w:rPr>
          <w:lang w:val="fr-FR"/>
        </w:rPr>
        <w:t>’</w:t>
      </w:r>
      <w:r w:rsidR="009D0112" w:rsidRPr="009D0112">
        <w:rPr>
          <w:lang w:val="fr-FR"/>
        </w:rPr>
        <w:t>ordre du jour)</w:t>
      </w:r>
      <w:r>
        <w:tab/>
      </w:r>
      <w:r>
        <w:tab/>
      </w:r>
      <w:r w:rsidR="00C65463">
        <w:t>61−63</w:t>
      </w:r>
      <w:r>
        <w:tab/>
      </w:r>
      <w:r w:rsidR="00A039A0">
        <w:t>13</w:t>
      </w:r>
    </w:p>
    <w:p w14:paraId="439AD078" w14:textId="77777777" w:rsidR="00866775" w:rsidRDefault="00866775" w:rsidP="00866775">
      <w:pPr>
        <w:tabs>
          <w:tab w:val="right" w:pos="850"/>
          <w:tab w:val="right" w:leader="dot" w:pos="7654"/>
          <w:tab w:val="right" w:pos="8929"/>
          <w:tab w:val="right" w:pos="9638"/>
        </w:tabs>
        <w:spacing w:after="120"/>
        <w:ind w:left="1134" w:hanging="1134"/>
      </w:pPr>
      <w:r>
        <w:tab/>
        <w:t>X.</w:t>
      </w:r>
      <w:r>
        <w:tab/>
      </w:r>
      <w:r w:rsidR="009D0112" w:rsidRPr="009D0112">
        <w:t>Adoption du rapport (point 9 de l</w:t>
      </w:r>
      <w:r w:rsidR="003968B4">
        <w:t>’</w:t>
      </w:r>
      <w:r w:rsidR="009D0112" w:rsidRPr="009D0112">
        <w:t>ordre du jour)</w:t>
      </w:r>
      <w:r>
        <w:tab/>
      </w:r>
      <w:r>
        <w:tab/>
      </w:r>
      <w:r w:rsidR="00C65463">
        <w:t>64</w:t>
      </w:r>
      <w:r>
        <w:tab/>
      </w:r>
      <w:r w:rsidR="00A039A0">
        <w:t>13</w:t>
      </w:r>
    </w:p>
    <w:p w14:paraId="253C5C71" w14:textId="77777777" w:rsidR="00866775" w:rsidRPr="00866775" w:rsidRDefault="00866775" w:rsidP="00866775">
      <w:pPr>
        <w:tabs>
          <w:tab w:val="right" w:pos="850"/>
        </w:tabs>
        <w:spacing w:after="120"/>
      </w:pPr>
      <w:r>
        <w:tab/>
        <w:t>Annexes</w:t>
      </w:r>
    </w:p>
    <w:p w14:paraId="17B33485" w14:textId="77777777" w:rsidR="00866775" w:rsidRPr="009D0112" w:rsidRDefault="009D0112" w:rsidP="009D0112">
      <w:pPr>
        <w:tabs>
          <w:tab w:val="right" w:pos="850"/>
          <w:tab w:val="right" w:leader="dot" w:pos="8929"/>
          <w:tab w:val="right" w:pos="9638"/>
        </w:tabs>
        <w:spacing w:after="120"/>
        <w:ind w:left="1134" w:hanging="1134"/>
      </w:pPr>
      <w:r w:rsidRPr="00866775">
        <w:rPr>
          <w:b/>
          <w:lang w:val="fr-FR"/>
        </w:rPr>
        <w:tab/>
      </w:r>
      <w:r w:rsidRPr="009D0112">
        <w:t>I.</w:t>
      </w:r>
      <w:r w:rsidRPr="00866775">
        <w:rPr>
          <w:b/>
          <w:lang w:val="fr-FR"/>
        </w:rPr>
        <w:tab/>
      </w:r>
      <w:r w:rsidRPr="009D0112">
        <w:t>Propositions d</w:t>
      </w:r>
      <w:r w:rsidR="003968B4">
        <w:t>’</w:t>
      </w:r>
      <w:r w:rsidRPr="009D0112">
        <w:t>amendements au Règlement annexé à l</w:t>
      </w:r>
      <w:r w:rsidR="003968B4">
        <w:t>’</w:t>
      </w:r>
      <w:r w:rsidRPr="009D0112">
        <w:t xml:space="preserve">ADN </w:t>
      </w:r>
      <w:r>
        <w:br/>
      </w:r>
      <w:r w:rsidRPr="009D0112">
        <w:t xml:space="preserve">pour </w:t>
      </w:r>
      <w:proofErr w:type="spellStart"/>
      <w:r w:rsidRPr="009D0112">
        <w:t>entrée</w:t>
      </w:r>
      <w:proofErr w:type="spellEnd"/>
      <w:r w:rsidRPr="009D0112">
        <w:t xml:space="preserve"> en vigueur le 1</w:t>
      </w:r>
      <w:r w:rsidRPr="00A039A0">
        <w:rPr>
          <w:vertAlign w:val="superscript"/>
        </w:rPr>
        <w:t>er </w:t>
      </w:r>
      <w:r w:rsidRPr="009D0112">
        <w:t>janvier 2021</w:t>
      </w:r>
      <w:r w:rsidR="00866775" w:rsidRPr="009D0112">
        <w:tab/>
      </w:r>
      <w:r w:rsidR="00866775" w:rsidRPr="009D0112">
        <w:tab/>
      </w:r>
      <w:r w:rsidR="00A039A0">
        <w:t>14</w:t>
      </w:r>
    </w:p>
    <w:p w14:paraId="50F28125" w14:textId="77777777" w:rsidR="00866775" w:rsidRDefault="00866775" w:rsidP="00866775">
      <w:pPr>
        <w:tabs>
          <w:tab w:val="right" w:pos="850"/>
          <w:tab w:val="right" w:leader="dot" w:pos="8929"/>
          <w:tab w:val="right" w:pos="9638"/>
        </w:tabs>
        <w:spacing w:after="120"/>
        <w:ind w:left="1134" w:hanging="1134"/>
      </w:pPr>
      <w:r>
        <w:tab/>
        <w:t>II.</w:t>
      </w:r>
      <w:r>
        <w:tab/>
      </w:r>
      <w:r w:rsidR="009D0112" w:rsidRPr="009D0112">
        <w:t>Amendements au modèle de liste de contrôle normalisée des bateaux</w:t>
      </w:r>
      <w:r>
        <w:tab/>
      </w:r>
      <w:r>
        <w:tab/>
      </w:r>
      <w:r w:rsidR="00A039A0">
        <w:t>15</w:t>
      </w:r>
    </w:p>
    <w:p w14:paraId="02515671" w14:textId="77777777" w:rsidR="00866775" w:rsidRDefault="00866775" w:rsidP="00866775">
      <w:pPr>
        <w:tabs>
          <w:tab w:val="right" w:pos="850"/>
          <w:tab w:val="right" w:leader="dot" w:pos="8929"/>
          <w:tab w:val="right" w:pos="9638"/>
        </w:tabs>
        <w:spacing w:after="120"/>
        <w:ind w:left="1134" w:hanging="1134"/>
      </w:pPr>
      <w:r>
        <w:tab/>
        <w:t>III.</w:t>
      </w:r>
      <w:r>
        <w:tab/>
      </w:r>
      <w:r w:rsidR="009D0112" w:rsidRPr="009D0112">
        <w:t>Corrections au document ECE/TRANS/276 (édition 2019 de l</w:t>
      </w:r>
      <w:r w:rsidR="003968B4">
        <w:t>’</w:t>
      </w:r>
      <w:r w:rsidR="009D0112" w:rsidRPr="009D0112">
        <w:t>ADN)</w:t>
      </w:r>
      <w:r>
        <w:tab/>
      </w:r>
      <w:r>
        <w:tab/>
      </w:r>
      <w:r w:rsidR="00A039A0">
        <w:t>16</w:t>
      </w:r>
    </w:p>
    <w:p w14:paraId="056DD30B" w14:textId="77777777" w:rsidR="00866775" w:rsidRPr="00866775" w:rsidRDefault="00866775" w:rsidP="00866775"/>
    <w:p w14:paraId="614603FE" w14:textId="77777777" w:rsidR="00866775" w:rsidRPr="00866775" w:rsidRDefault="00866775" w:rsidP="00465DCE">
      <w:pPr>
        <w:pStyle w:val="HChG"/>
        <w:rPr>
          <w:lang w:val="fr-FR"/>
        </w:rPr>
      </w:pPr>
      <w:r w:rsidRPr="00866775">
        <w:rPr>
          <w:lang w:val="fr-FR"/>
        </w:rPr>
        <w:br w:type="page"/>
      </w:r>
      <w:r w:rsidRPr="00866775">
        <w:rPr>
          <w:lang w:val="fr-FR"/>
        </w:rPr>
        <w:lastRenderedPageBreak/>
        <w:tab/>
      </w:r>
      <w:bookmarkStart w:id="6" w:name="_Toc32481631"/>
      <w:bookmarkStart w:id="7" w:name="_Hlk536607859"/>
      <w:r w:rsidRPr="00866775">
        <w:rPr>
          <w:lang w:val="fr-FR"/>
        </w:rPr>
        <w:t>I.</w:t>
      </w:r>
      <w:r w:rsidRPr="00866775">
        <w:rPr>
          <w:lang w:val="fr-FR"/>
        </w:rPr>
        <w:tab/>
      </w:r>
      <w:bookmarkEnd w:id="6"/>
      <w:r w:rsidRPr="00866775">
        <w:rPr>
          <w:lang w:val="fr-FR"/>
        </w:rPr>
        <w:t>Participation</w:t>
      </w:r>
    </w:p>
    <w:p w14:paraId="5614248B" w14:textId="77777777" w:rsidR="00866775" w:rsidRPr="00866775" w:rsidRDefault="00866775" w:rsidP="00465DCE">
      <w:pPr>
        <w:pStyle w:val="SingleTxtG"/>
        <w:rPr>
          <w:lang w:val="fr-FR"/>
        </w:rPr>
      </w:pPr>
      <w:bookmarkStart w:id="8" w:name="_Hlk30518676"/>
      <w:r w:rsidRPr="00866775">
        <w:rPr>
          <w:lang w:val="fr-FR"/>
        </w:rPr>
        <w:t>1.</w:t>
      </w:r>
      <w:r w:rsidRPr="00866775">
        <w:rPr>
          <w:lang w:val="fr-FR"/>
        </w:rPr>
        <w:tab/>
        <w:t>La Réunion commune d</w:t>
      </w:r>
      <w:r w:rsidR="003968B4">
        <w:rPr>
          <w:lang w:val="fr-FR"/>
        </w:rPr>
        <w:t>’</w:t>
      </w:r>
      <w:r w:rsidRPr="00866775">
        <w:rPr>
          <w:lang w:val="fr-FR"/>
        </w:rPr>
        <w:t>experts du Règlement annexé à l</w:t>
      </w:r>
      <w:r w:rsidR="003968B4">
        <w:rPr>
          <w:lang w:val="fr-FR"/>
        </w:rPr>
        <w:t>’</w:t>
      </w:r>
      <w:r w:rsidRPr="00866775">
        <w:rPr>
          <w:lang w:val="fr-FR"/>
        </w:rPr>
        <w:t>Accord européen relatif au transport international des marchandises dangereuses par voies de navigation intérieures (ADN) (Comité de sécurité de l</w:t>
      </w:r>
      <w:r w:rsidR="003968B4">
        <w:rPr>
          <w:lang w:val="fr-FR"/>
        </w:rPr>
        <w:t>’</w:t>
      </w:r>
      <w:r w:rsidRPr="00866775">
        <w:rPr>
          <w:lang w:val="fr-FR"/>
        </w:rPr>
        <w:t>ADN) a tenu sa trente-sixième session à Genève du 27 au 31</w:t>
      </w:r>
      <w:r w:rsidR="00465DCE">
        <w:rPr>
          <w:lang w:val="fr-FR"/>
        </w:rPr>
        <w:t> </w:t>
      </w:r>
      <w:r w:rsidRPr="00866775">
        <w:rPr>
          <w:lang w:val="fr-FR"/>
        </w:rPr>
        <w:t xml:space="preserve">janvier 2020.  </w:t>
      </w:r>
    </w:p>
    <w:p w14:paraId="5DCACE06" w14:textId="77777777" w:rsidR="00866775" w:rsidRPr="00866775" w:rsidRDefault="00866775" w:rsidP="00465DCE">
      <w:pPr>
        <w:pStyle w:val="SingleTxtG"/>
        <w:rPr>
          <w:lang w:val="fr-FR"/>
        </w:rPr>
      </w:pPr>
      <w:r w:rsidRPr="00866775">
        <w:rPr>
          <w:lang w:val="fr-FR"/>
        </w:rPr>
        <w:t>2.</w:t>
      </w:r>
      <w:r w:rsidRPr="00866775">
        <w:rPr>
          <w:lang w:val="fr-FR"/>
        </w:rPr>
        <w:tab/>
        <w:t>Des représentants des pays suivants ont pris part aux travaux de cette session : Allemagne, Autriche, Belgique, Fédération de Russie, France, Pays-Bas, Pologne, Roumanie, Serbie, Suisse et République tchèque.</w:t>
      </w:r>
    </w:p>
    <w:p w14:paraId="484E9ABD" w14:textId="77777777" w:rsidR="00866775" w:rsidRPr="00866775" w:rsidRDefault="00866775" w:rsidP="00866775">
      <w:pPr>
        <w:pStyle w:val="SingleTxtG"/>
        <w:rPr>
          <w:lang w:val="fr-FR"/>
        </w:rPr>
      </w:pPr>
      <w:r w:rsidRPr="00866775">
        <w:rPr>
          <w:lang w:val="fr-FR"/>
        </w:rPr>
        <w:t>3.</w:t>
      </w:r>
      <w:r w:rsidRPr="00866775">
        <w:rPr>
          <w:lang w:val="fr-FR"/>
        </w:rPr>
        <w:tab/>
        <w:t>Étaient représentées les organisations intergouvernementales suivantes : la Commission centrale pour la navigation du Rhin (CCNR), la Commission du Danube et l</w:t>
      </w:r>
      <w:r w:rsidR="003968B4">
        <w:rPr>
          <w:lang w:val="fr-FR"/>
        </w:rPr>
        <w:t>’</w:t>
      </w:r>
      <w:r w:rsidRPr="00866775">
        <w:rPr>
          <w:lang w:val="fr-FR"/>
        </w:rPr>
        <w:t xml:space="preserve">Union européenne. </w:t>
      </w:r>
    </w:p>
    <w:p w14:paraId="0A932758" w14:textId="77777777" w:rsidR="00866775" w:rsidRPr="00866775" w:rsidRDefault="00866775" w:rsidP="00866775">
      <w:pPr>
        <w:pStyle w:val="SingleTxtG"/>
        <w:rPr>
          <w:lang w:val="fr-FR"/>
        </w:rPr>
      </w:pPr>
      <w:r w:rsidRPr="00866775">
        <w:rPr>
          <w:lang w:val="fr-FR"/>
        </w:rPr>
        <w:t>4.</w:t>
      </w:r>
      <w:r w:rsidRPr="00866775">
        <w:rPr>
          <w:lang w:val="fr-FR"/>
        </w:rPr>
        <w:tab/>
        <w:t>Les organisations non gouvernementales ci-après étaient également représentées : l</w:t>
      </w:r>
      <w:r w:rsidR="003968B4">
        <w:rPr>
          <w:lang w:val="fr-FR"/>
        </w:rPr>
        <w:t>’</w:t>
      </w:r>
      <w:r w:rsidRPr="00866775">
        <w:rPr>
          <w:lang w:val="fr-FR"/>
        </w:rPr>
        <w:t>Union européenne de la navigation fluviale (UENF), le Conseil européen de l</w:t>
      </w:r>
      <w:r w:rsidR="003968B4">
        <w:rPr>
          <w:lang w:val="fr-FR"/>
        </w:rPr>
        <w:t>’</w:t>
      </w:r>
      <w:r w:rsidRPr="00866775">
        <w:rPr>
          <w:lang w:val="fr-FR"/>
        </w:rPr>
        <w:t>industrie chimique (CEFIC), l</w:t>
      </w:r>
      <w:r w:rsidR="003968B4">
        <w:rPr>
          <w:lang w:val="fr-FR"/>
        </w:rPr>
        <w:t>’</w:t>
      </w:r>
      <w:r w:rsidRPr="00866775">
        <w:rPr>
          <w:lang w:val="fr-FR"/>
        </w:rPr>
        <w:t xml:space="preserve">Organisation européenne des bateliers (OEB), la </w:t>
      </w:r>
      <w:proofErr w:type="spellStart"/>
      <w:r w:rsidRPr="00866775">
        <w:rPr>
          <w:lang w:val="fr-FR"/>
        </w:rPr>
        <w:t>Federation</w:t>
      </w:r>
      <w:proofErr w:type="spellEnd"/>
      <w:r w:rsidRPr="00866775">
        <w:rPr>
          <w:lang w:val="fr-FR"/>
        </w:rPr>
        <w:t xml:space="preserve"> of </w:t>
      </w:r>
      <w:proofErr w:type="spellStart"/>
      <w:r w:rsidRPr="00866775">
        <w:rPr>
          <w:lang w:val="fr-FR"/>
        </w:rPr>
        <w:t>European</w:t>
      </w:r>
      <w:proofErr w:type="spellEnd"/>
      <w:r w:rsidRPr="00866775">
        <w:rPr>
          <w:lang w:val="fr-FR"/>
        </w:rPr>
        <w:t xml:space="preserve"> Tank Storage Associations (FETSA), </w:t>
      </w:r>
      <w:proofErr w:type="spellStart"/>
      <w:r w:rsidRPr="00866775">
        <w:rPr>
          <w:lang w:val="fr-FR"/>
        </w:rPr>
        <w:t>FuelsEurope</w:t>
      </w:r>
      <w:proofErr w:type="spellEnd"/>
      <w:r w:rsidRPr="00866775">
        <w:rPr>
          <w:lang w:val="fr-FR"/>
        </w:rPr>
        <w:t>, le Comité international de prévention des accidents du travail de la navigation intérieure (CIPA) et des sociétés de classification ADN recommandées.</w:t>
      </w:r>
    </w:p>
    <w:bookmarkEnd w:id="7"/>
    <w:bookmarkEnd w:id="8"/>
    <w:p w14:paraId="4A5916E9" w14:textId="77777777" w:rsidR="00866775" w:rsidRPr="00866775" w:rsidRDefault="00866775" w:rsidP="00465DCE">
      <w:pPr>
        <w:pStyle w:val="HChG"/>
        <w:rPr>
          <w:lang w:val="fr-FR"/>
        </w:rPr>
      </w:pPr>
      <w:r w:rsidRPr="00866775">
        <w:rPr>
          <w:lang w:val="fr-FR"/>
        </w:rPr>
        <w:tab/>
      </w:r>
      <w:bookmarkStart w:id="9" w:name="_Toc32481632"/>
      <w:bookmarkStart w:id="10" w:name="_Hlk536607922"/>
      <w:r w:rsidRPr="00866775">
        <w:rPr>
          <w:lang w:val="fr-FR"/>
        </w:rPr>
        <w:t>II.</w:t>
      </w:r>
      <w:r w:rsidRPr="00866775">
        <w:rPr>
          <w:lang w:val="fr-FR"/>
        </w:rPr>
        <w:tab/>
      </w:r>
      <w:bookmarkEnd w:id="9"/>
      <w:r w:rsidRPr="00866775">
        <w:rPr>
          <w:lang w:val="fr-FR"/>
        </w:rPr>
        <w:t>Adoption de l</w:t>
      </w:r>
      <w:r w:rsidR="003968B4">
        <w:rPr>
          <w:lang w:val="fr-FR"/>
        </w:rPr>
        <w:t>’</w:t>
      </w:r>
      <w:r w:rsidRPr="00866775">
        <w:rPr>
          <w:lang w:val="fr-FR"/>
        </w:rPr>
        <w:t xml:space="preserve">ordre du jour </w:t>
      </w:r>
      <w:r w:rsidR="00465DCE">
        <w:rPr>
          <w:lang w:val="fr-FR"/>
        </w:rPr>
        <w:br/>
      </w:r>
      <w:r w:rsidRPr="00866775">
        <w:rPr>
          <w:lang w:val="fr-FR"/>
        </w:rPr>
        <w:t>(point</w:t>
      </w:r>
      <w:r w:rsidR="00465DCE">
        <w:rPr>
          <w:lang w:val="fr-FR"/>
        </w:rPr>
        <w:t> </w:t>
      </w:r>
      <w:r w:rsidRPr="00866775">
        <w:rPr>
          <w:lang w:val="fr-FR"/>
        </w:rPr>
        <w:t>1 de l</w:t>
      </w:r>
      <w:r w:rsidR="003968B4">
        <w:rPr>
          <w:lang w:val="fr-FR"/>
        </w:rPr>
        <w:t>’</w:t>
      </w:r>
      <w:r w:rsidRPr="00866775">
        <w:rPr>
          <w:lang w:val="fr-FR"/>
        </w:rPr>
        <w:t>ordre du jour)</w:t>
      </w:r>
    </w:p>
    <w:p w14:paraId="56D0CE79" w14:textId="77777777" w:rsidR="00866775" w:rsidRPr="00866775" w:rsidRDefault="00866775" w:rsidP="002320A9">
      <w:pPr>
        <w:pStyle w:val="SingleTxtG"/>
        <w:keepNext/>
        <w:keepLines/>
        <w:ind w:left="3402" w:hanging="2268"/>
        <w:jc w:val="left"/>
        <w:rPr>
          <w:lang w:val="fr-FR"/>
        </w:rPr>
      </w:pPr>
      <w:r w:rsidRPr="00866775">
        <w:rPr>
          <w:i/>
          <w:iCs/>
          <w:lang w:val="fr-FR"/>
        </w:rPr>
        <w:t>Document</w:t>
      </w:r>
      <w:r w:rsidR="003968B4">
        <w:rPr>
          <w:i/>
          <w:iCs/>
          <w:lang w:val="fr-FR"/>
        </w:rPr>
        <w:t>s </w:t>
      </w:r>
      <w:r w:rsidR="003968B4">
        <w:t>:</w:t>
      </w:r>
      <w:r w:rsidRPr="00866775">
        <w:rPr>
          <w:lang w:val="fr-FR"/>
        </w:rPr>
        <w:tab/>
      </w:r>
      <w:r w:rsidR="00465DCE">
        <w:rPr>
          <w:lang w:val="fr-FR"/>
        </w:rPr>
        <w:tab/>
      </w:r>
      <w:r w:rsidRPr="00866775">
        <w:rPr>
          <w:lang w:val="fr-FR"/>
        </w:rPr>
        <w:t xml:space="preserve">ECE/TRANS/WP.15/AC.2/73 (Secrétariat) </w:t>
      </w:r>
      <w:r w:rsidR="00465DCE">
        <w:rPr>
          <w:lang w:val="fr-FR"/>
        </w:rPr>
        <w:br/>
      </w:r>
      <w:r w:rsidR="00465DCE">
        <w:rPr>
          <w:lang w:val="fr-FR"/>
        </w:rPr>
        <w:tab/>
      </w:r>
      <w:r w:rsidRPr="00866775">
        <w:rPr>
          <w:lang w:val="fr-FR"/>
        </w:rPr>
        <w:t>ECE/TRANS/WP.15/AC.2/73/Add.1 (Secrétariat)</w:t>
      </w:r>
      <w:r w:rsidR="00465DCE">
        <w:rPr>
          <w:lang w:val="fr-FR"/>
        </w:rPr>
        <w:t>.</w:t>
      </w:r>
    </w:p>
    <w:p w14:paraId="238DCC07" w14:textId="77777777" w:rsidR="00866775" w:rsidRPr="00866775" w:rsidRDefault="00866775" w:rsidP="002320A9">
      <w:pPr>
        <w:pStyle w:val="SingleTxtG"/>
        <w:keepNext/>
        <w:keepLines/>
        <w:ind w:left="3402" w:hanging="2268"/>
        <w:jc w:val="left"/>
        <w:rPr>
          <w:lang w:val="fr-FR"/>
        </w:rPr>
      </w:pPr>
      <w:r w:rsidRPr="00866775">
        <w:rPr>
          <w:i/>
          <w:iCs/>
          <w:lang w:val="fr-FR"/>
        </w:rPr>
        <w:t>Document informel</w:t>
      </w:r>
      <w:r w:rsidR="00465DCE">
        <w:rPr>
          <w:i/>
          <w:iCs/>
          <w:lang w:val="fr-FR"/>
        </w:rPr>
        <w:t> </w:t>
      </w:r>
      <w:r w:rsidR="00465DCE">
        <w:rPr>
          <w:lang w:val="fr-FR"/>
        </w:rPr>
        <w:t>:</w:t>
      </w:r>
      <w:r w:rsidRPr="00866775">
        <w:rPr>
          <w:i/>
          <w:iCs/>
          <w:lang w:val="fr-FR"/>
        </w:rPr>
        <w:t xml:space="preserve"> </w:t>
      </w:r>
      <w:r w:rsidRPr="00866775">
        <w:rPr>
          <w:lang w:val="fr-FR"/>
        </w:rPr>
        <w:t xml:space="preserve"> </w:t>
      </w:r>
      <w:r w:rsidRPr="00866775">
        <w:rPr>
          <w:lang w:val="fr-FR"/>
        </w:rPr>
        <w:tab/>
        <w:t>INF.1 et INF.17 (Secrétariat)</w:t>
      </w:r>
      <w:r w:rsidR="00465DCE">
        <w:rPr>
          <w:lang w:val="fr-FR"/>
        </w:rPr>
        <w:t>.</w:t>
      </w:r>
    </w:p>
    <w:p w14:paraId="11D8FABE" w14:textId="77777777" w:rsidR="00866775" w:rsidRPr="00866775" w:rsidRDefault="00866775" w:rsidP="00866775">
      <w:pPr>
        <w:pStyle w:val="SingleTxtG"/>
        <w:rPr>
          <w:lang w:val="fr-FR"/>
        </w:rPr>
      </w:pPr>
      <w:r w:rsidRPr="00866775">
        <w:rPr>
          <w:lang w:val="fr-FR"/>
        </w:rPr>
        <w:t>5.</w:t>
      </w:r>
      <w:r w:rsidRPr="00866775">
        <w:rPr>
          <w:lang w:val="fr-FR"/>
        </w:rPr>
        <w:tab/>
      </w:r>
      <w:bookmarkStart w:id="11" w:name="_Hlk30518706"/>
      <w:r w:rsidRPr="00866775">
        <w:rPr>
          <w:lang w:val="fr-FR"/>
        </w:rPr>
        <w:t>Le Comité de sécurité a adopté l</w:t>
      </w:r>
      <w:r w:rsidR="003968B4">
        <w:rPr>
          <w:lang w:val="fr-FR"/>
        </w:rPr>
        <w:t>’</w:t>
      </w:r>
      <w:r w:rsidRPr="00866775">
        <w:rPr>
          <w:lang w:val="fr-FR"/>
        </w:rPr>
        <w:t>ordre du jour établi par le secrétariat, tel que modifié par le document informel INF.1 pour tenir compte des documents informels INF.1 à INF.30</w:t>
      </w:r>
      <w:bookmarkEnd w:id="11"/>
      <w:r w:rsidRPr="00866775">
        <w:rPr>
          <w:lang w:val="fr-FR"/>
        </w:rPr>
        <w:t>.</w:t>
      </w:r>
    </w:p>
    <w:bookmarkEnd w:id="10"/>
    <w:p w14:paraId="4C180877" w14:textId="77777777" w:rsidR="00866775" w:rsidRPr="00866775" w:rsidRDefault="00866775" w:rsidP="00465DCE">
      <w:pPr>
        <w:pStyle w:val="HChG"/>
        <w:rPr>
          <w:lang w:val="fr-FR"/>
        </w:rPr>
      </w:pPr>
      <w:r w:rsidRPr="00866775">
        <w:rPr>
          <w:lang w:val="fr-FR"/>
        </w:rPr>
        <w:tab/>
      </w:r>
      <w:bookmarkStart w:id="12" w:name="_Toc32481633"/>
      <w:r w:rsidRPr="00866775">
        <w:rPr>
          <w:lang w:val="fr-FR"/>
        </w:rPr>
        <w:t>III.</w:t>
      </w:r>
      <w:r w:rsidRPr="00866775">
        <w:rPr>
          <w:lang w:val="fr-FR"/>
        </w:rPr>
        <w:tab/>
      </w:r>
      <w:bookmarkEnd w:id="12"/>
      <w:r w:rsidRPr="00866775">
        <w:rPr>
          <w:lang w:val="fr-FR"/>
        </w:rPr>
        <w:t xml:space="preserve">Élection du Bureau pour 2020 </w:t>
      </w:r>
      <w:r w:rsidR="00465DCE">
        <w:rPr>
          <w:lang w:val="fr-FR"/>
        </w:rPr>
        <w:br/>
      </w:r>
      <w:r w:rsidRPr="00866775">
        <w:rPr>
          <w:lang w:val="fr-FR"/>
        </w:rPr>
        <w:t>(point</w:t>
      </w:r>
      <w:r w:rsidR="00465DCE">
        <w:rPr>
          <w:lang w:val="fr-FR"/>
        </w:rPr>
        <w:t> </w:t>
      </w:r>
      <w:r w:rsidRPr="00866775">
        <w:rPr>
          <w:lang w:val="fr-FR"/>
        </w:rPr>
        <w:t>2 de l</w:t>
      </w:r>
      <w:r w:rsidR="003968B4">
        <w:rPr>
          <w:lang w:val="fr-FR"/>
        </w:rPr>
        <w:t>’</w:t>
      </w:r>
      <w:r w:rsidRPr="00866775">
        <w:rPr>
          <w:lang w:val="fr-FR"/>
        </w:rPr>
        <w:t>ordre du jour)</w:t>
      </w:r>
    </w:p>
    <w:p w14:paraId="510994F9" w14:textId="77777777" w:rsidR="00866775" w:rsidRPr="00866775" w:rsidRDefault="00866775" w:rsidP="00866775">
      <w:pPr>
        <w:pStyle w:val="SingleTxtG"/>
        <w:rPr>
          <w:lang w:val="fr-FR"/>
        </w:rPr>
      </w:pPr>
      <w:r w:rsidRPr="00866775">
        <w:rPr>
          <w:lang w:val="fr-FR"/>
        </w:rPr>
        <w:t xml:space="preserve">6. </w:t>
      </w:r>
      <w:r w:rsidRPr="00866775">
        <w:rPr>
          <w:lang w:val="fr-FR"/>
        </w:rPr>
        <w:tab/>
        <w:t>Sur proposition du représentant de la Suisse, appuyée par les représentants de l</w:t>
      </w:r>
      <w:r w:rsidR="003968B4">
        <w:rPr>
          <w:lang w:val="fr-FR"/>
        </w:rPr>
        <w:t>’</w:t>
      </w:r>
      <w:r w:rsidRPr="00866775">
        <w:rPr>
          <w:lang w:val="fr-FR"/>
        </w:rPr>
        <w:t>Allemagne, de la Belgique et de la France, le Comité de sécurité a réélu M. H. Langenberg (Pays-Bas) Président et M.</w:t>
      </w:r>
      <w:r w:rsidR="00465DCE">
        <w:rPr>
          <w:lang w:val="fr-FR"/>
        </w:rPr>
        <w:t> </w:t>
      </w:r>
      <w:r w:rsidRPr="00866775">
        <w:rPr>
          <w:lang w:val="fr-FR"/>
        </w:rPr>
        <w:t>B.</w:t>
      </w:r>
      <w:r w:rsidR="009738BA">
        <w:rPr>
          <w:lang w:val="fr-FR"/>
        </w:rPr>
        <w:t> </w:t>
      </w:r>
      <w:proofErr w:type="spellStart"/>
      <w:r w:rsidRPr="00866775">
        <w:rPr>
          <w:lang w:val="fr-FR"/>
        </w:rPr>
        <w:t>Birklhuber</w:t>
      </w:r>
      <w:proofErr w:type="spellEnd"/>
      <w:r w:rsidRPr="00866775">
        <w:rPr>
          <w:lang w:val="fr-FR"/>
        </w:rPr>
        <w:t xml:space="preserve"> (Autriche) Vice-Président pour ses sessions de</w:t>
      </w:r>
      <w:r w:rsidR="003968B4">
        <w:rPr>
          <w:lang w:val="fr-FR"/>
        </w:rPr>
        <w:t> </w:t>
      </w:r>
      <w:r w:rsidRPr="00866775">
        <w:rPr>
          <w:lang w:val="fr-FR"/>
        </w:rPr>
        <w:t>2020.</w:t>
      </w:r>
    </w:p>
    <w:p w14:paraId="77A4E2D4" w14:textId="77777777" w:rsidR="00866775" w:rsidRPr="00866775" w:rsidRDefault="00866775" w:rsidP="00465DCE">
      <w:pPr>
        <w:pStyle w:val="HChG"/>
        <w:rPr>
          <w:lang w:val="fr-FR"/>
        </w:rPr>
      </w:pPr>
      <w:r w:rsidRPr="00866775">
        <w:rPr>
          <w:lang w:val="fr-FR"/>
        </w:rPr>
        <w:tab/>
      </w:r>
      <w:bookmarkStart w:id="13" w:name="_Hlk536608040"/>
      <w:bookmarkStart w:id="14" w:name="_Toc32481634"/>
      <w:r w:rsidRPr="00866775">
        <w:rPr>
          <w:lang w:val="fr-FR"/>
        </w:rPr>
        <w:t>IV.</w:t>
      </w:r>
      <w:r w:rsidRPr="00866775">
        <w:rPr>
          <w:lang w:val="fr-FR"/>
        </w:rPr>
        <w:tab/>
      </w:r>
      <w:bookmarkEnd w:id="13"/>
      <w:bookmarkEnd w:id="14"/>
      <w:r w:rsidR="009D0112" w:rsidRPr="00866775">
        <w:rPr>
          <w:lang w:val="fr-FR"/>
        </w:rPr>
        <w:t>Questions découlant des travaux d</w:t>
      </w:r>
      <w:r w:rsidR="003968B4">
        <w:rPr>
          <w:lang w:val="fr-FR"/>
        </w:rPr>
        <w:t>’</w:t>
      </w:r>
      <w:r w:rsidR="009D0112" w:rsidRPr="00866775">
        <w:rPr>
          <w:lang w:val="fr-FR"/>
        </w:rPr>
        <w:t xml:space="preserve">organes </w:t>
      </w:r>
      <w:r w:rsidR="009D0112">
        <w:rPr>
          <w:lang w:val="fr-FR"/>
        </w:rPr>
        <w:br/>
      </w:r>
      <w:r w:rsidR="009D0112" w:rsidRPr="00866775">
        <w:rPr>
          <w:lang w:val="fr-FR"/>
        </w:rPr>
        <w:t>des Nations</w:t>
      </w:r>
      <w:r w:rsidR="009D0112">
        <w:rPr>
          <w:lang w:val="fr-FR"/>
        </w:rPr>
        <w:t> </w:t>
      </w:r>
      <w:r w:rsidR="009D0112" w:rsidRPr="00866775">
        <w:rPr>
          <w:lang w:val="fr-FR"/>
        </w:rPr>
        <w:t>Unies ou d</w:t>
      </w:r>
      <w:r w:rsidR="003968B4">
        <w:rPr>
          <w:lang w:val="fr-FR"/>
        </w:rPr>
        <w:t>’</w:t>
      </w:r>
      <w:r w:rsidR="009D0112" w:rsidRPr="00866775">
        <w:rPr>
          <w:lang w:val="fr-FR"/>
        </w:rPr>
        <w:t xml:space="preserve">autres organisations </w:t>
      </w:r>
      <w:r w:rsidR="009D0112">
        <w:rPr>
          <w:lang w:val="fr-FR"/>
        </w:rPr>
        <w:br/>
      </w:r>
      <w:r w:rsidR="009D0112" w:rsidRPr="00866775">
        <w:rPr>
          <w:lang w:val="fr-FR"/>
        </w:rPr>
        <w:t>(point</w:t>
      </w:r>
      <w:r w:rsidR="009D0112">
        <w:rPr>
          <w:lang w:val="fr-FR"/>
        </w:rPr>
        <w:t> </w:t>
      </w:r>
      <w:r w:rsidR="009D0112" w:rsidRPr="00866775">
        <w:rPr>
          <w:lang w:val="fr-FR"/>
        </w:rPr>
        <w:t>3 de l</w:t>
      </w:r>
      <w:r w:rsidR="003968B4">
        <w:rPr>
          <w:lang w:val="fr-FR"/>
        </w:rPr>
        <w:t>’</w:t>
      </w:r>
      <w:r w:rsidR="009D0112" w:rsidRPr="00866775">
        <w:rPr>
          <w:lang w:val="fr-FR"/>
        </w:rPr>
        <w:t>ordre du jour)</w:t>
      </w:r>
    </w:p>
    <w:p w14:paraId="0B9EDF12" w14:textId="77777777" w:rsidR="00866775" w:rsidRPr="00866775" w:rsidRDefault="00866775" w:rsidP="00866775">
      <w:pPr>
        <w:pStyle w:val="SingleTxtG"/>
        <w:rPr>
          <w:lang w:val="fr-FR"/>
        </w:rPr>
      </w:pPr>
      <w:r w:rsidRPr="00866775">
        <w:rPr>
          <w:lang w:val="fr-FR"/>
        </w:rPr>
        <w:t>7.</w:t>
      </w:r>
      <w:r w:rsidRPr="00866775">
        <w:rPr>
          <w:lang w:val="fr-FR"/>
        </w:rPr>
        <w:tab/>
        <w:t>Le Comité de sécurité a rappelé les informations fournies par le secrétariat (ECE/TRANS/WP.15/AC.2/70, par. 10), à la session de janvier 2019, sur la stratégie du Comité des transports intérieurs (CTI) à l</w:t>
      </w:r>
      <w:r w:rsidR="003968B4">
        <w:rPr>
          <w:lang w:val="fr-FR"/>
        </w:rPr>
        <w:t>’</w:t>
      </w:r>
      <w:r w:rsidRPr="00866775">
        <w:rPr>
          <w:lang w:val="fr-FR"/>
        </w:rPr>
        <w:t>horizon</w:t>
      </w:r>
      <w:r w:rsidR="00465DCE">
        <w:rPr>
          <w:lang w:val="fr-FR"/>
        </w:rPr>
        <w:t> </w:t>
      </w:r>
      <w:r w:rsidRPr="00866775">
        <w:rPr>
          <w:lang w:val="fr-FR"/>
        </w:rPr>
        <w:t>2030. Il n</w:t>
      </w:r>
      <w:r w:rsidR="003968B4">
        <w:rPr>
          <w:lang w:val="fr-FR"/>
        </w:rPr>
        <w:t>’</w:t>
      </w:r>
      <w:r w:rsidRPr="00866775">
        <w:rPr>
          <w:lang w:val="fr-FR"/>
        </w:rPr>
        <w:t>a relevé aucune question relative à ses travaux et a décidé d</w:t>
      </w:r>
      <w:r w:rsidR="003968B4">
        <w:rPr>
          <w:lang w:val="fr-FR"/>
        </w:rPr>
        <w:t>’</w:t>
      </w:r>
      <w:r w:rsidRPr="00866775">
        <w:rPr>
          <w:lang w:val="fr-FR"/>
        </w:rPr>
        <w:t>examiner en détail, au cours d</w:t>
      </w:r>
      <w:r w:rsidR="003968B4">
        <w:rPr>
          <w:lang w:val="fr-FR"/>
        </w:rPr>
        <w:t>’</w:t>
      </w:r>
      <w:r w:rsidRPr="00866775">
        <w:rPr>
          <w:lang w:val="fr-FR"/>
        </w:rPr>
        <w:t>une prochaine session, la mise en œuvre de la stratégie du CTI et du plan d</w:t>
      </w:r>
      <w:r w:rsidR="003968B4">
        <w:rPr>
          <w:lang w:val="fr-FR"/>
        </w:rPr>
        <w:t>’</w:t>
      </w:r>
      <w:r w:rsidRPr="00866775">
        <w:rPr>
          <w:lang w:val="fr-FR"/>
        </w:rPr>
        <w:t>action correspondant (ECE/TRANS/288/Add.2).</w:t>
      </w:r>
    </w:p>
    <w:p w14:paraId="68E07959" w14:textId="77777777" w:rsidR="00866775" w:rsidRPr="00866775" w:rsidRDefault="00866775" w:rsidP="00465DCE">
      <w:pPr>
        <w:pStyle w:val="H1G"/>
        <w:rPr>
          <w:lang w:val="fr-FR"/>
        </w:rPr>
      </w:pPr>
      <w:r w:rsidRPr="00866775">
        <w:rPr>
          <w:lang w:val="fr-FR"/>
        </w:rPr>
        <w:lastRenderedPageBreak/>
        <w:tab/>
      </w:r>
      <w:bookmarkStart w:id="15" w:name="_Toc32481635"/>
      <w:r w:rsidRPr="00866775">
        <w:rPr>
          <w:lang w:val="fr-FR"/>
        </w:rPr>
        <w:t>A.</w:t>
      </w:r>
      <w:r w:rsidRPr="00866775">
        <w:rPr>
          <w:lang w:val="fr-FR"/>
        </w:rPr>
        <w:tab/>
      </w:r>
      <w:bookmarkEnd w:id="15"/>
      <w:r w:rsidRPr="00866775">
        <w:rPr>
          <w:lang w:val="fr-FR"/>
        </w:rPr>
        <w:t xml:space="preserve">Informations communiquées par le secrétariat </w:t>
      </w:r>
      <w:r w:rsidR="00465DCE">
        <w:rPr>
          <w:lang w:val="fr-FR"/>
        </w:rPr>
        <w:br/>
      </w:r>
      <w:r w:rsidRPr="00866775">
        <w:rPr>
          <w:lang w:val="fr-FR"/>
        </w:rPr>
        <w:t>de la Commission du Danube</w:t>
      </w:r>
    </w:p>
    <w:p w14:paraId="069C33F0" w14:textId="77777777" w:rsidR="00866775" w:rsidRPr="00866775" w:rsidRDefault="00866775" w:rsidP="002320A9">
      <w:pPr>
        <w:pStyle w:val="SingleTxtG"/>
        <w:keepNext/>
        <w:keepLines/>
        <w:ind w:left="3402" w:hanging="2268"/>
        <w:jc w:val="left"/>
      </w:pPr>
      <w:r w:rsidRPr="00866775">
        <w:rPr>
          <w:i/>
          <w:iCs/>
        </w:rPr>
        <w:t>Document informel</w:t>
      </w:r>
      <w:r w:rsidR="00465DCE">
        <w:t> </w:t>
      </w:r>
      <w:r w:rsidRPr="00866775">
        <w:t>:</w:t>
      </w:r>
      <w:r w:rsidRPr="00866775">
        <w:rPr>
          <w:i/>
          <w:iCs/>
        </w:rPr>
        <w:t xml:space="preserve"> </w:t>
      </w:r>
      <w:r w:rsidRPr="00866775">
        <w:t xml:space="preserve"> </w:t>
      </w:r>
      <w:r w:rsidRPr="00866775">
        <w:tab/>
        <w:t>INF.19 (</w:t>
      </w:r>
      <w:r w:rsidRPr="00866775">
        <w:rPr>
          <w:lang w:val="fr-FR"/>
        </w:rPr>
        <w:t>Commission du Danube</w:t>
      </w:r>
      <w:r w:rsidRPr="00866775">
        <w:t>)</w:t>
      </w:r>
      <w:r w:rsidR="00465DCE">
        <w:t>.</w:t>
      </w:r>
    </w:p>
    <w:p w14:paraId="3181212E" w14:textId="77777777" w:rsidR="00866775" w:rsidRPr="00866775" w:rsidRDefault="00866775" w:rsidP="00866775">
      <w:pPr>
        <w:pStyle w:val="SingleTxtG"/>
        <w:rPr>
          <w:lang w:val="fr-FR"/>
        </w:rPr>
      </w:pPr>
      <w:r w:rsidRPr="00866775">
        <w:rPr>
          <w:lang w:val="fr-FR"/>
        </w:rPr>
        <w:t>8.</w:t>
      </w:r>
      <w:r w:rsidRPr="00866775">
        <w:rPr>
          <w:lang w:val="fr-FR"/>
        </w:rPr>
        <w:tab/>
        <w:t>Le Comité de sécurité a pris connaissance avec intérêt des informations communiquées par la Commission du Danube au sujet du nombre de sources d</w:t>
      </w:r>
      <w:r w:rsidR="003968B4">
        <w:rPr>
          <w:lang w:val="fr-FR"/>
        </w:rPr>
        <w:t>’</w:t>
      </w:r>
      <w:r w:rsidRPr="00866775">
        <w:rPr>
          <w:lang w:val="fr-FR"/>
        </w:rPr>
        <w:t>énergie à bord des barges non motorisées, sources qui sont principalement des alimentations électriques externes et des batteries d</w:t>
      </w:r>
      <w:r w:rsidR="003968B4">
        <w:rPr>
          <w:lang w:val="fr-FR"/>
        </w:rPr>
        <w:t>’</w:t>
      </w:r>
      <w:r w:rsidRPr="00866775">
        <w:rPr>
          <w:lang w:val="fr-FR"/>
        </w:rPr>
        <w:t>accumulateurs.</w:t>
      </w:r>
    </w:p>
    <w:p w14:paraId="41E2B4E2" w14:textId="77777777" w:rsidR="00866775" w:rsidRPr="00866775" w:rsidRDefault="00866775" w:rsidP="00866775">
      <w:pPr>
        <w:pStyle w:val="SingleTxtG"/>
        <w:rPr>
          <w:lang w:val="fr-FR"/>
        </w:rPr>
      </w:pPr>
      <w:r w:rsidRPr="00866775">
        <w:rPr>
          <w:lang w:val="fr-FR"/>
        </w:rPr>
        <w:t>9.</w:t>
      </w:r>
      <w:r w:rsidRPr="00866775">
        <w:rPr>
          <w:lang w:val="fr-FR"/>
        </w:rPr>
        <w:tab/>
        <w:t>Il a en outre été admis, à la lumière des informations complémentaires fournies par la Commission du Danube, que compte tenu de la récente introduction par l</w:t>
      </w:r>
      <w:r w:rsidR="003968B4">
        <w:rPr>
          <w:lang w:val="fr-FR"/>
        </w:rPr>
        <w:t>’</w:t>
      </w:r>
      <w:r w:rsidRPr="00866775">
        <w:rPr>
          <w:lang w:val="fr-FR"/>
        </w:rPr>
        <w:t>Organisation maritime internationale de la réglementation sur les carburants à faible teneur en soufre et des coûts supplémentaires qui en découlent, l</w:t>
      </w:r>
      <w:r w:rsidR="003968B4">
        <w:rPr>
          <w:lang w:val="fr-FR"/>
        </w:rPr>
        <w:t>’</w:t>
      </w:r>
      <w:r w:rsidRPr="00866775">
        <w:rPr>
          <w:lang w:val="fr-FR"/>
        </w:rPr>
        <w:t>intérêt pour les carburants de substitution, tels que le gaz naturel, le gaz de pétrole liquéfié, l</w:t>
      </w:r>
      <w:r w:rsidR="003968B4">
        <w:rPr>
          <w:lang w:val="fr-FR"/>
        </w:rPr>
        <w:t>’</w:t>
      </w:r>
      <w:r w:rsidRPr="00866775">
        <w:rPr>
          <w:lang w:val="fr-FR"/>
        </w:rPr>
        <w:t>hydrogène ou les carburants combinés (systèmes hybrides) augmenterait dans le secteur de la navigation intérieure.</w:t>
      </w:r>
    </w:p>
    <w:p w14:paraId="31420D68" w14:textId="77777777" w:rsidR="00866775" w:rsidRPr="00866775" w:rsidRDefault="00866775" w:rsidP="00465DCE">
      <w:pPr>
        <w:pStyle w:val="H1G"/>
        <w:rPr>
          <w:lang w:val="fr-FR"/>
        </w:rPr>
      </w:pPr>
      <w:r w:rsidRPr="00866775">
        <w:rPr>
          <w:lang w:val="fr-FR"/>
        </w:rPr>
        <w:tab/>
      </w:r>
      <w:bookmarkStart w:id="16" w:name="_Toc32481636"/>
      <w:r w:rsidRPr="00866775">
        <w:rPr>
          <w:lang w:val="fr-FR"/>
        </w:rPr>
        <w:t>B.</w:t>
      </w:r>
      <w:r w:rsidRPr="00866775">
        <w:rPr>
          <w:lang w:val="fr-FR"/>
        </w:rPr>
        <w:tab/>
      </w:r>
      <w:bookmarkEnd w:id="16"/>
      <w:r w:rsidRPr="00866775">
        <w:rPr>
          <w:lang w:val="fr-FR"/>
        </w:rPr>
        <w:t xml:space="preserve">Informations sur les prescriptions spéciales applicables </w:t>
      </w:r>
      <w:r w:rsidR="00465DCE">
        <w:rPr>
          <w:lang w:val="fr-FR"/>
        </w:rPr>
        <w:br/>
      </w:r>
      <w:r w:rsidRPr="00866775">
        <w:rPr>
          <w:lang w:val="fr-FR"/>
        </w:rPr>
        <w:t>aux systèmes à propulsion électrique dans le standard ES-TRIN</w:t>
      </w:r>
    </w:p>
    <w:p w14:paraId="4E091750" w14:textId="77777777" w:rsidR="00866775" w:rsidRPr="00866775" w:rsidRDefault="00866775" w:rsidP="002320A9">
      <w:pPr>
        <w:pStyle w:val="SingleTxtG"/>
        <w:keepNext/>
        <w:keepLines/>
        <w:ind w:left="3402" w:hanging="2268"/>
        <w:jc w:val="left"/>
        <w:rPr>
          <w:lang w:val="fr-FR"/>
        </w:rPr>
      </w:pPr>
      <w:r w:rsidRPr="00866775">
        <w:rPr>
          <w:i/>
          <w:iCs/>
          <w:lang w:val="fr-FR"/>
        </w:rPr>
        <w:t>Document informel</w:t>
      </w:r>
      <w:r w:rsidR="00465DCE">
        <w:rPr>
          <w:i/>
          <w:iCs/>
          <w:lang w:val="fr-FR"/>
        </w:rPr>
        <w:t> </w:t>
      </w:r>
      <w:r w:rsidR="00465DCE">
        <w:t>:</w:t>
      </w:r>
      <w:r w:rsidRPr="00866775">
        <w:rPr>
          <w:lang w:val="fr-FR"/>
        </w:rPr>
        <w:tab/>
        <w:t>INF.23 (CCNR)</w:t>
      </w:r>
      <w:r w:rsidR="00465DCE">
        <w:rPr>
          <w:lang w:val="fr-FR"/>
        </w:rPr>
        <w:t>.</w:t>
      </w:r>
    </w:p>
    <w:p w14:paraId="4DD02B4F" w14:textId="77777777" w:rsidR="00866775" w:rsidRPr="00866775" w:rsidRDefault="00866775" w:rsidP="00866775">
      <w:pPr>
        <w:pStyle w:val="SingleTxtG"/>
        <w:rPr>
          <w:lang w:val="fr-FR"/>
        </w:rPr>
      </w:pPr>
      <w:r w:rsidRPr="00866775">
        <w:rPr>
          <w:lang w:val="fr-FR"/>
        </w:rPr>
        <w:t>10.</w:t>
      </w:r>
      <w:r w:rsidRPr="00866775">
        <w:rPr>
          <w:lang w:val="fr-FR"/>
        </w:rPr>
        <w:tab/>
        <w:t>En réponse à la demande du Comité de sécurité lors de sa précédente session, le représentant de la CCNR a rendu compte des travaux menés au niveau du CESNI</w:t>
      </w:r>
      <w:r w:rsidRPr="00866775">
        <w:rPr>
          <w:rStyle w:val="FootnoteReference"/>
          <w:lang w:val="en-GB"/>
        </w:rPr>
        <w:footnoteReference w:id="3"/>
      </w:r>
      <w:r w:rsidRPr="00866775">
        <w:rPr>
          <w:lang w:val="fr-FR"/>
        </w:rPr>
        <w:t xml:space="preserve"> sur la propulsion électrique des bateaux, l</w:t>
      </w:r>
      <w:r w:rsidR="003968B4">
        <w:rPr>
          <w:lang w:val="fr-FR"/>
        </w:rPr>
        <w:t>’</w:t>
      </w:r>
      <w:r w:rsidRPr="00866775">
        <w:rPr>
          <w:lang w:val="fr-FR"/>
        </w:rPr>
        <w:t>introduction de dispositions dans le standard ES-TRIN</w:t>
      </w:r>
      <w:r w:rsidRPr="00866775">
        <w:rPr>
          <w:rStyle w:val="FootnoteReference"/>
          <w:lang w:val="en-GB"/>
        </w:rPr>
        <w:footnoteReference w:id="4"/>
      </w:r>
      <w:r w:rsidRPr="00866775">
        <w:rPr>
          <w:lang w:val="fr-FR"/>
        </w:rPr>
        <w:t xml:space="preserve"> et les effets sur les bateaux utilisés pour le transport de marchandises dangereuses. Il a été noté que les prescriptions de l</w:t>
      </w:r>
      <w:r w:rsidR="003968B4">
        <w:rPr>
          <w:lang w:val="fr-FR"/>
        </w:rPr>
        <w:t>’</w:t>
      </w:r>
      <w:r w:rsidRPr="00866775">
        <w:rPr>
          <w:lang w:val="fr-FR"/>
        </w:rPr>
        <w:t>ADN applicables aux bateaux et à leurs équipements étaient valables indépendamment du système de propulsion utilisé et qu</w:t>
      </w:r>
      <w:r w:rsidR="003968B4">
        <w:rPr>
          <w:lang w:val="fr-FR"/>
        </w:rPr>
        <w:t>’</w:t>
      </w:r>
      <w:r w:rsidRPr="00866775">
        <w:rPr>
          <w:lang w:val="fr-FR"/>
        </w:rPr>
        <w:t>il n</w:t>
      </w:r>
      <w:r w:rsidR="003968B4">
        <w:rPr>
          <w:lang w:val="fr-FR"/>
        </w:rPr>
        <w:t>’</w:t>
      </w:r>
      <w:r w:rsidRPr="00866775">
        <w:rPr>
          <w:lang w:val="fr-FR"/>
        </w:rPr>
        <w:t>était pas nécessaire de modifier l</w:t>
      </w:r>
      <w:r w:rsidR="003968B4">
        <w:rPr>
          <w:lang w:val="fr-FR"/>
        </w:rPr>
        <w:t>’</w:t>
      </w:r>
      <w:r w:rsidRPr="00866775">
        <w:rPr>
          <w:lang w:val="fr-FR"/>
        </w:rPr>
        <w:t>ADN aux fins de l</w:t>
      </w:r>
      <w:r w:rsidR="003968B4">
        <w:rPr>
          <w:lang w:val="fr-FR"/>
        </w:rPr>
        <w:t>’</w:t>
      </w:r>
      <w:r w:rsidRPr="00866775">
        <w:rPr>
          <w:lang w:val="fr-FR"/>
        </w:rPr>
        <w:t>utilisation de systèmes à propulsion électrique.</w:t>
      </w:r>
    </w:p>
    <w:p w14:paraId="461A47F8" w14:textId="77777777" w:rsidR="00866775" w:rsidRPr="00866775" w:rsidRDefault="00866775" w:rsidP="00866775">
      <w:pPr>
        <w:pStyle w:val="SingleTxtG"/>
        <w:rPr>
          <w:lang w:val="fr-FR"/>
        </w:rPr>
      </w:pPr>
      <w:r w:rsidRPr="00866775">
        <w:rPr>
          <w:lang w:val="fr-FR"/>
        </w:rPr>
        <w:t>11.</w:t>
      </w:r>
      <w:r w:rsidRPr="00866775">
        <w:rPr>
          <w:lang w:val="fr-FR"/>
        </w:rPr>
        <w:tab/>
        <w:t>Au terme de la discussion sur l</w:t>
      </w:r>
      <w:r w:rsidR="003968B4">
        <w:rPr>
          <w:lang w:val="fr-FR"/>
        </w:rPr>
        <w:t>’</w:t>
      </w:r>
      <w:r w:rsidRPr="00866775">
        <w:rPr>
          <w:lang w:val="fr-FR"/>
        </w:rPr>
        <w:t>emploi d</w:t>
      </w:r>
      <w:r w:rsidR="003968B4">
        <w:rPr>
          <w:lang w:val="fr-FR"/>
        </w:rPr>
        <w:t>’</w:t>
      </w:r>
      <w:r w:rsidRPr="00866775">
        <w:rPr>
          <w:lang w:val="fr-FR"/>
        </w:rPr>
        <w:t>autres systèmes de propulsion dans les bateaux utilisés pour le transport de marchandises dangereuses, le Comité de sécurité est arrivé à la conclusion qu</w:t>
      </w:r>
      <w:r w:rsidR="003968B4">
        <w:rPr>
          <w:lang w:val="fr-FR"/>
        </w:rPr>
        <w:t>’</w:t>
      </w:r>
      <w:r w:rsidRPr="00866775">
        <w:rPr>
          <w:lang w:val="fr-FR"/>
        </w:rPr>
        <w:t>un même niveau de sécurité devrait être maintenu indépendamment de la nature des marchandises transportées et du système de propulsion employé. Il a été conclu que le niveau de sécurité requis pouvait être atteint en introduisant dans l</w:t>
      </w:r>
      <w:r w:rsidR="003968B4">
        <w:rPr>
          <w:lang w:val="fr-FR"/>
        </w:rPr>
        <w:t>’</w:t>
      </w:r>
      <w:r w:rsidRPr="00866775">
        <w:rPr>
          <w:lang w:val="fr-FR"/>
        </w:rPr>
        <w:t>ADN des renvois aux dispositions pertinentes du standard ES-TRIN. Le Comité de sécurité a indiqué qu</w:t>
      </w:r>
      <w:r w:rsidR="003968B4">
        <w:rPr>
          <w:lang w:val="fr-FR"/>
        </w:rPr>
        <w:t>’</w:t>
      </w:r>
      <w:r w:rsidRPr="00866775">
        <w:rPr>
          <w:lang w:val="fr-FR"/>
        </w:rPr>
        <w:t>il convenait de publier en russe les dispositions pertinentes du standard ES-TRIN et de toute autre norme utile.</w:t>
      </w:r>
    </w:p>
    <w:p w14:paraId="7947DFDD" w14:textId="77777777" w:rsidR="00866775" w:rsidRPr="00866775" w:rsidRDefault="00866775" w:rsidP="00866775">
      <w:pPr>
        <w:pStyle w:val="SingleTxtG"/>
        <w:rPr>
          <w:lang w:val="fr-FR"/>
        </w:rPr>
      </w:pPr>
      <w:r w:rsidRPr="00866775">
        <w:rPr>
          <w:lang w:val="fr-FR"/>
        </w:rPr>
        <w:t>12.</w:t>
      </w:r>
      <w:r w:rsidRPr="00866775">
        <w:rPr>
          <w:lang w:val="fr-FR"/>
        </w:rPr>
        <w:tab/>
        <w:t>Le Comité de sécurité a mis l</w:t>
      </w:r>
      <w:r w:rsidR="003968B4">
        <w:rPr>
          <w:lang w:val="fr-FR"/>
        </w:rPr>
        <w:t>’</w:t>
      </w:r>
      <w:r w:rsidRPr="00866775">
        <w:rPr>
          <w:lang w:val="fr-FR"/>
        </w:rPr>
        <w:t>accent sur le fait que les systèmes de protection contre les risques d</w:t>
      </w:r>
      <w:r w:rsidR="003968B4">
        <w:rPr>
          <w:lang w:val="fr-FR"/>
        </w:rPr>
        <w:t>’</w:t>
      </w:r>
      <w:r w:rsidRPr="00866775">
        <w:rPr>
          <w:lang w:val="fr-FR"/>
        </w:rPr>
        <w:t>incendie, les prescriptions en matière de ventilation et la conception des salles des machines, entre autres, devaient être adaptés au système de propulsion employé. On a estimé toutefois que l</w:t>
      </w:r>
      <w:r w:rsidR="003968B4">
        <w:rPr>
          <w:lang w:val="fr-FR"/>
        </w:rPr>
        <w:t>’</w:t>
      </w:r>
      <w:r w:rsidRPr="00866775">
        <w:rPr>
          <w:lang w:val="fr-FR"/>
        </w:rPr>
        <w:t>ADN devrait être révisé au regard des dispositions supplémentaires à prévoir dans le cas du transport de marchandises dangereuses sur les nouveaux bateaux et qu</w:t>
      </w:r>
      <w:r w:rsidR="003968B4">
        <w:rPr>
          <w:lang w:val="fr-FR"/>
        </w:rPr>
        <w:t>’</w:t>
      </w:r>
      <w:r w:rsidRPr="00866775">
        <w:rPr>
          <w:lang w:val="fr-FR"/>
        </w:rPr>
        <w:t>il convenait d</w:t>
      </w:r>
      <w:r w:rsidR="003968B4">
        <w:rPr>
          <w:lang w:val="fr-FR"/>
        </w:rPr>
        <w:t>’</w:t>
      </w:r>
      <w:r w:rsidRPr="00866775">
        <w:rPr>
          <w:lang w:val="fr-FR"/>
        </w:rPr>
        <w:t>y introduire, si nécessaire, des renvois à d</w:t>
      </w:r>
      <w:r w:rsidR="003968B4">
        <w:rPr>
          <w:lang w:val="fr-FR"/>
        </w:rPr>
        <w:t>’</w:t>
      </w:r>
      <w:r w:rsidRPr="00866775">
        <w:rPr>
          <w:lang w:val="fr-FR"/>
        </w:rPr>
        <w:t>autres normes ou règlements internationaux tels que le standard ES-TRIN. Le représentant de la CCNR s</w:t>
      </w:r>
      <w:r w:rsidR="003968B4">
        <w:rPr>
          <w:lang w:val="fr-FR"/>
        </w:rPr>
        <w:t>’</w:t>
      </w:r>
      <w:r w:rsidRPr="00866775">
        <w:rPr>
          <w:lang w:val="fr-FR"/>
        </w:rPr>
        <w:t>est porté volontaire pour élaborer une proposition qui serait examinée au cours d</w:t>
      </w:r>
      <w:r w:rsidR="003968B4">
        <w:rPr>
          <w:lang w:val="fr-FR"/>
        </w:rPr>
        <w:t>’</w:t>
      </w:r>
      <w:r w:rsidRPr="00866775">
        <w:rPr>
          <w:lang w:val="fr-FR"/>
        </w:rPr>
        <w:t xml:space="preserve">une prochaine session du Comité de sécurité. </w:t>
      </w:r>
    </w:p>
    <w:p w14:paraId="55641B44" w14:textId="77777777" w:rsidR="00866775" w:rsidRPr="00866775" w:rsidRDefault="00866775" w:rsidP="00465DCE">
      <w:pPr>
        <w:pStyle w:val="H1G"/>
        <w:rPr>
          <w:lang w:val="fr-FR"/>
        </w:rPr>
      </w:pPr>
      <w:r w:rsidRPr="00866775">
        <w:rPr>
          <w:lang w:val="fr-FR"/>
        </w:rPr>
        <w:lastRenderedPageBreak/>
        <w:tab/>
      </w:r>
      <w:bookmarkStart w:id="17" w:name="_Toc32481637"/>
      <w:r w:rsidRPr="00866775">
        <w:rPr>
          <w:lang w:val="fr-FR"/>
        </w:rPr>
        <w:t>C.</w:t>
      </w:r>
      <w:r w:rsidRPr="00866775">
        <w:rPr>
          <w:lang w:val="fr-FR"/>
        </w:rPr>
        <w:tab/>
      </w:r>
      <w:bookmarkEnd w:id="17"/>
      <w:r w:rsidRPr="00866775">
        <w:rPr>
          <w:lang w:val="fr-FR"/>
        </w:rPr>
        <w:t xml:space="preserve">Informations sur les possibilités de financement pour rendre plus </w:t>
      </w:r>
      <w:r w:rsidR="00465DCE">
        <w:t>« </w:t>
      </w:r>
      <w:r w:rsidRPr="00866775">
        <w:t>écologique</w:t>
      </w:r>
      <w:r w:rsidR="00465DCE">
        <w:t> »</w:t>
      </w:r>
      <w:r w:rsidRPr="00866775">
        <w:t xml:space="preserve"> le </w:t>
      </w:r>
      <w:r w:rsidRPr="00866775">
        <w:rPr>
          <w:lang w:val="fr-FR"/>
        </w:rPr>
        <w:t>transport des marchandises dangereuses</w:t>
      </w:r>
    </w:p>
    <w:p w14:paraId="7C76F4D0" w14:textId="77777777" w:rsidR="00866775" w:rsidRPr="00866775" w:rsidRDefault="00866775" w:rsidP="002320A9">
      <w:pPr>
        <w:pStyle w:val="SingleTxtG"/>
        <w:keepNext/>
        <w:keepLines/>
        <w:ind w:left="3402" w:hanging="2268"/>
        <w:jc w:val="left"/>
      </w:pPr>
      <w:r w:rsidRPr="00866775">
        <w:rPr>
          <w:i/>
          <w:iCs/>
        </w:rPr>
        <w:t>Document informel</w:t>
      </w:r>
      <w:r w:rsidR="00465DCE">
        <w:t> :</w:t>
      </w:r>
      <w:r w:rsidRPr="00866775">
        <w:rPr>
          <w:i/>
          <w:iCs/>
        </w:rPr>
        <w:t xml:space="preserve"> </w:t>
      </w:r>
      <w:r w:rsidRPr="00866775">
        <w:t xml:space="preserve"> </w:t>
      </w:r>
      <w:r w:rsidRPr="00866775">
        <w:tab/>
        <w:t>INF.24 (</w:t>
      </w:r>
      <w:r w:rsidRPr="00866775">
        <w:rPr>
          <w:lang w:val="fr-FR"/>
        </w:rPr>
        <w:t>Commission européenne</w:t>
      </w:r>
      <w:r w:rsidRPr="00866775">
        <w:t>)</w:t>
      </w:r>
      <w:r w:rsidR="00465DCE">
        <w:t>.</w:t>
      </w:r>
    </w:p>
    <w:p w14:paraId="7A9ACC17" w14:textId="4E320770" w:rsidR="00866775" w:rsidRPr="00866775" w:rsidRDefault="00866775" w:rsidP="00866775">
      <w:pPr>
        <w:pStyle w:val="SingleTxtG"/>
        <w:rPr>
          <w:lang w:val="fr-FR"/>
        </w:rPr>
      </w:pPr>
      <w:r w:rsidRPr="00866775">
        <w:rPr>
          <w:lang w:val="fr-FR"/>
        </w:rPr>
        <w:t>13.</w:t>
      </w:r>
      <w:r w:rsidRPr="00866775">
        <w:rPr>
          <w:lang w:val="fr-FR"/>
        </w:rPr>
        <w:tab/>
        <w:t xml:space="preserve">Le Comité de sécurité a accueilli avec intérêt les informations de la Commission européenne sur les fonds qui pourraient être alloués à des projets visant à rendre plus </w:t>
      </w:r>
      <w:r w:rsidR="00F445E3">
        <w:t>« </w:t>
      </w:r>
      <w:r w:rsidRPr="00866775">
        <w:t>écologique</w:t>
      </w:r>
      <w:r w:rsidR="00F445E3">
        <w:t> »</w:t>
      </w:r>
      <w:r w:rsidRPr="00866775">
        <w:rPr>
          <w:lang w:val="fr-FR"/>
        </w:rPr>
        <w:t xml:space="preserve"> le transport de marchandises dangereuses sur les voies navigables de l</w:t>
      </w:r>
      <w:r w:rsidR="003968B4">
        <w:rPr>
          <w:lang w:val="fr-FR"/>
        </w:rPr>
        <w:t>’</w:t>
      </w:r>
      <w:r w:rsidRPr="00866775">
        <w:rPr>
          <w:lang w:val="fr-FR"/>
        </w:rPr>
        <w:t>Union européenne. Il a été noté qu</w:t>
      </w:r>
      <w:r w:rsidR="003968B4">
        <w:rPr>
          <w:lang w:val="fr-FR"/>
        </w:rPr>
        <w:t>’</w:t>
      </w:r>
      <w:r w:rsidRPr="00866775">
        <w:rPr>
          <w:lang w:val="fr-FR"/>
        </w:rPr>
        <w:t>un appel à projets serait lancé en avril 2020 et qu</w:t>
      </w:r>
      <w:r w:rsidR="003968B4">
        <w:rPr>
          <w:lang w:val="fr-FR"/>
        </w:rPr>
        <w:t>’</w:t>
      </w:r>
      <w:r w:rsidRPr="00866775">
        <w:rPr>
          <w:lang w:val="fr-FR"/>
        </w:rPr>
        <w:t>il concernerait également les pays non membres de l</w:t>
      </w:r>
      <w:r w:rsidR="003968B4">
        <w:rPr>
          <w:lang w:val="fr-FR"/>
        </w:rPr>
        <w:t>’</w:t>
      </w:r>
      <w:r w:rsidRPr="00866775">
        <w:rPr>
          <w:lang w:val="fr-FR"/>
        </w:rPr>
        <w:t>UE sous réserve que le chef de projet se trouve sur le territoire de l</w:t>
      </w:r>
      <w:r w:rsidR="003968B4">
        <w:rPr>
          <w:lang w:val="fr-FR"/>
        </w:rPr>
        <w:t>’</w:t>
      </w:r>
      <w:r w:rsidRPr="00866775">
        <w:rPr>
          <w:lang w:val="fr-FR"/>
        </w:rPr>
        <w:t>Union. De plus amples informations sur le programme LIFE, qui est l</w:t>
      </w:r>
      <w:r w:rsidR="003968B4">
        <w:rPr>
          <w:lang w:val="fr-FR"/>
        </w:rPr>
        <w:t>’</w:t>
      </w:r>
      <w:r w:rsidRPr="00866775">
        <w:rPr>
          <w:lang w:val="fr-FR"/>
        </w:rPr>
        <w:t>instrument de financement de l</w:t>
      </w:r>
      <w:r w:rsidR="003968B4">
        <w:rPr>
          <w:lang w:val="fr-FR"/>
        </w:rPr>
        <w:t>’</w:t>
      </w:r>
      <w:r w:rsidRPr="00866775">
        <w:rPr>
          <w:lang w:val="fr-FR"/>
        </w:rPr>
        <w:t>UE pour les actions en faveur de l</w:t>
      </w:r>
      <w:r w:rsidR="003968B4">
        <w:rPr>
          <w:lang w:val="fr-FR"/>
        </w:rPr>
        <w:t>’</w:t>
      </w:r>
      <w:r w:rsidRPr="00866775">
        <w:rPr>
          <w:lang w:val="fr-FR"/>
        </w:rPr>
        <w:t>environnement et du climat sont disponibles  à l</w:t>
      </w:r>
      <w:r w:rsidR="003968B4">
        <w:rPr>
          <w:lang w:val="fr-FR"/>
        </w:rPr>
        <w:t>’</w:t>
      </w:r>
      <w:r w:rsidRPr="00866775">
        <w:rPr>
          <w:lang w:val="fr-FR"/>
        </w:rPr>
        <w:t xml:space="preserve">adresse suivante : </w:t>
      </w:r>
      <w:hyperlink r:id="rId9" w:history="1">
        <w:r w:rsidRPr="00866775">
          <w:rPr>
            <w:rStyle w:val="Hyperlink"/>
            <w:lang w:val="fr-FR"/>
          </w:rPr>
          <w:t>https://ec.europa.eu/easme/en/life</w:t>
        </w:r>
      </w:hyperlink>
      <w:r w:rsidRPr="00866775">
        <w:rPr>
          <w:lang w:val="fr-FR"/>
        </w:rPr>
        <w:t>.</w:t>
      </w:r>
    </w:p>
    <w:p w14:paraId="1F948A5D" w14:textId="77777777" w:rsidR="00866775" w:rsidRPr="00866775" w:rsidRDefault="00866775" w:rsidP="00465DCE">
      <w:pPr>
        <w:pStyle w:val="HChG"/>
        <w:rPr>
          <w:lang w:val="fr-FR"/>
        </w:rPr>
      </w:pPr>
      <w:r w:rsidRPr="00866775">
        <w:rPr>
          <w:lang w:val="fr-FR"/>
        </w:rPr>
        <w:tab/>
      </w:r>
      <w:bookmarkStart w:id="18" w:name="_Toc505688404"/>
      <w:bookmarkStart w:id="19" w:name="_Toc32481638"/>
      <w:r w:rsidRPr="00866775">
        <w:rPr>
          <w:lang w:val="fr-FR"/>
        </w:rPr>
        <w:t>V.</w:t>
      </w:r>
      <w:r w:rsidRPr="00866775">
        <w:rPr>
          <w:lang w:val="fr-FR"/>
        </w:rPr>
        <w:tab/>
        <w:t>Mise en œuvre de l</w:t>
      </w:r>
      <w:r w:rsidR="003968B4">
        <w:rPr>
          <w:lang w:val="fr-FR"/>
        </w:rPr>
        <w:t>’</w:t>
      </w:r>
      <w:r w:rsidRPr="00866775">
        <w:rPr>
          <w:lang w:val="fr-FR"/>
        </w:rPr>
        <w:t xml:space="preserve">Accord européen relatif au transport international des marchandises dangereuses </w:t>
      </w:r>
      <w:r w:rsidR="00465DCE">
        <w:rPr>
          <w:lang w:val="fr-FR"/>
        </w:rPr>
        <w:br/>
      </w:r>
      <w:r w:rsidRPr="00866775">
        <w:rPr>
          <w:lang w:val="fr-FR"/>
        </w:rPr>
        <w:t xml:space="preserve">par voies de navigation intérieures (ADN) </w:t>
      </w:r>
      <w:r w:rsidR="00465DCE">
        <w:rPr>
          <w:lang w:val="fr-FR"/>
        </w:rPr>
        <w:br/>
      </w:r>
      <w:r w:rsidRPr="00866775">
        <w:rPr>
          <w:lang w:val="fr-FR"/>
        </w:rPr>
        <w:t>(point 4 de l</w:t>
      </w:r>
      <w:r w:rsidR="003968B4">
        <w:rPr>
          <w:lang w:val="fr-FR"/>
        </w:rPr>
        <w:t>’</w:t>
      </w:r>
      <w:r w:rsidRPr="00866775">
        <w:rPr>
          <w:lang w:val="fr-FR"/>
        </w:rPr>
        <w:t>ordre du jour)</w:t>
      </w:r>
      <w:bookmarkEnd w:id="18"/>
      <w:bookmarkEnd w:id="19"/>
    </w:p>
    <w:p w14:paraId="208CDCF1" w14:textId="77777777" w:rsidR="00866775" w:rsidRPr="00866775" w:rsidRDefault="00866775" w:rsidP="00465DCE">
      <w:pPr>
        <w:pStyle w:val="H1G"/>
        <w:rPr>
          <w:lang w:val="fr-FR"/>
        </w:rPr>
      </w:pPr>
      <w:r w:rsidRPr="00866775">
        <w:rPr>
          <w:lang w:val="fr-FR"/>
        </w:rPr>
        <w:tab/>
      </w:r>
      <w:bookmarkStart w:id="20" w:name="_Toc32481639"/>
      <w:r w:rsidRPr="00866775">
        <w:rPr>
          <w:lang w:val="fr-FR"/>
        </w:rPr>
        <w:t>A.</w:t>
      </w:r>
      <w:r w:rsidRPr="00866775">
        <w:rPr>
          <w:lang w:val="fr-FR"/>
        </w:rPr>
        <w:tab/>
      </w:r>
      <w:bookmarkEnd w:id="20"/>
      <w:r w:rsidRPr="00866775">
        <w:rPr>
          <w:lang w:val="fr-FR"/>
        </w:rPr>
        <w:t>État de l</w:t>
      </w:r>
      <w:r w:rsidR="003968B4">
        <w:rPr>
          <w:lang w:val="fr-FR"/>
        </w:rPr>
        <w:t>’</w:t>
      </w:r>
      <w:r w:rsidRPr="00866775">
        <w:rPr>
          <w:lang w:val="fr-FR"/>
        </w:rPr>
        <w:t>ADN</w:t>
      </w:r>
    </w:p>
    <w:p w14:paraId="5704C425" w14:textId="77777777" w:rsidR="00866775" w:rsidRPr="00866775" w:rsidRDefault="00866775" w:rsidP="00866775">
      <w:pPr>
        <w:pStyle w:val="SingleTxtG"/>
        <w:rPr>
          <w:lang w:val="fr-FR"/>
        </w:rPr>
      </w:pPr>
      <w:r w:rsidRPr="00866775">
        <w:rPr>
          <w:lang w:val="fr-FR"/>
        </w:rPr>
        <w:t>14.</w:t>
      </w:r>
      <w:r w:rsidRPr="00866775">
        <w:rPr>
          <w:lang w:val="fr-FR"/>
        </w:rPr>
        <w:tab/>
        <w:t>Le Comité de sécurité a noté que les propositions de corrections énoncées à l</w:t>
      </w:r>
      <w:r w:rsidR="003968B4">
        <w:rPr>
          <w:lang w:val="fr-FR"/>
        </w:rPr>
        <w:t>’</w:t>
      </w:r>
      <w:r w:rsidRPr="00866775">
        <w:rPr>
          <w:lang w:val="fr-FR"/>
        </w:rPr>
        <w:t>annexe</w:t>
      </w:r>
      <w:r w:rsidR="00F445E3">
        <w:rPr>
          <w:lang w:val="fr-FR"/>
        </w:rPr>
        <w:t> </w:t>
      </w:r>
      <w:r w:rsidRPr="00866775">
        <w:rPr>
          <w:lang w:val="fr-FR"/>
        </w:rPr>
        <w:t>III et dans le Corr.1 du document ECE/TRANS/WP.15/AC.2/70 ainsi qu</w:t>
      </w:r>
      <w:r w:rsidR="003968B4">
        <w:rPr>
          <w:lang w:val="fr-FR"/>
        </w:rPr>
        <w:t>’</w:t>
      </w:r>
      <w:r w:rsidRPr="00866775">
        <w:rPr>
          <w:lang w:val="fr-FR"/>
        </w:rPr>
        <w:t>à l</w:t>
      </w:r>
      <w:r w:rsidR="003968B4">
        <w:rPr>
          <w:lang w:val="fr-FR"/>
        </w:rPr>
        <w:t>’</w:t>
      </w:r>
      <w:r w:rsidRPr="00866775">
        <w:rPr>
          <w:lang w:val="fr-FR"/>
        </w:rPr>
        <w:t>annexe</w:t>
      </w:r>
      <w:r w:rsidR="009910F8">
        <w:rPr>
          <w:lang w:val="fr-FR"/>
        </w:rPr>
        <w:t> </w:t>
      </w:r>
      <w:r w:rsidRPr="00866775">
        <w:rPr>
          <w:lang w:val="fr-FR"/>
        </w:rPr>
        <w:t>III du document ECE/TRANS/WP.15/AC.2/72 avaient été communiquées aux Parties contractantes le 15</w:t>
      </w:r>
      <w:r w:rsidR="009910F8">
        <w:rPr>
          <w:lang w:val="fr-FR"/>
        </w:rPr>
        <w:t> </w:t>
      </w:r>
      <w:r w:rsidRPr="00866775">
        <w:rPr>
          <w:lang w:val="fr-FR"/>
        </w:rPr>
        <w:t>octobre 2019 pour acceptation (voir la notification dépositaire C.N.492.2019.TREATIES-XI-D-6). Les corrections ont été réputées acceptées le 13</w:t>
      </w:r>
      <w:r w:rsidR="009910F8">
        <w:rPr>
          <w:lang w:val="fr-FR"/>
        </w:rPr>
        <w:t> </w:t>
      </w:r>
      <w:r w:rsidRPr="00866775">
        <w:rPr>
          <w:lang w:val="fr-FR"/>
        </w:rPr>
        <w:t>janvier 2020 (voir C.N.34.2020.TREATIES-XI-D-6).</w:t>
      </w:r>
    </w:p>
    <w:p w14:paraId="6CE59AED" w14:textId="77777777" w:rsidR="00866775" w:rsidRPr="00866775" w:rsidRDefault="00866775" w:rsidP="009910F8">
      <w:pPr>
        <w:pStyle w:val="H1G"/>
        <w:rPr>
          <w:lang w:val="fr-FR"/>
        </w:rPr>
      </w:pPr>
      <w:r w:rsidRPr="00866775">
        <w:rPr>
          <w:lang w:val="fr-FR"/>
        </w:rPr>
        <w:tab/>
      </w:r>
      <w:bookmarkStart w:id="21" w:name="_Toc32481640"/>
      <w:r w:rsidRPr="00866775">
        <w:rPr>
          <w:lang w:val="fr-FR"/>
        </w:rPr>
        <w:t>B.</w:t>
      </w:r>
      <w:r w:rsidRPr="00866775">
        <w:rPr>
          <w:lang w:val="fr-FR"/>
        </w:rPr>
        <w:tab/>
      </w:r>
      <w:bookmarkStart w:id="22" w:name="_Hlk35530471"/>
      <w:bookmarkEnd w:id="21"/>
      <w:r w:rsidRPr="00866775">
        <w:rPr>
          <w:lang w:val="fr-FR"/>
        </w:rPr>
        <w:t>Autorisations spéciales, dérogations et équivalences</w:t>
      </w:r>
      <w:bookmarkEnd w:id="22"/>
    </w:p>
    <w:p w14:paraId="3F756DFC" w14:textId="77777777" w:rsidR="00866775" w:rsidRPr="00866775" w:rsidRDefault="00866775" w:rsidP="002320A9">
      <w:pPr>
        <w:pStyle w:val="SingleTxtG"/>
        <w:keepNext/>
        <w:keepLines/>
        <w:ind w:left="3402" w:hanging="2268"/>
        <w:jc w:val="left"/>
        <w:rPr>
          <w:lang w:val="fr-FR"/>
        </w:rPr>
      </w:pPr>
      <w:r w:rsidRPr="00866775">
        <w:rPr>
          <w:i/>
          <w:iCs/>
          <w:lang w:val="fr-FR"/>
        </w:rPr>
        <w:t>Document</w:t>
      </w:r>
      <w:r w:rsidR="009910F8">
        <w:rPr>
          <w:i/>
          <w:iCs/>
          <w:lang w:val="fr-FR"/>
        </w:rPr>
        <w:t> </w:t>
      </w:r>
      <w:r w:rsidR="009910F8">
        <w:t>:</w:t>
      </w:r>
      <w:r w:rsidRPr="00866775">
        <w:rPr>
          <w:lang w:val="fr-FR"/>
        </w:rPr>
        <w:t xml:space="preserve"> </w:t>
      </w:r>
      <w:r w:rsidRPr="00866775">
        <w:rPr>
          <w:lang w:val="fr-FR"/>
        </w:rPr>
        <w:tab/>
      </w:r>
      <w:r w:rsidRPr="00866775">
        <w:rPr>
          <w:lang w:val="fr-FR"/>
        </w:rPr>
        <w:tab/>
        <w:t>ECE/TRANS/WP.15/AC.2/2020/22 (Belgique)</w:t>
      </w:r>
      <w:r w:rsidR="009910F8">
        <w:rPr>
          <w:lang w:val="fr-FR"/>
        </w:rPr>
        <w:t>.</w:t>
      </w:r>
    </w:p>
    <w:p w14:paraId="17092801" w14:textId="77777777" w:rsidR="00866775" w:rsidRPr="00866775" w:rsidRDefault="00866775" w:rsidP="002320A9">
      <w:pPr>
        <w:pStyle w:val="SingleTxtG"/>
        <w:keepNext/>
        <w:keepLines/>
        <w:ind w:left="3402" w:hanging="2268"/>
        <w:jc w:val="left"/>
        <w:rPr>
          <w:lang w:val="fr-FR"/>
        </w:rPr>
      </w:pPr>
      <w:r w:rsidRPr="00866775">
        <w:rPr>
          <w:i/>
          <w:iCs/>
          <w:lang w:val="fr-FR"/>
        </w:rPr>
        <w:t>Document informel</w:t>
      </w:r>
      <w:r w:rsidR="009910F8">
        <w:rPr>
          <w:i/>
          <w:iCs/>
          <w:lang w:val="fr-FR"/>
        </w:rPr>
        <w:t> </w:t>
      </w:r>
      <w:r w:rsidR="009910F8">
        <w:t>:</w:t>
      </w:r>
      <w:r w:rsidRPr="00866775">
        <w:rPr>
          <w:lang w:val="fr-FR"/>
        </w:rPr>
        <w:tab/>
        <w:t>INF.2 (Belgique)</w:t>
      </w:r>
      <w:r w:rsidR="009910F8">
        <w:rPr>
          <w:lang w:val="fr-FR"/>
        </w:rPr>
        <w:t>.</w:t>
      </w:r>
    </w:p>
    <w:p w14:paraId="55505E77" w14:textId="77777777" w:rsidR="00866775" w:rsidRPr="00866775" w:rsidRDefault="00866775" w:rsidP="00866775">
      <w:pPr>
        <w:pStyle w:val="SingleTxtG"/>
        <w:rPr>
          <w:lang w:val="fr-FR"/>
        </w:rPr>
      </w:pPr>
      <w:r w:rsidRPr="00866775">
        <w:rPr>
          <w:lang w:val="fr-FR"/>
        </w:rPr>
        <w:t>15.</w:t>
      </w:r>
      <w:r w:rsidRPr="00866775">
        <w:rPr>
          <w:lang w:val="fr-FR"/>
        </w:rPr>
        <w:tab/>
        <w:t>Le représentant de la Belgique a retiré la demande de dérogation qu</w:t>
      </w:r>
      <w:r w:rsidR="003968B4">
        <w:rPr>
          <w:lang w:val="fr-FR"/>
        </w:rPr>
        <w:t>’</w:t>
      </w:r>
      <w:r w:rsidRPr="00866775">
        <w:rPr>
          <w:lang w:val="fr-FR"/>
        </w:rPr>
        <w:t>il avait formulée dans le document ECE/TRANS/WP.15/AC.2/2020/22 et le document informel INF.2.</w:t>
      </w:r>
    </w:p>
    <w:p w14:paraId="0744EC9A" w14:textId="77777777" w:rsidR="00866775" w:rsidRPr="00866775" w:rsidRDefault="00866775" w:rsidP="009910F8">
      <w:pPr>
        <w:pStyle w:val="H1G"/>
        <w:rPr>
          <w:lang w:val="fr-FR"/>
        </w:rPr>
      </w:pPr>
      <w:r w:rsidRPr="00866775">
        <w:rPr>
          <w:lang w:val="fr-FR"/>
        </w:rPr>
        <w:tab/>
      </w:r>
      <w:bookmarkStart w:id="23" w:name="_Toc32481641"/>
      <w:r w:rsidRPr="00866775">
        <w:rPr>
          <w:lang w:val="fr-FR"/>
        </w:rPr>
        <w:t>C.</w:t>
      </w:r>
      <w:r w:rsidRPr="00866775">
        <w:rPr>
          <w:lang w:val="fr-FR"/>
        </w:rPr>
        <w:tab/>
      </w:r>
      <w:bookmarkStart w:id="24" w:name="_Hlk35530491"/>
      <w:bookmarkEnd w:id="23"/>
      <w:r w:rsidRPr="00866775">
        <w:rPr>
          <w:lang w:val="fr-FR"/>
        </w:rPr>
        <w:t>Interprétation du Règlement annexé à l</w:t>
      </w:r>
      <w:r w:rsidR="003968B4">
        <w:rPr>
          <w:lang w:val="fr-FR"/>
        </w:rPr>
        <w:t>’</w:t>
      </w:r>
      <w:r w:rsidRPr="00866775">
        <w:rPr>
          <w:lang w:val="fr-FR"/>
        </w:rPr>
        <w:t>ADN</w:t>
      </w:r>
      <w:bookmarkEnd w:id="24"/>
    </w:p>
    <w:p w14:paraId="7A357C99" w14:textId="77777777" w:rsidR="00866775" w:rsidRPr="00866775" w:rsidRDefault="00866775" w:rsidP="002320A9">
      <w:pPr>
        <w:pStyle w:val="SingleTxtG"/>
        <w:keepNext/>
        <w:keepLines/>
        <w:ind w:left="3402" w:hanging="2268"/>
        <w:jc w:val="left"/>
        <w:rPr>
          <w:lang w:val="fr-FR"/>
        </w:rPr>
      </w:pPr>
      <w:r w:rsidRPr="00866775">
        <w:rPr>
          <w:i/>
          <w:iCs/>
          <w:lang w:val="fr-FR"/>
        </w:rPr>
        <w:t>Document</w:t>
      </w:r>
      <w:r w:rsidR="00F445E3">
        <w:rPr>
          <w:i/>
          <w:iCs/>
          <w:lang w:val="fr-FR"/>
        </w:rPr>
        <w:t>s </w:t>
      </w:r>
      <w:r w:rsidR="00F445E3">
        <w:t>:</w:t>
      </w:r>
      <w:r w:rsidRPr="00866775">
        <w:rPr>
          <w:lang w:val="fr-FR"/>
        </w:rPr>
        <w:tab/>
      </w:r>
      <w:r w:rsidRPr="00866775">
        <w:rPr>
          <w:lang w:val="fr-FR"/>
        </w:rPr>
        <w:tab/>
        <w:t>ECE/TRANS/WP.15/AC.2/2020/9 (Allemagne)</w:t>
      </w:r>
      <w:r w:rsidRPr="00866775">
        <w:rPr>
          <w:lang w:val="fr-FR"/>
        </w:rPr>
        <w:br/>
      </w:r>
      <w:r w:rsidRPr="00866775">
        <w:rPr>
          <w:lang w:val="fr-FR"/>
        </w:rPr>
        <w:tab/>
        <w:t>ECE/TRANS/WP.15/AC.2/2020/15 (Allemagne)</w:t>
      </w:r>
      <w:r w:rsidR="002320A9">
        <w:rPr>
          <w:lang w:val="fr-FR"/>
        </w:rPr>
        <w:t>.</w:t>
      </w:r>
    </w:p>
    <w:p w14:paraId="70FA03AC" w14:textId="77777777" w:rsidR="00866775" w:rsidRPr="00866775" w:rsidRDefault="00866775" w:rsidP="002320A9">
      <w:pPr>
        <w:pStyle w:val="SingleTxtG"/>
        <w:keepNext/>
        <w:keepLines/>
        <w:ind w:left="3402" w:hanging="2268"/>
        <w:jc w:val="left"/>
        <w:rPr>
          <w:lang w:val="fr-FR"/>
        </w:rPr>
      </w:pPr>
      <w:r w:rsidRPr="00866775">
        <w:rPr>
          <w:i/>
          <w:iCs/>
          <w:lang w:val="fr-FR"/>
        </w:rPr>
        <w:t>Document informel</w:t>
      </w:r>
      <w:r w:rsidR="009910F8">
        <w:rPr>
          <w:i/>
          <w:iCs/>
          <w:lang w:val="fr-FR"/>
        </w:rPr>
        <w:t> </w:t>
      </w:r>
      <w:r w:rsidR="009910F8">
        <w:t>:</w:t>
      </w:r>
      <w:r w:rsidRPr="00866775">
        <w:rPr>
          <w:i/>
          <w:iCs/>
          <w:lang w:val="fr-FR"/>
        </w:rPr>
        <w:t xml:space="preserve"> </w:t>
      </w:r>
      <w:r w:rsidRPr="00866775">
        <w:rPr>
          <w:lang w:val="fr-FR"/>
        </w:rPr>
        <w:tab/>
        <w:t>INF.14 (UENF et OEB)</w:t>
      </w:r>
      <w:r w:rsidR="009910F8">
        <w:rPr>
          <w:lang w:val="fr-FR"/>
        </w:rPr>
        <w:t>.</w:t>
      </w:r>
    </w:p>
    <w:p w14:paraId="426BD4B2" w14:textId="77777777" w:rsidR="00866775" w:rsidRPr="00866775" w:rsidRDefault="00866775" w:rsidP="00866775">
      <w:pPr>
        <w:pStyle w:val="SingleTxtG"/>
        <w:rPr>
          <w:lang w:val="fr-FR"/>
        </w:rPr>
      </w:pPr>
      <w:r w:rsidRPr="00866775">
        <w:rPr>
          <w:lang w:val="fr-FR"/>
        </w:rPr>
        <w:t>16.</w:t>
      </w:r>
      <w:r w:rsidRPr="00866775">
        <w:rPr>
          <w:lang w:val="fr-FR"/>
        </w:rPr>
        <w:tab/>
        <w:t>Faute de temps, le Comité de sécurité n</w:t>
      </w:r>
      <w:r w:rsidR="003968B4">
        <w:rPr>
          <w:lang w:val="fr-FR"/>
        </w:rPr>
        <w:t>’</w:t>
      </w:r>
      <w:r w:rsidRPr="00866775">
        <w:rPr>
          <w:lang w:val="fr-FR"/>
        </w:rPr>
        <w:t>a pas examiné ces documents. Il a été décidé de le faire à la prochaine session.</w:t>
      </w:r>
    </w:p>
    <w:p w14:paraId="3DCB8A34" w14:textId="77777777" w:rsidR="00866775" w:rsidRPr="00866775" w:rsidRDefault="00866775" w:rsidP="009910F8">
      <w:pPr>
        <w:pStyle w:val="H1G"/>
        <w:rPr>
          <w:lang w:val="fr-FR"/>
        </w:rPr>
      </w:pPr>
      <w:r w:rsidRPr="00866775">
        <w:rPr>
          <w:lang w:val="fr-FR"/>
        </w:rPr>
        <w:tab/>
      </w:r>
      <w:bookmarkStart w:id="25" w:name="_Toc32481642"/>
      <w:r w:rsidRPr="00866775">
        <w:rPr>
          <w:lang w:val="fr-FR"/>
        </w:rPr>
        <w:t>D.</w:t>
      </w:r>
      <w:r w:rsidRPr="00866775">
        <w:rPr>
          <w:lang w:val="fr-FR"/>
        </w:rPr>
        <w:tab/>
      </w:r>
      <w:bookmarkEnd w:id="25"/>
      <w:r w:rsidRPr="00866775">
        <w:rPr>
          <w:lang w:val="fr-FR"/>
        </w:rPr>
        <w:t>Formation des experts</w:t>
      </w:r>
    </w:p>
    <w:p w14:paraId="4481C90D" w14:textId="77777777" w:rsidR="00866775" w:rsidRPr="00866775" w:rsidRDefault="00866775" w:rsidP="00866775">
      <w:pPr>
        <w:pStyle w:val="SingleTxtG"/>
        <w:rPr>
          <w:lang w:val="fr-FR"/>
        </w:rPr>
      </w:pPr>
      <w:r w:rsidRPr="00866775">
        <w:rPr>
          <w:lang w:val="fr-FR"/>
        </w:rPr>
        <w:t>17.</w:t>
      </w:r>
      <w:r w:rsidRPr="00866775">
        <w:rPr>
          <w:lang w:val="fr-FR"/>
        </w:rPr>
        <w:tab/>
        <w:t>Le Comité de sécurité a noté que le groupe de travail informel de la formation des experts comptait se réunir de nouveau à Strasbourg du</w:t>
      </w:r>
      <w:r w:rsidR="009910F8">
        <w:rPr>
          <w:lang w:val="fr-FR"/>
        </w:rPr>
        <w:t> </w:t>
      </w:r>
      <w:r w:rsidRPr="00866775">
        <w:rPr>
          <w:lang w:val="fr-FR"/>
        </w:rPr>
        <w:t>24 au 26 mars 2020 et qu</w:t>
      </w:r>
      <w:r w:rsidR="003968B4">
        <w:rPr>
          <w:lang w:val="fr-FR"/>
        </w:rPr>
        <w:t>’</w:t>
      </w:r>
      <w:r w:rsidRPr="00866775">
        <w:rPr>
          <w:lang w:val="fr-FR"/>
        </w:rPr>
        <w:t xml:space="preserve">une invitation serait envoyée prochainement à cet effet. </w:t>
      </w:r>
    </w:p>
    <w:p w14:paraId="420AE199" w14:textId="77777777" w:rsidR="00866775" w:rsidRPr="00866775" w:rsidRDefault="00866775" w:rsidP="009910F8">
      <w:pPr>
        <w:pStyle w:val="H1G"/>
        <w:rPr>
          <w:lang w:val="fr-FR"/>
        </w:rPr>
      </w:pPr>
      <w:r w:rsidRPr="00866775">
        <w:rPr>
          <w:lang w:val="fr-FR"/>
        </w:rPr>
        <w:lastRenderedPageBreak/>
        <w:tab/>
      </w:r>
      <w:bookmarkStart w:id="26" w:name="_Toc505688421"/>
      <w:bookmarkStart w:id="27" w:name="_Toc32481643"/>
      <w:r w:rsidRPr="00866775">
        <w:rPr>
          <w:lang w:val="fr-FR"/>
        </w:rPr>
        <w:t>E.</w:t>
      </w:r>
      <w:r w:rsidRPr="00866775">
        <w:rPr>
          <w:lang w:val="fr-FR"/>
        </w:rPr>
        <w:tab/>
      </w:r>
      <w:bookmarkEnd w:id="26"/>
      <w:bookmarkEnd w:id="27"/>
      <w:r w:rsidRPr="00866775">
        <w:rPr>
          <w:lang w:val="fr-FR"/>
        </w:rPr>
        <w:t>Questions relatives aux sociétés de classification</w:t>
      </w:r>
    </w:p>
    <w:p w14:paraId="367D774F" w14:textId="77777777" w:rsidR="00866775" w:rsidRPr="00866775" w:rsidRDefault="00866775" w:rsidP="009910F8">
      <w:pPr>
        <w:pStyle w:val="H23G"/>
        <w:rPr>
          <w:lang w:val="fr-FR"/>
        </w:rPr>
      </w:pPr>
      <w:r w:rsidRPr="00866775">
        <w:rPr>
          <w:lang w:val="fr-FR"/>
        </w:rPr>
        <w:tab/>
      </w:r>
      <w:bookmarkStart w:id="28" w:name="_Toc505688423"/>
      <w:bookmarkStart w:id="29" w:name="_Toc32481644"/>
      <w:r w:rsidRPr="00866775">
        <w:rPr>
          <w:lang w:val="fr-FR"/>
        </w:rPr>
        <w:t>1.</w:t>
      </w:r>
      <w:r w:rsidRPr="00866775">
        <w:rPr>
          <w:lang w:val="fr-FR"/>
        </w:rPr>
        <w:tab/>
      </w:r>
      <w:bookmarkEnd w:id="28"/>
      <w:bookmarkEnd w:id="29"/>
      <w:r w:rsidRPr="00866775">
        <w:rPr>
          <w:lang w:val="fr-FR"/>
        </w:rPr>
        <w:t xml:space="preserve">Nouvelle génération de bateaux fluviomaritimes conçus pour le transport </w:t>
      </w:r>
      <w:r w:rsidRPr="00866775">
        <w:rPr>
          <w:lang w:val="fr-FR"/>
        </w:rPr>
        <w:br/>
        <w:t>de marchandises dangereuses : l</w:t>
      </w:r>
      <w:r w:rsidR="003968B4">
        <w:rPr>
          <w:lang w:val="fr-FR"/>
        </w:rPr>
        <w:t>’</w:t>
      </w:r>
      <w:r w:rsidRPr="00866775">
        <w:rPr>
          <w:lang w:val="fr-FR"/>
        </w:rPr>
        <w:t>expérience de la Fédération de Russie</w:t>
      </w:r>
    </w:p>
    <w:p w14:paraId="0656EB8B" w14:textId="77777777" w:rsidR="00866775" w:rsidRPr="00866775" w:rsidRDefault="00866775" w:rsidP="002320A9">
      <w:pPr>
        <w:pStyle w:val="SingleTxtG"/>
        <w:keepNext/>
        <w:keepLines/>
        <w:ind w:left="3402" w:hanging="2268"/>
        <w:jc w:val="left"/>
        <w:rPr>
          <w:lang w:val="fr-FR"/>
        </w:rPr>
      </w:pPr>
      <w:r w:rsidRPr="00866775">
        <w:rPr>
          <w:i/>
          <w:iCs/>
          <w:lang w:val="fr-FR"/>
        </w:rPr>
        <w:t>Document informel</w:t>
      </w:r>
      <w:r w:rsidR="009910F8">
        <w:rPr>
          <w:i/>
          <w:iCs/>
          <w:lang w:val="fr-FR"/>
        </w:rPr>
        <w:t> </w:t>
      </w:r>
      <w:r w:rsidR="009910F8">
        <w:t>:</w:t>
      </w:r>
      <w:r w:rsidRPr="00866775">
        <w:rPr>
          <w:i/>
          <w:iCs/>
          <w:lang w:val="fr-FR"/>
        </w:rPr>
        <w:t xml:space="preserve"> </w:t>
      </w:r>
      <w:r w:rsidRPr="00866775">
        <w:rPr>
          <w:lang w:val="fr-FR"/>
        </w:rPr>
        <w:t xml:space="preserve"> </w:t>
      </w:r>
      <w:r w:rsidRPr="00866775">
        <w:rPr>
          <w:lang w:val="fr-FR"/>
        </w:rPr>
        <w:tab/>
        <w:t>INF.4 (Registre fluvial russe)</w:t>
      </w:r>
      <w:r w:rsidR="009910F8">
        <w:rPr>
          <w:lang w:val="fr-FR"/>
        </w:rPr>
        <w:t>.</w:t>
      </w:r>
    </w:p>
    <w:p w14:paraId="4F96DECE" w14:textId="77777777" w:rsidR="00866775" w:rsidRPr="00866775" w:rsidRDefault="00866775" w:rsidP="00866775">
      <w:pPr>
        <w:pStyle w:val="SingleTxtG"/>
        <w:rPr>
          <w:lang w:val="fr-FR"/>
        </w:rPr>
      </w:pPr>
      <w:r w:rsidRPr="00866775">
        <w:rPr>
          <w:lang w:val="fr-FR"/>
        </w:rPr>
        <w:t>18.</w:t>
      </w:r>
      <w:r w:rsidRPr="00866775">
        <w:rPr>
          <w:lang w:val="fr-FR"/>
        </w:rPr>
        <w:tab/>
        <w:t>Le Comité de sécurité a accueilli avec intérêt la présentation par la Fédération de Russie de son expérience concernant la nouvelle génération de bateaux fluviomaritimes conçus pour le transport de marchandises dangereuses. Sur la question de la stabilité des navires polyvalents, il a été relevé que les bateaux de nouvelle génération étaient conçus conformément aux récentes prescriptions de l</w:t>
      </w:r>
      <w:r w:rsidR="003968B4">
        <w:rPr>
          <w:lang w:val="fr-FR"/>
        </w:rPr>
        <w:t>’</w:t>
      </w:r>
      <w:r w:rsidRPr="00866775">
        <w:rPr>
          <w:lang w:val="fr-FR"/>
        </w:rPr>
        <w:t>ADN (entre autres relatives à la double coque) et équipés de systèmes innovants visant à assurer leur stabilité en navigation intérieure ou côtière.</w:t>
      </w:r>
    </w:p>
    <w:p w14:paraId="69EE5E39" w14:textId="77777777" w:rsidR="00866775" w:rsidRPr="00866775" w:rsidRDefault="00866775" w:rsidP="00866775">
      <w:pPr>
        <w:pStyle w:val="SingleTxtG"/>
        <w:rPr>
          <w:lang w:val="fr-FR"/>
        </w:rPr>
      </w:pPr>
      <w:r w:rsidRPr="00866775">
        <w:rPr>
          <w:lang w:val="fr-FR"/>
        </w:rPr>
        <w:t>19.</w:t>
      </w:r>
      <w:r w:rsidRPr="00866775">
        <w:rPr>
          <w:lang w:val="fr-FR"/>
        </w:rPr>
        <w:tab/>
        <w:t>Le Comité de sécurité a noté avec intérêt que les bateaux dont la timonerie était située à l</w:t>
      </w:r>
      <w:r w:rsidR="003968B4">
        <w:rPr>
          <w:lang w:val="fr-FR"/>
        </w:rPr>
        <w:t>’</w:t>
      </w:r>
      <w:r w:rsidRPr="00866775">
        <w:rPr>
          <w:lang w:val="fr-FR"/>
        </w:rPr>
        <w:t>avant étaient équipés de systèmes de caméras, mais qu</w:t>
      </w:r>
      <w:r w:rsidR="003968B4">
        <w:rPr>
          <w:lang w:val="fr-FR"/>
        </w:rPr>
        <w:t>’</w:t>
      </w:r>
      <w:r w:rsidRPr="00866775">
        <w:rPr>
          <w:lang w:val="fr-FR"/>
        </w:rPr>
        <w:t>il restait encore des difficultés à surmonter pour obtenir un bon champ de vision dans toutes les situations, notamment sous les ponts et pendant le transport de chargements volumineux. D</w:t>
      </w:r>
      <w:r w:rsidR="003968B4">
        <w:rPr>
          <w:lang w:val="fr-FR"/>
        </w:rPr>
        <w:t>’</w:t>
      </w:r>
      <w:r w:rsidRPr="00866775">
        <w:rPr>
          <w:lang w:val="fr-FR"/>
        </w:rPr>
        <w:t>autres études sur ce sujet étaient envisagées dans le milieu universitaire de la Fédération de Russie.</w:t>
      </w:r>
    </w:p>
    <w:p w14:paraId="78A1A54B" w14:textId="77777777" w:rsidR="00866775" w:rsidRPr="00866775" w:rsidRDefault="00866775" w:rsidP="00866775">
      <w:pPr>
        <w:pStyle w:val="SingleTxtG"/>
        <w:rPr>
          <w:lang w:val="fr-FR"/>
        </w:rPr>
      </w:pPr>
      <w:r w:rsidRPr="00866775">
        <w:rPr>
          <w:lang w:val="fr-FR"/>
        </w:rPr>
        <w:t>20.</w:t>
      </w:r>
      <w:r w:rsidRPr="00866775">
        <w:rPr>
          <w:lang w:val="fr-FR"/>
        </w:rPr>
        <w:tab/>
        <w:t>Le représentant de la Fédération de Russie a invité le Comité de sécurité à faire circuler toutes les informations ou tous les retours d</w:t>
      </w:r>
      <w:r w:rsidR="003968B4">
        <w:rPr>
          <w:lang w:val="fr-FR"/>
        </w:rPr>
        <w:t>’</w:t>
      </w:r>
      <w:r w:rsidRPr="00866775">
        <w:rPr>
          <w:lang w:val="fr-FR"/>
        </w:rPr>
        <w:t>expérience dont disposeraient d</w:t>
      </w:r>
      <w:r w:rsidR="003968B4">
        <w:rPr>
          <w:lang w:val="fr-FR"/>
        </w:rPr>
        <w:t>’</w:t>
      </w:r>
      <w:r w:rsidRPr="00866775">
        <w:rPr>
          <w:lang w:val="fr-FR"/>
        </w:rPr>
        <w:t>autres pays en ce qui concerne l</w:t>
      </w:r>
      <w:r w:rsidR="003968B4">
        <w:rPr>
          <w:lang w:val="fr-FR"/>
        </w:rPr>
        <w:t>’</w:t>
      </w:r>
      <w:r w:rsidRPr="00866775">
        <w:rPr>
          <w:lang w:val="fr-FR"/>
        </w:rPr>
        <w:t>utilisation de bateaux dont la timonerie est située à l</w:t>
      </w:r>
      <w:r w:rsidR="003968B4">
        <w:rPr>
          <w:lang w:val="fr-FR"/>
        </w:rPr>
        <w:t>’</w:t>
      </w:r>
      <w:r w:rsidRPr="00866775">
        <w:rPr>
          <w:lang w:val="fr-FR"/>
        </w:rPr>
        <w:t>avant.</w:t>
      </w:r>
    </w:p>
    <w:p w14:paraId="6C4F205C" w14:textId="77777777" w:rsidR="00866775" w:rsidRPr="00866775" w:rsidRDefault="00866775" w:rsidP="00866775">
      <w:pPr>
        <w:pStyle w:val="SingleTxtG"/>
        <w:rPr>
          <w:lang w:val="fr-FR"/>
        </w:rPr>
      </w:pPr>
      <w:r w:rsidRPr="00866775">
        <w:rPr>
          <w:lang w:val="fr-FR"/>
        </w:rPr>
        <w:t>21.</w:t>
      </w:r>
      <w:r w:rsidRPr="00866775">
        <w:rPr>
          <w:lang w:val="fr-FR"/>
        </w:rPr>
        <w:tab/>
        <w:t>Le Comité de sécurité a demandé à la Fédération de Russie de fournir davantage d</w:t>
      </w:r>
      <w:r w:rsidR="003968B4">
        <w:rPr>
          <w:lang w:val="fr-FR"/>
        </w:rPr>
        <w:t>’</w:t>
      </w:r>
      <w:r w:rsidRPr="00866775">
        <w:rPr>
          <w:lang w:val="fr-FR"/>
        </w:rPr>
        <w:t>informations à propos des calculs de stabilité pour les bateaux polyvalents et de la capacité des citernes destinées au transport de liquides.</w:t>
      </w:r>
    </w:p>
    <w:p w14:paraId="32995BD7" w14:textId="77777777" w:rsidR="00866775" w:rsidRPr="00866775" w:rsidRDefault="00866775" w:rsidP="009910F8">
      <w:pPr>
        <w:pStyle w:val="H23G"/>
        <w:rPr>
          <w:lang w:val="fr-FR"/>
        </w:rPr>
      </w:pPr>
      <w:r w:rsidRPr="00866775">
        <w:rPr>
          <w:lang w:val="fr-FR"/>
        </w:rPr>
        <w:tab/>
      </w:r>
      <w:bookmarkStart w:id="30" w:name="_Toc32481645"/>
      <w:r w:rsidRPr="00866775">
        <w:rPr>
          <w:lang w:val="fr-FR"/>
        </w:rPr>
        <w:t>2.</w:t>
      </w:r>
      <w:r w:rsidRPr="00866775">
        <w:rPr>
          <w:lang w:val="fr-FR"/>
        </w:rPr>
        <w:tab/>
      </w:r>
      <w:bookmarkStart w:id="31" w:name="_Hlk35530569"/>
      <w:bookmarkEnd w:id="30"/>
      <w:r w:rsidRPr="00866775">
        <w:rPr>
          <w:lang w:val="fr-FR"/>
        </w:rPr>
        <w:t>Proposition de mise à jour du 9.3.4 (Variantes de construction) de l</w:t>
      </w:r>
      <w:r w:rsidR="003968B4">
        <w:rPr>
          <w:lang w:val="fr-FR"/>
        </w:rPr>
        <w:t>’</w:t>
      </w:r>
      <w:r w:rsidRPr="00866775">
        <w:rPr>
          <w:lang w:val="fr-FR"/>
        </w:rPr>
        <w:t>ADN</w:t>
      </w:r>
      <w:bookmarkEnd w:id="31"/>
    </w:p>
    <w:p w14:paraId="406508AB" w14:textId="77777777" w:rsidR="00866775" w:rsidRPr="00866775" w:rsidRDefault="00866775" w:rsidP="002320A9">
      <w:pPr>
        <w:pStyle w:val="SingleTxtG"/>
        <w:keepNext/>
        <w:keepLines/>
        <w:ind w:left="3402" w:hanging="2268"/>
        <w:jc w:val="left"/>
        <w:rPr>
          <w:lang w:val="fr-FR"/>
        </w:rPr>
      </w:pPr>
      <w:r w:rsidRPr="00866775">
        <w:rPr>
          <w:i/>
          <w:iCs/>
          <w:lang w:val="fr-FR"/>
        </w:rPr>
        <w:t>Document</w:t>
      </w:r>
      <w:r w:rsidR="00F445E3">
        <w:rPr>
          <w:i/>
          <w:iCs/>
          <w:lang w:val="fr-FR"/>
        </w:rPr>
        <w:t>s</w:t>
      </w:r>
      <w:r w:rsidRPr="00866775">
        <w:rPr>
          <w:i/>
          <w:iCs/>
          <w:lang w:val="fr-FR"/>
        </w:rPr>
        <w:t xml:space="preserve"> informel</w:t>
      </w:r>
      <w:r w:rsidR="00F445E3">
        <w:rPr>
          <w:i/>
          <w:iCs/>
          <w:lang w:val="fr-FR"/>
        </w:rPr>
        <w:t>s</w:t>
      </w:r>
      <w:r w:rsidR="009910F8">
        <w:rPr>
          <w:i/>
          <w:iCs/>
          <w:lang w:val="fr-FR"/>
        </w:rPr>
        <w:t> </w:t>
      </w:r>
      <w:r w:rsidR="009910F8">
        <w:t>:</w:t>
      </w:r>
      <w:r w:rsidR="009910F8">
        <w:tab/>
      </w:r>
      <w:r w:rsidRPr="00866775">
        <w:rPr>
          <w:lang w:val="fr-FR"/>
        </w:rPr>
        <w:t>INF.10 (Sociétés de classification ADN recommandées) et INF.25 (Pays-Bas)</w:t>
      </w:r>
      <w:r w:rsidR="009910F8">
        <w:rPr>
          <w:lang w:val="fr-FR"/>
        </w:rPr>
        <w:t>.</w:t>
      </w:r>
    </w:p>
    <w:p w14:paraId="7F0A5F7C" w14:textId="77777777" w:rsidR="00866775" w:rsidRPr="00866775" w:rsidRDefault="00866775" w:rsidP="00866775">
      <w:pPr>
        <w:pStyle w:val="SingleTxtG"/>
        <w:rPr>
          <w:lang w:val="fr-FR"/>
        </w:rPr>
      </w:pPr>
      <w:r w:rsidRPr="00866775">
        <w:rPr>
          <w:lang w:val="fr-FR"/>
        </w:rPr>
        <w:t>22.</w:t>
      </w:r>
      <w:r w:rsidRPr="00866775">
        <w:rPr>
          <w:lang w:val="fr-FR"/>
        </w:rPr>
        <w:tab/>
        <w:t>Le Comité de sécurité a suivi avec intérêt l</w:t>
      </w:r>
      <w:r w:rsidR="003968B4">
        <w:rPr>
          <w:lang w:val="fr-FR"/>
        </w:rPr>
        <w:t>’</w:t>
      </w:r>
      <w:r w:rsidRPr="00866775">
        <w:rPr>
          <w:lang w:val="fr-FR"/>
        </w:rPr>
        <w:t>exposé sur la nécessité de réviser le 9.3.4 afin de prendre en compte l</w:t>
      </w:r>
      <w:r w:rsidR="003968B4">
        <w:rPr>
          <w:lang w:val="fr-FR"/>
        </w:rPr>
        <w:t>’</w:t>
      </w:r>
      <w:r w:rsidRPr="00866775">
        <w:rPr>
          <w:lang w:val="fr-FR"/>
        </w:rPr>
        <w:t>augmentation de la taille des bateaux et de l</w:t>
      </w:r>
      <w:r w:rsidR="003968B4">
        <w:rPr>
          <w:lang w:val="fr-FR"/>
        </w:rPr>
        <w:t>’</w:t>
      </w:r>
      <w:r w:rsidRPr="00866775">
        <w:rPr>
          <w:lang w:val="fr-FR"/>
        </w:rPr>
        <w:t>énergie d</w:t>
      </w:r>
      <w:r w:rsidR="003968B4">
        <w:rPr>
          <w:lang w:val="fr-FR"/>
        </w:rPr>
        <w:t>’</w:t>
      </w:r>
      <w:r w:rsidRPr="00866775">
        <w:rPr>
          <w:lang w:val="fr-FR"/>
        </w:rPr>
        <w:t>impact, l</w:t>
      </w:r>
      <w:r w:rsidR="003968B4">
        <w:rPr>
          <w:lang w:val="fr-FR"/>
        </w:rPr>
        <w:t>’</w:t>
      </w:r>
      <w:r w:rsidRPr="00866775">
        <w:rPr>
          <w:lang w:val="fr-FR"/>
        </w:rPr>
        <w:t>amélioration des méthodes de calcul et les citernes à cargaison d</w:t>
      </w:r>
      <w:r w:rsidR="003968B4">
        <w:rPr>
          <w:lang w:val="fr-FR"/>
        </w:rPr>
        <w:t>’</w:t>
      </w:r>
      <w:r w:rsidRPr="00866775">
        <w:rPr>
          <w:lang w:val="fr-FR"/>
        </w:rPr>
        <w:t>un volume supérieur à 1</w:t>
      </w:r>
      <w:r w:rsidR="00F445E3">
        <w:rPr>
          <w:lang w:val="fr-FR"/>
        </w:rPr>
        <w:t> </w:t>
      </w:r>
      <w:r w:rsidRPr="00866775">
        <w:rPr>
          <w:lang w:val="fr-FR"/>
        </w:rPr>
        <w:t>000</w:t>
      </w:r>
      <w:r w:rsidR="009910F8">
        <w:rPr>
          <w:lang w:val="fr-FR"/>
        </w:rPr>
        <w:t> </w:t>
      </w:r>
      <w:r w:rsidRPr="00866775">
        <w:rPr>
          <w:lang w:val="fr-FR"/>
        </w:rPr>
        <w:t>m</w:t>
      </w:r>
      <w:r w:rsidRPr="00866775">
        <w:rPr>
          <w:vertAlign w:val="superscript"/>
          <w:lang w:val="fr-FR"/>
        </w:rPr>
        <w:t>3</w:t>
      </w:r>
      <w:r w:rsidRPr="00866775">
        <w:rPr>
          <w:lang w:val="fr-FR"/>
        </w:rPr>
        <w:t>. Les avis étant partagés du fait de l</w:t>
      </w:r>
      <w:r w:rsidR="003968B4">
        <w:rPr>
          <w:lang w:val="fr-FR"/>
        </w:rPr>
        <w:t>’</w:t>
      </w:r>
      <w:r w:rsidRPr="00866775">
        <w:rPr>
          <w:lang w:val="fr-FR"/>
        </w:rPr>
        <w:t>absence de justifications techniques ou économiques précises à ce travail, il a été décidé de mettre en place, dans le cadre des sociétés de classification ADN recommandées, un groupe d</w:t>
      </w:r>
      <w:r w:rsidR="003968B4">
        <w:rPr>
          <w:lang w:val="fr-FR"/>
        </w:rPr>
        <w:t>’</w:t>
      </w:r>
      <w:r w:rsidRPr="00866775">
        <w:rPr>
          <w:lang w:val="fr-FR"/>
        </w:rPr>
        <w:t>experts</w:t>
      </w:r>
      <w:r w:rsidRPr="00866775" w:rsidDel="00A65713">
        <w:rPr>
          <w:lang w:val="fr-FR"/>
        </w:rPr>
        <w:t xml:space="preserve"> </w:t>
      </w:r>
      <w:r w:rsidRPr="00866775">
        <w:rPr>
          <w:lang w:val="fr-FR"/>
        </w:rPr>
        <w:t>chargé d</w:t>
      </w:r>
      <w:r w:rsidR="003968B4">
        <w:rPr>
          <w:lang w:val="fr-FR"/>
        </w:rPr>
        <w:t>’</w:t>
      </w:r>
      <w:r w:rsidRPr="00866775">
        <w:rPr>
          <w:lang w:val="fr-FR"/>
        </w:rPr>
        <w:t>étudier la question et de proposer des solutions. Il a été demandé à ce groupe d</w:t>
      </w:r>
      <w:r w:rsidR="003968B4">
        <w:rPr>
          <w:lang w:val="fr-FR"/>
        </w:rPr>
        <w:t>’</w:t>
      </w:r>
      <w:r w:rsidRPr="00866775">
        <w:rPr>
          <w:lang w:val="fr-FR"/>
        </w:rPr>
        <w:t xml:space="preserve">experts de rendre compte régulièrement des résultats de ses débats au Comité de sécurité.   </w:t>
      </w:r>
    </w:p>
    <w:p w14:paraId="4BFE104E" w14:textId="77777777" w:rsidR="00866775" w:rsidRPr="00866775" w:rsidRDefault="00866775" w:rsidP="009910F8">
      <w:pPr>
        <w:pStyle w:val="H23G"/>
        <w:rPr>
          <w:lang w:val="fr-FR"/>
        </w:rPr>
      </w:pPr>
      <w:r w:rsidRPr="00866775">
        <w:rPr>
          <w:lang w:val="fr-FR"/>
        </w:rPr>
        <w:tab/>
      </w:r>
      <w:bookmarkStart w:id="32" w:name="_Toc32481646"/>
      <w:r w:rsidRPr="00866775">
        <w:rPr>
          <w:lang w:val="fr-FR"/>
        </w:rPr>
        <w:t>3.</w:t>
      </w:r>
      <w:r w:rsidRPr="00866775">
        <w:rPr>
          <w:lang w:val="fr-FR"/>
        </w:rPr>
        <w:tab/>
      </w:r>
      <w:bookmarkStart w:id="33" w:name="_Hlk35530589"/>
      <w:bookmarkEnd w:id="32"/>
      <w:r w:rsidRPr="00866775">
        <w:rPr>
          <w:lang w:val="fr-FR"/>
        </w:rPr>
        <w:t>Preuves de conformité à la norme EN ISO/IEC 17020:2012</w:t>
      </w:r>
      <w:bookmarkEnd w:id="33"/>
    </w:p>
    <w:p w14:paraId="6CC46EB4" w14:textId="77777777" w:rsidR="00866775" w:rsidRPr="00866775" w:rsidRDefault="00866775" w:rsidP="002320A9">
      <w:pPr>
        <w:pStyle w:val="SingleTxtG"/>
        <w:keepNext/>
        <w:keepLines/>
        <w:ind w:left="3402" w:hanging="2268"/>
        <w:jc w:val="left"/>
      </w:pPr>
      <w:r w:rsidRPr="00866775">
        <w:rPr>
          <w:i/>
          <w:iCs/>
        </w:rPr>
        <w:t>Document informel</w:t>
      </w:r>
      <w:r w:rsidR="009910F8">
        <w:rPr>
          <w:i/>
          <w:iCs/>
        </w:rPr>
        <w:t> </w:t>
      </w:r>
      <w:r w:rsidR="009910F8">
        <w:t>:</w:t>
      </w:r>
      <w:r w:rsidRPr="00866775">
        <w:rPr>
          <w:i/>
          <w:iCs/>
        </w:rPr>
        <w:t xml:space="preserve"> </w:t>
      </w:r>
      <w:r w:rsidRPr="00866775">
        <w:t xml:space="preserve"> </w:t>
      </w:r>
      <w:r w:rsidRPr="00866775">
        <w:tab/>
        <w:t>INF.12 (Bureau Veritas)</w:t>
      </w:r>
      <w:r w:rsidR="009910F8">
        <w:t>.</w:t>
      </w:r>
    </w:p>
    <w:p w14:paraId="46D7DE96" w14:textId="77777777" w:rsidR="00866775" w:rsidRPr="00866775" w:rsidRDefault="00866775" w:rsidP="00866775">
      <w:pPr>
        <w:pStyle w:val="SingleTxtG"/>
        <w:rPr>
          <w:lang w:val="fr-FR"/>
        </w:rPr>
      </w:pPr>
      <w:r w:rsidRPr="00866775">
        <w:rPr>
          <w:lang w:val="fr-FR"/>
        </w:rPr>
        <w:t>23.</w:t>
      </w:r>
      <w:r w:rsidRPr="00866775">
        <w:rPr>
          <w:lang w:val="fr-FR"/>
        </w:rPr>
        <w:tab/>
        <w:t>Le Comité de sécurité a examiné les preuves de la conformité du Bureau Veritas à la norme ISO</w:t>
      </w:r>
      <w:r w:rsidR="009910F8">
        <w:rPr>
          <w:lang w:val="fr-FR"/>
        </w:rPr>
        <w:t> </w:t>
      </w:r>
      <w:r w:rsidRPr="00866775">
        <w:rPr>
          <w:lang w:val="fr-FR"/>
        </w:rPr>
        <w:t>17020. Les représentants de la France et de l</w:t>
      </w:r>
      <w:r w:rsidR="003968B4">
        <w:rPr>
          <w:lang w:val="fr-FR"/>
        </w:rPr>
        <w:t>’</w:t>
      </w:r>
      <w:r w:rsidRPr="00866775">
        <w:rPr>
          <w:lang w:val="fr-FR"/>
        </w:rPr>
        <w:t>Allemagne ont fait part de leur préoccupation quant au fait que les certificats de conformité contenaient des références et des audits relatifs à des navires maritimes, disant préférer des références à des bateaux de navigation intérieure. De plus, ces certificats ne mentionnaient pas expressément le respect des prescriptions de la norme ISO</w:t>
      </w:r>
      <w:r w:rsidR="009910F8">
        <w:rPr>
          <w:lang w:val="fr-FR"/>
        </w:rPr>
        <w:t> </w:t>
      </w:r>
      <w:r w:rsidRPr="00866775">
        <w:rPr>
          <w:lang w:val="fr-FR"/>
        </w:rPr>
        <w:t xml:space="preserve">17020. Il a en outre été dit que le changement de raison sociale et de siège du Bureau Veritas devait être clarifié.  </w:t>
      </w:r>
    </w:p>
    <w:p w14:paraId="6282E93F" w14:textId="77777777" w:rsidR="00866775" w:rsidRPr="00866775" w:rsidRDefault="00866775" w:rsidP="00866775">
      <w:pPr>
        <w:pStyle w:val="SingleTxtG"/>
        <w:rPr>
          <w:lang w:val="fr-FR"/>
        </w:rPr>
      </w:pPr>
      <w:r w:rsidRPr="00866775">
        <w:rPr>
          <w:lang w:val="fr-FR"/>
        </w:rPr>
        <w:t>24.</w:t>
      </w:r>
      <w:r w:rsidRPr="00866775">
        <w:rPr>
          <w:lang w:val="fr-FR"/>
        </w:rPr>
        <w:tab/>
        <w:t xml:space="preserve"> Le Comité de sécurité a invité les sociétés de classification recommandées à se pencher sur la manière dont il conviendrait de présenter les informations relatives à la conformité et à signaler les éventuels problèmes liés aux prescriptions du chapitre 1.15 de l</w:t>
      </w:r>
      <w:r w:rsidR="003968B4">
        <w:rPr>
          <w:lang w:val="fr-FR"/>
        </w:rPr>
        <w:t>’</w:t>
      </w:r>
      <w:r w:rsidRPr="00866775">
        <w:rPr>
          <w:lang w:val="fr-FR"/>
        </w:rPr>
        <w:t>ADN, et plus particulièrement du paragraphe</w:t>
      </w:r>
      <w:r w:rsidR="009910F8">
        <w:rPr>
          <w:lang w:val="fr-FR"/>
        </w:rPr>
        <w:t> </w:t>
      </w:r>
      <w:r w:rsidRPr="00866775">
        <w:rPr>
          <w:lang w:val="fr-FR"/>
        </w:rPr>
        <w:t>1.15.3.8. En fonction des résultats des débats menés à sa prochaine session, le Comité de sécurité pourrait juger utile de créer un groupe de travail informel auquel il appartiendrait de poursuivre les discussions sur ce sujet et de proposer des pistes.</w:t>
      </w:r>
    </w:p>
    <w:p w14:paraId="533AFE09" w14:textId="77777777" w:rsidR="00866775" w:rsidRPr="00866775" w:rsidRDefault="00866775" w:rsidP="00866775">
      <w:pPr>
        <w:pStyle w:val="SingleTxtG"/>
        <w:rPr>
          <w:lang w:val="fr-FR"/>
        </w:rPr>
      </w:pPr>
      <w:r w:rsidRPr="00866775">
        <w:rPr>
          <w:lang w:val="fr-FR"/>
        </w:rPr>
        <w:lastRenderedPageBreak/>
        <w:t>25.</w:t>
      </w:r>
      <w:r w:rsidRPr="00866775">
        <w:rPr>
          <w:lang w:val="fr-FR"/>
        </w:rPr>
        <w:tab/>
        <w:t>L</w:t>
      </w:r>
      <w:r w:rsidR="003968B4">
        <w:rPr>
          <w:lang w:val="fr-FR"/>
        </w:rPr>
        <w:t>’</w:t>
      </w:r>
      <w:r w:rsidRPr="00866775">
        <w:rPr>
          <w:lang w:val="fr-FR"/>
        </w:rPr>
        <w:t>Allemagne a invité toutes les sociétés de classification ADN recommandées à participer à la réunion de mars 2020, dont l</w:t>
      </w:r>
      <w:r w:rsidR="003968B4">
        <w:rPr>
          <w:lang w:val="fr-FR"/>
        </w:rPr>
        <w:t>’</w:t>
      </w:r>
      <w:r w:rsidRPr="00866775">
        <w:rPr>
          <w:lang w:val="fr-FR"/>
        </w:rPr>
        <w:t>objet serait d</w:t>
      </w:r>
      <w:r w:rsidR="003968B4">
        <w:rPr>
          <w:lang w:val="fr-FR"/>
        </w:rPr>
        <w:t>’</w:t>
      </w:r>
      <w:r w:rsidRPr="00866775">
        <w:rPr>
          <w:lang w:val="fr-FR"/>
        </w:rPr>
        <w:t>examiner la manière dont les certificats de conformité sont délivrés et de mieux comprendre les problèmes de conformité aux prescriptions de l</w:t>
      </w:r>
      <w:r w:rsidR="003968B4">
        <w:rPr>
          <w:lang w:val="fr-FR"/>
        </w:rPr>
        <w:t>’</w:t>
      </w:r>
      <w:r w:rsidRPr="00866775">
        <w:rPr>
          <w:lang w:val="fr-FR"/>
        </w:rPr>
        <w:t xml:space="preserve">ADN. </w:t>
      </w:r>
    </w:p>
    <w:p w14:paraId="19308B8B" w14:textId="77777777" w:rsidR="00866775" w:rsidRPr="00866775" w:rsidRDefault="00866775" w:rsidP="00866775">
      <w:pPr>
        <w:pStyle w:val="SingleTxtG"/>
        <w:rPr>
          <w:lang w:val="fr-FR"/>
        </w:rPr>
      </w:pPr>
      <w:r w:rsidRPr="00866775">
        <w:rPr>
          <w:lang w:val="fr-FR"/>
        </w:rPr>
        <w:t>26.</w:t>
      </w:r>
      <w:r w:rsidRPr="00866775">
        <w:rPr>
          <w:lang w:val="fr-FR"/>
        </w:rPr>
        <w:tab/>
        <w:t>Il a été souligné que le travail effectué par les sociétés de classification ADN recommandées était très important pour les activités du Comité de sécurité et pour la mise au point de dispositions de sécurité dans l</w:t>
      </w:r>
      <w:r w:rsidR="003968B4">
        <w:rPr>
          <w:lang w:val="fr-FR"/>
        </w:rPr>
        <w:t>’</w:t>
      </w:r>
      <w:r w:rsidRPr="00866775">
        <w:rPr>
          <w:lang w:val="fr-FR"/>
        </w:rPr>
        <w:t xml:space="preserve">ADN.  </w:t>
      </w:r>
    </w:p>
    <w:p w14:paraId="76661907" w14:textId="77777777" w:rsidR="00866775" w:rsidRPr="00866775" w:rsidRDefault="00866775" w:rsidP="009910F8">
      <w:pPr>
        <w:pStyle w:val="H23G"/>
        <w:rPr>
          <w:lang w:val="fr-FR"/>
        </w:rPr>
      </w:pPr>
      <w:r w:rsidRPr="00866775">
        <w:rPr>
          <w:lang w:val="fr-FR"/>
        </w:rPr>
        <w:tab/>
      </w:r>
      <w:bookmarkStart w:id="34" w:name="_Toc32481647"/>
      <w:r w:rsidRPr="00866775">
        <w:rPr>
          <w:lang w:val="fr-FR"/>
        </w:rPr>
        <w:t>4.</w:t>
      </w:r>
      <w:r w:rsidRPr="00866775">
        <w:rPr>
          <w:lang w:val="fr-FR"/>
        </w:rPr>
        <w:tab/>
      </w:r>
      <w:bookmarkEnd w:id="34"/>
      <w:r w:rsidRPr="00866775">
        <w:rPr>
          <w:lang w:val="fr-FR"/>
        </w:rPr>
        <w:t>État d</w:t>
      </w:r>
      <w:r w:rsidR="003968B4">
        <w:rPr>
          <w:lang w:val="fr-FR"/>
        </w:rPr>
        <w:t>’</w:t>
      </w:r>
      <w:r w:rsidRPr="00866775">
        <w:rPr>
          <w:lang w:val="fr-FR"/>
        </w:rPr>
        <w:t>avancement de l</w:t>
      </w:r>
      <w:r w:rsidR="003968B4">
        <w:rPr>
          <w:lang w:val="fr-FR"/>
        </w:rPr>
        <w:t>’</w:t>
      </w:r>
      <w:r w:rsidRPr="00866775">
        <w:rPr>
          <w:lang w:val="fr-FR"/>
        </w:rPr>
        <w:t>agrément des instruments de chargement</w:t>
      </w:r>
    </w:p>
    <w:p w14:paraId="45DB10F6" w14:textId="77777777" w:rsidR="00866775" w:rsidRPr="00866775" w:rsidRDefault="00866775" w:rsidP="002320A9">
      <w:pPr>
        <w:pStyle w:val="SingleTxtG"/>
        <w:keepNext/>
        <w:keepLines/>
        <w:ind w:left="3402" w:hanging="2268"/>
        <w:jc w:val="left"/>
        <w:rPr>
          <w:lang w:val="fr-FR"/>
        </w:rPr>
      </w:pPr>
      <w:r w:rsidRPr="00866775">
        <w:rPr>
          <w:i/>
          <w:iCs/>
          <w:lang w:val="fr-FR"/>
        </w:rPr>
        <w:t>Document informel</w:t>
      </w:r>
      <w:r w:rsidR="009910F8">
        <w:rPr>
          <w:i/>
          <w:iCs/>
          <w:lang w:val="fr-FR"/>
        </w:rPr>
        <w:t> </w:t>
      </w:r>
      <w:r w:rsidR="009910F8">
        <w:t>:</w:t>
      </w:r>
      <w:r w:rsidRPr="00866775">
        <w:rPr>
          <w:i/>
          <w:iCs/>
          <w:lang w:val="fr-FR"/>
        </w:rPr>
        <w:t xml:space="preserve"> </w:t>
      </w:r>
      <w:r w:rsidRPr="00866775">
        <w:rPr>
          <w:lang w:val="fr-FR"/>
        </w:rPr>
        <w:t xml:space="preserve"> </w:t>
      </w:r>
      <w:r w:rsidRPr="00866775">
        <w:rPr>
          <w:lang w:val="fr-FR"/>
        </w:rPr>
        <w:tab/>
        <w:t>INF.20 (Sociétés de classification ADN recommandées)</w:t>
      </w:r>
      <w:r w:rsidR="009910F8">
        <w:rPr>
          <w:lang w:val="fr-FR"/>
        </w:rPr>
        <w:t>.</w:t>
      </w:r>
    </w:p>
    <w:p w14:paraId="00268B1B" w14:textId="77777777" w:rsidR="00866775" w:rsidRPr="00866775" w:rsidRDefault="00866775" w:rsidP="00866775">
      <w:pPr>
        <w:pStyle w:val="SingleTxtG"/>
        <w:rPr>
          <w:lang w:val="fr-FR"/>
        </w:rPr>
      </w:pPr>
      <w:r w:rsidRPr="00866775">
        <w:rPr>
          <w:lang w:val="fr-FR"/>
        </w:rPr>
        <w:t>27.</w:t>
      </w:r>
      <w:r w:rsidRPr="00866775">
        <w:rPr>
          <w:lang w:val="fr-FR"/>
        </w:rPr>
        <w:tab/>
        <w:t>Le Comité de sécurité a pris connaissance avec intérêt des informations sur l</w:t>
      </w:r>
      <w:r w:rsidR="003968B4">
        <w:rPr>
          <w:lang w:val="fr-FR"/>
        </w:rPr>
        <w:t>’</w:t>
      </w:r>
      <w:r w:rsidRPr="00866775">
        <w:rPr>
          <w:lang w:val="fr-FR"/>
        </w:rPr>
        <w:t>état d</w:t>
      </w:r>
      <w:r w:rsidR="003968B4">
        <w:rPr>
          <w:lang w:val="fr-FR"/>
        </w:rPr>
        <w:t>’</w:t>
      </w:r>
      <w:r w:rsidRPr="00866775">
        <w:rPr>
          <w:lang w:val="fr-FR"/>
        </w:rPr>
        <w:t>avancement de l</w:t>
      </w:r>
      <w:r w:rsidR="003968B4">
        <w:rPr>
          <w:lang w:val="fr-FR"/>
        </w:rPr>
        <w:t>’</w:t>
      </w:r>
      <w:r w:rsidRPr="00866775">
        <w:rPr>
          <w:lang w:val="fr-FR"/>
        </w:rPr>
        <w:t>agrément des instruments de chargement à bord des bateaux-citernes. Il a été de nouveau confirmé qu</w:t>
      </w:r>
      <w:r w:rsidR="003968B4">
        <w:rPr>
          <w:lang w:val="fr-FR"/>
        </w:rPr>
        <w:t>’</w:t>
      </w:r>
      <w:r w:rsidRPr="00866775">
        <w:rPr>
          <w:lang w:val="fr-FR"/>
        </w:rPr>
        <w:t xml:space="preserve">un livret de stabilité validé était suffisant si les conditions de charge étaient bien définies, mais le Comité de sécurité a souligné que ces instruments étaient très utiles et donc fortement recommandés à bord. </w:t>
      </w:r>
    </w:p>
    <w:p w14:paraId="61B34733" w14:textId="77777777" w:rsidR="00866775" w:rsidRPr="00866775" w:rsidRDefault="00866775" w:rsidP="009910F8">
      <w:pPr>
        <w:pStyle w:val="H23G"/>
        <w:rPr>
          <w:lang w:val="fr-FR"/>
        </w:rPr>
      </w:pPr>
      <w:r w:rsidRPr="00866775">
        <w:rPr>
          <w:lang w:val="fr-FR"/>
        </w:rPr>
        <w:tab/>
      </w:r>
      <w:bookmarkStart w:id="35" w:name="_Toc32481648"/>
      <w:r w:rsidRPr="00866775">
        <w:rPr>
          <w:lang w:val="fr-FR"/>
        </w:rPr>
        <w:t>5.</w:t>
      </w:r>
      <w:r w:rsidRPr="00866775">
        <w:rPr>
          <w:lang w:val="fr-FR"/>
        </w:rPr>
        <w:tab/>
      </w:r>
      <w:bookmarkEnd w:id="35"/>
      <w:r w:rsidRPr="00866775">
        <w:rPr>
          <w:lang w:val="fr-FR"/>
        </w:rPr>
        <w:t xml:space="preserve">Classement en zones </w:t>
      </w:r>
      <w:r w:rsidR="009910F8">
        <w:rPr>
          <w:lang w:val="fr-FR"/>
        </w:rPr>
        <w:t>− </w:t>
      </w:r>
      <w:r w:rsidRPr="00866775">
        <w:rPr>
          <w:lang w:val="fr-FR"/>
        </w:rPr>
        <w:t>Zone</w:t>
      </w:r>
      <w:r w:rsidR="009910F8">
        <w:rPr>
          <w:lang w:val="fr-FR"/>
        </w:rPr>
        <w:t> </w:t>
      </w:r>
      <w:r w:rsidRPr="00866775">
        <w:rPr>
          <w:lang w:val="fr-FR"/>
        </w:rPr>
        <w:t xml:space="preserve">1  </w:t>
      </w:r>
    </w:p>
    <w:p w14:paraId="35BF58CE" w14:textId="77777777" w:rsidR="00866775" w:rsidRPr="00866775" w:rsidRDefault="00866775" w:rsidP="002320A9">
      <w:pPr>
        <w:pStyle w:val="SingleTxtG"/>
        <w:keepNext/>
        <w:keepLines/>
        <w:ind w:left="3402" w:hanging="2268"/>
        <w:jc w:val="left"/>
        <w:rPr>
          <w:lang w:val="fr-FR"/>
        </w:rPr>
      </w:pPr>
      <w:r w:rsidRPr="00866775">
        <w:rPr>
          <w:i/>
          <w:iCs/>
          <w:lang w:val="fr-FR"/>
        </w:rPr>
        <w:t>Document</w:t>
      </w:r>
      <w:r w:rsidR="009910F8">
        <w:rPr>
          <w:i/>
          <w:iCs/>
          <w:lang w:val="fr-FR"/>
        </w:rPr>
        <w:t> </w:t>
      </w:r>
      <w:r w:rsidR="009910F8">
        <w:t>:</w:t>
      </w:r>
      <w:r w:rsidRPr="00866775">
        <w:rPr>
          <w:lang w:val="fr-FR"/>
        </w:rPr>
        <w:t xml:space="preserve"> </w:t>
      </w:r>
      <w:r w:rsidRPr="00866775">
        <w:rPr>
          <w:lang w:val="fr-FR"/>
        </w:rPr>
        <w:tab/>
      </w:r>
      <w:r w:rsidRPr="00866775">
        <w:rPr>
          <w:lang w:val="fr-FR"/>
        </w:rPr>
        <w:tab/>
        <w:t xml:space="preserve">ECE/TRANS/WP.15/AC.2/2020/18 </w:t>
      </w:r>
      <w:r w:rsidR="009910F8">
        <w:rPr>
          <w:lang w:val="fr-FR"/>
        </w:rPr>
        <w:br/>
      </w:r>
      <w:r w:rsidRPr="00866775">
        <w:rPr>
          <w:lang w:val="fr-FR"/>
        </w:rPr>
        <w:t>(Sociétés de classification ADN recommandées)</w:t>
      </w:r>
      <w:r w:rsidR="009910F8">
        <w:rPr>
          <w:lang w:val="fr-FR"/>
        </w:rPr>
        <w:t>.</w:t>
      </w:r>
    </w:p>
    <w:p w14:paraId="08BEA092" w14:textId="77777777" w:rsidR="00866775" w:rsidRPr="00866775" w:rsidRDefault="00866775" w:rsidP="00866775">
      <w:pPr>
        <w:pStyle w:val="SingleTxtG"/>
        <w:rPr>
          <w:lang w:val="fr-FR"/>
        </w:rPr>
      </w:pPr>
      <w:r w:rsidRPr="00866775">
        <w:rPr>
          <w:lang w:val="fr-FR"/>
        </w:rPr>
        <w:t>28.</w:t>
      </w:r>
      <w:r w:rsidRPr="00866775">
        <w:rPr>
          <w:lang w:val="fr-FR"/>
        </w:rPr>
        <w:tab/>
        <w:t>Le Comité de sécurité a adopté la proposition d</w:t>
      </w:r>
      <w:r w:rsidR="003968B4">
        <w:rPr>
          <w:lang w:val="fr-FR"/>
        </w:rPr>
        <w:t>’</w:t>
      </w:r>
      <w:r w:rsidRPr="00866775">
        <w:rPr>
          <w:lang w:val="fr-FR"/>
        </w:rPr>
        <w:t xml:space="preserve">amendement de la définition du </w:t>
      </w:r>
      <w:r w:rsidR="009910F8">
        <w:t>« </w:t>
      </w:r>
      <w:r w:rsidRPr="00866775">
        <w:t>Classement en zones</w:t>
      </w:r>
      <w:r w:rsidR="009910F8">
        <w:t> »</w:t>
      </w:r>
      <w:r w:rsidRPr="00866775">
        <w:t xml:space="preserve"> qui figure </w:t>
      </w:r>
      <w:r w:rsidRPr="00866775">
        <w:rPr>
          <w:lang w:val="fr-FR"/>
        </w:rPr>
        <w:t>à la section 1.2.1, moyennant quelques modifications (voir annexe</w:t>
      </w:r>
      <w:r w:rsidR="009910F8">
        <w:rPr>
          <w:lang w:val="fr-FR"/>
        </w:rPr>
        <w:t> </w:t>
      </w:r>
      <w:r w:rsidRPr="00866775">
        <w:rPr>
          <w:lang w:val="fr-FR"/>
        </w:rPr>
        <w:t>I.).</w:t>
      </w:r>
    </w:p>
    <w:p w14:paraId="1422AA54" w14:textId="77777777" w:rsidR="00866775" w:rsidRPr="00866775" w:rsidRDefault="00866775" w:rsidP="009910F8">
      <w:pPr>
        <w:pStyle w:val="HChG"/>
        <w:rPr>
          <w:lang w:val="fr-FR"/>
        </w:rPr>
      </w:pPr>
      <w:r w:rsidRPr="00866775">
        <w:rPr>
          <w:lang w:val="fr-FR"/>
        </w:rPr>
        <w:tab/>
      </w:r>
      <w:bookmarkStart w:id="36" w:name="_Toc505688425"/>
      <w:bookmarkStart w:id="37" w:name="_Toc32481649"/>
      <w:r w:rsidRPr="00866775">
        <w:rPr>
          <w:lang w:val="fr-FR"/>
        </w:rPr>
        <w:t>VI.</w:t>
      </w:r>
      <w:r w:rsidRPr="00866775">
        <w:rPr>
          <w:lang w:val="fr-FR"/>
        </w:rPr>
        <w:tab/>
        <w:t>Propositions d</w:t>
      </w:r>
      <w:r w:rsidR="003968B4">
        <w:rPr>
          <w:lang w:val="fr-FR"/>
        </w:rPr>
        <w:t>’</w:t>
      </w:r>
      <w:r w:rsidRPr="00866775">
        <w:rPr>
          <w:lang w:val="fr-FR"/>
        </w:rPr>
        <w:t>amendements au Règlement annexé à l</w:t>
      </w:r>
      <w:r w:rsidR="003968B4">
        <w:rPr>
          <w:lang w:val="fr-FR"/>
        </w:rPr>
        <w:t>’</w:t>
      </w:r>
      <w:r w:rsidRPr="00866775">
        <w:rPr>
          <w:lang w:val="fr-FR"/>
        </w:rPr>
        <w:t>ADN (point 5 de l</w:t>
      </w:r>
      <w:r w:rsidR="003968B4">
        <w:rPr>
          <w:lang w:val="fr-FR"/>
        </w:rPr>
        <w:t>’</w:t>
      </w:r>
      <w:r w:rsidRPr="00866775">
        <w:rPr>
          <w:lang w:val="fr-FR"/>
        </w:rPr>
        <w:t>ordre du jour)</w:t>
      </w:r>
      <w:bookmarkEnd w:id="36"/>
      <w:bookmarkEnd w:id="37"/>
    </w:p>
    <w:p w14:paraId="10ED0F37" w14:textId="77777777" w:rsidR="00866775" w:rsidRPr="00866775" w:rsidRDefault="00866775" w:rsidP="009910F8">
      <w:pPr>
        <w:pStyle w:val="H1G"/>
        <w:rPr>
          <w:lang w:val="fr-FR"/>
        </w:rPr>
      </w:pPr>
      <w:r w:rsidRPr="00866775">
        <w:rPr>
          <w:lang w:val="fr-FR"/>
        </w:rPr>
        <w:tab/>
      </w:r>
      <w:bookmarkStart w:id="38" w:name="_Toc505688426"/>
      <w:bookmarkStart w:id="39" w:name="_Toc32481650"/>
      <w:r w:rsidRPr="00866775">
        <w:rPr>
          <w:lang w:val="fr-FR"/>
        </w:rPr>
        <w:t>A.</w:t>
      </w:r>
      <w:r w:rsidRPr="00866775">
        <w:rPr>
          <w:lang w:val="fr-FR"/>
        </w:rPr>
        <w:tab/>
      </w:r>
      <w:bookmarkEnd w:id="38"/>
      <w:bookmarkEnd w:id="39"/>
      <w:r w:rsidRPr="00866775">
        <w:rPr>
          <w:lang w:val="fr-FR"/>
        </w:rPr>
        <w:t>Travaux de la Réunion commune RID/ADR/ADN</w:t>
      </w:r>
    </w:p>
    <w:p w14:paraId="716D7B62" w14:textId="77777777" w:rsidR="00866775" w:rsidRPr="00866775" w:rsidRDefault="00866775" w:rsidP="002320A9">
      <w:pPr>
        <w:pStyle w:val="SingleTxtG"/>
        <w:keepNext/>
        <w:keepLines/>
        <w:ind w:left="3402" w:hanging="2268"/>
      </w:pPr>
      <w:r w:rsidRPr="00866775">
        <w:rPr>
          <w:i/>
          <w:iCs/>
        </w:rPr>
        <w:t>Document</w:t>
      </w:r>
      <w:r w:rsidR="009910F8">
        <w:rPr>
          <w:i/>
          <w:iCs/>
        </w:rPr>
        <w:t> </w:t>
      </w:r>
      <w:r w:rsidR="009910F8">
        <w:t>:</w:t>
      </w:r>
      <w:r w:rsidRPr="00866775">
        <w:t xml:space="preserve"> </w:t>
      </w:r>
      <w:r w:rsidRPr="00866775">
        <w:tab/>
      </w:r>
      <w:r w:rsidRPr="00866775">
        <w:tab/>
        <w:t>ECE/TRANS/WP.15/AC.2/2020/23 (Secrétariat)</w:t>
      </w:r>
      <w:r w:rsidR="009910F8">
        <w:t>.</w:t>
      </w:r>
    </w:p>
    <w:p w14:paraId="1023469B" w14:textId="77777777" w:rsidR="00866775" w:rsidRPr="00866775" w:rsidRDefault="00866775" w:rsidP="002320A9">
      <w:pPr>
        <w:pStyle w:val="SingleTxtG"/>
        <w:keepNext/>
        <w:keepLines/>
        <w:ind w:left="3402" w:hanging="2268"/>
        <w:jc w:val="left"/>
        <w:rPr>
          <w:lang w:val="fr-FR"/>
        </w:rPr>
      </w:pPr>
      <w:r w:rsidRPr="00866775">
        <w:rPr>
          <w:i/>
          <w:iCs/>
          <w:lang w:val="fr-FR"/>
        </w:rPr>
        <w:t>Document informel</w:t>
      </w:r>
      <w:r w:rsidR="009910F8">
        <w:rPr>
          <w:i/>
          <w:iCs/>
          <w:lang w:val="fr-FR"/>
        </w:rPr>
        <w:t> </w:t>
      </w:r>
      <w:r w:rsidR="009910F8">
        <w:t>:</w:t>
      </w:r>
      <w:r w:rsidRPr="00866775">
        <w:rPr>
          <w:i/>
          <w:iCs/>
          <w:lang w:val="fr-FR"/>
        </w:rPr>
        <w:t xml:space="preserve"> </w:t>
      </w:r>
      <w:r w:rsidRPr="00866775">
        <w:rPr>
          <w:lang w:val="fr-FR"/>
        </w:rPr>
        <w:tab/>
        <w:t xml:space="preserve">INF.7 et INF.8 (Secrétariat) </w:t>
      </w:r>
      <w:r w:rsidR="009910F8">
        <w:rPr>
          <w:lang w:val="fr-FR"/>
        </w:rPr>
        <w:br/>
      </w:r>
      <w:r w:rsidRPr="00866775">
        <w:rPr>
          <w:lang w:val="fr-FR"/>
        </w:rPr>
        <w:t>INF.13 (Allemagne)</w:t>
      </w:r>
      <w:r w:rsidR="009910F8">
        <w:rPr>
          <w:lang w:val="fr-FR"/>
        </w:rPr>
        <w:t>.</w:t>
      </w:r>
    </w:p>
    <w:p w14:paraId="34586048" w14:textId="77777777" w:rsidR="00866775" w:rsidRPr="00866775" w:rsidRDefault="00866775" w:rsidP="00866775">
      <w:pPr>
        <w:pStyle w:val="SingleTxtG"/>
        <w:rPr>
          <w:lang w:val="fr-FR"/>
        </w:rPr>
      </w:pPr>
      <w:r w:rsidRPr="00866775">
        <w:rPr>
          <w:lang w:val="fr-FR"/>
        </w:rPr>
        <w:t>29.</w:t>
      </w:r>
      <w:r w:rsidRPr="00866775">
        <w:rPr>
          <w:lang w:val="fr-FR"/>
        </w:rPr>
        <w:tab/>
        <w:t>Le Comité de sécurité a adopté la liste récapitulative des amendements pertinents pour l</w:t>
      </w:r>
      <w:r w:rsidR="003968B4">
        <w:rPr>
          <w:lang w:val="fr-FR"/>
        </w:rPr>
        <w:t>’</w:t>
      </w:r>
      <w:r w:rsidRPr="00866775">
        <w:rPr>
          <w:lang w:val="fr-FR"/>
        </w:rPr>
        <w:t xml:space="preserve">ADN adoptés par la Réunion commune RID/ADR/ADN en 2018-2019 et par le Groupe de travail des transports de marchandises dangereuses (WP.15) pour </w:t>
      </w:r>
      <w:proofErr w:type="spellStart"/>
      <w:r w:rsidRPr="00866775">
        <w:rPr>
          <w:lang w:val="fr-FR"/>
        </w:rPr>
        <w:t>entrée</w:t>
      </w:r>
      <w:proofErr w:type="spellEnd"/>
      <w:r w:rsidRPr="00866775">
        <w:rPr>
          <w:lang w:val="fr-FR"/>
        </w:rPr>
        <w:t xml:space="preserve"> en vigueur le 1</w:t>
      </w:r>
      <w:r w:rsidRPr="00866775">
        <w:rPr>
          <w:vertAlign w:val="superscript"/>
          <w:lang w:val="fr-FR"/>
        </w:rPr>
        <w:t>er</w:t>
      </w:r>
      <w:r w:rsidR="009910F8">
        <w:rPr>
          <w:lang w:val="fr-FR"/>
        </w:rPr>
        <w:t> </w:t>
      </w:r>
      <w:r w:rsidRPr="00866775">
        <w:rPr>
          <w:lang w:val="fr-FR"/>
        </w:rPr>
        <w:t>janvier 2021, moyennant quelques corrections (voir annexe</w:t>
      </w:r>
      <w:r w:rsidR="009910F8">
        <w:rPr>
          <w:lang w:val="fr-FR"/>
        </w:rPr>
        <w:t> </w:t>
      </w:r>
      <w:r w:rsidRPr="00866775">
        <w:rPr>
          <w:lang w:val="fr-FR"/>
        </w:rPr>
        <w:t xml:space="preserve">I). </w:t>
      </w:r>
    </w:p>
    <w:p w14:paraId="3D7277EF" w14:textId="77777777" w:rsidR="00866775" w:rsidRPr="00866775" w:rsidRDefault="00866775" w:rsidP="00866775">
      <w:pPr>
        <w:pStyle w:val="SingleTxtG"/>
        <w:rPr>
          <w:lang w:val="fr-FR"/>
        </w:rPr>
      </w:pPr>
      <w:r w:rsidRPr="00866775">
        <w:rPr>
          <w:lang w:val="fr-FR"/>
        </w:rPr>
        <w:t>30.</w:t>
      </w:r>
      <w:r w:rsidRPr="00866775">
        <w:rPr>
          <w:lang w:val="fr-FR"/>
        </w:rPr>
        <w:tab/>
        <w:t>Le Comité de sécurité a également adopté les corrections concernant l</w:t>
      </w:r>
      <w:r w:rsidR="003968B4">
        <w:rPr>
          <w:lang w:val="fr-FR"/>
        </w:rPr>
        <w:t>’</w:t>
      </w:r>
      <w:r w:rsidRPr="00866775">
        <w:rPr>
          <w:lang w:val="fr-FR"/>
        </w:rPr>
        <w:t>ADN proposées par le Sous-comité d</w:t>
      </w:r>
      <w:r w:rsidR="003968B4">
        <w:rPr>
          <w:lang w:val="fr-FR"/>
        </w:rPr>
        <w:t>’</w:t>
      </w:r>
      <w:r w:rsidRPr="00866775">
        <w:rPr>
          <w:lang w:val="fr-FR"/>
        </w:rPr>
        <w:t>experts du transport des marchandises dangereuses et par le WP.15 à sa session de novembre 2019, qui figurent dans les documents informels INF.7 et INF.8 (voir annexe</w:t>
      </w:r>
      <w:r w:rsidR="009910F8">
        <w:rPr>
          <w:lang w:val="fr-FR"/>
        </w:rPr>
        <w:t> </w:t>
      </w:r>
      <w:r w:rsidRPr="00866775">
        <w:rPr>
          <w:lang w:val="fr-FR"/>
        </w:rPr>
        <w:t xml:space="preserve">I). </w:t>
      </w:r>
    </w:p>
    <w:p w14:paraId="6B6FD421" w14:textId="77777777" w:rsidR="00866775" w:rsidRPr="00866775" w:rsidRDefault="00866775" w:rsidP="00866775">
      <w:pPr>
        <w:pStyle w:val="SingleTxtG"/>
        <w:rPr>
          <w:lang w:val="fr-FR"/>
        </w:rPr>
      </w:pPr>
      <w:r w:rsidRPr="00866775">
        <w:rPr>
          <w:lang w:val="fr-FR"/>
        </w:rPr>
        <w:t>31.</w:t>
      </w:r>
      <w:r w:rsidRPr="00866775">
        <w:rPr>
          <w:lang w:val="fr-FR"/>
        </w:rPr>
        <w:tab/>
        <w:t>Le Comité de sécurité a décidé d</w:t>
      </w:r>
      <w:r w:rsidR="003968B4">
        <w:rPr>
          <w:lang w:val="fr-FR"/>
        </w:rPr>
        <w:t>’</w:t>
      </w:r>
      <w:r w:rsidRPr="00866775">
        <w:rPr>
          <w:lang w:val="fr-FR"/>
        </w:rPr>
        <w:t>examiner à sa trente-septième session les modifications relatives aux sujets encore à l</w:t>
      </w:r>
      <w:r w:rsidR="003968B4">
        <w:rPr>
          <w:lang w:val="fr-FR"/>
        </w:rPr>
        <w:t>’</w:t>
      </w:r>
      <w:r w:rsidRPr="00866775">
        <w:rPr>
          <w:lang w:val="fr-FR"/>
        </w:rPr>
        <w:t xml:space="preserve">examen devant la Réunion commune RID/ADR/ADN en mars 2020. </w:t>
      </w:r>
    </w:p>
    <w:p w14:paraId="3C29DAB1" w14:textId="77777777" w:rsidR="00866775" w:rsidRPr="00866775" w:rsidRDefault="00866775" w:rsidP="00866775">
      <w:pPr>
        <w:pStyle w:val="SingleTxtG"/>
        <w:rPr>
          <w:lang w:val="fr-FR"/>
        </w:rPr>
      </w:pPr>
      <w:r w:rsidRPr="00866775">
        <w:rPr>
          <w:lang w:val="fr-FR"/>
        </w:rPr>
        <w:t>32.</w:t>
      </w:r>
      <w:r w:rsidRPr="00866775">
        <w:rPr>
          <w:lang w:val="fr-FR"/>
        </w:rPr>
        <w:tab/>
        <w:t>Le Comité de sécurité a décidé de reporter l</w:t>
      </w:r>
      <w:r w:rsidR="003968B4">
        <w:rPr>
          <w:lang w:val="fr-FR"/>
        </w:rPr>
        <w:t>’</w:t>
      </w:r>
      <w:r w:rsidRPr="00866775">
        <w:rPr>
          <w:lang w:val="fr-FR"/>
        </w:rPr>
        <w:t>adoption des modifications présentées dans le document informel INF.13 à la trente-septième session, qui se tiendra en août 2020, dans l</w:t>
      </w:r>
      <w:r w:rsidR="003968B4">
        <w:rPr>
          <w:lang w:val="fr-FR"/>
        </w:rPr>
        <w:t>’</w:t>
      </w:r>
      <w:r w:rsidRPr="00866775">
        <w:rPr>
          <w:lang w:val="fr-FR"/>
        </w:rPr>
        <w:t>attente de l</w:t>
      </w:r>
      <w:r w:rsidR="003968B4">
        <w:rPr>
          <w:lang w:val="fr-FR"/>
        </w:rPr>
        <w:t>’</w:t>
      </w:r>
      <w:r w:rsidRPr="00866775">
        <w:rPr>
          <w:lang w:val="fr-FR"/>
        </w:rPr>
        <w:t>adoption définitive de l</w:t>
      </w:r>
      <w:r w:rsidR="003968B4">
        <w:rPr>
          <w:lang w:val="fr-FR"/>
        </w:rPr>
        <w:t>’</w:t>
      </w:r>
      <w:r w:rsidRPr="00866775">
        <w:rPr>
          <w:lang w:val="fr-FR"/>
        </w:rPr>
        <w:t xml:space="preserve">amendement connexe au Code IMDG. </w:t>
      </w:r>
    </w:p>
    <w:p w14:paraId="2CB796F0" w14:textId="77777777" w:rsidR="00866775" w:rsidRPr="00866775" w:rsidRDefault="00866775" w:rsidP="009910F8">
      <w:pPr>
        <w:pStyle w:val="H1G"/>
        <w:rPr>
          <w:lang w:val="fr-FR"/>
        </w:rPr>
      </w:pPr>
      <w:r w:rsidRPr="00866775">
        <w:rPr>
          <w:lang w:val="fr-FR"/>
        </w:rPr>
        <w:lastRenderedPageBreak/>
        <w:tab/>
      </w:r>
      <w:bookmarkStart w:id="40" w:name="_Toc505688429"/>
      <w:bookmarkStart w:id="41" w:name="_Toc32481651"/>
      <w:r w:rsidRPr="00866775">
        <w:rPr>
          <w:lang w:val="fr-FR"/>
        </w:rPr>
        <w:t>B.</w:t>
      </w:r>
      <w:r w:rsidRPr="00866775">
        <w:rPr>
          <w:lang w:val="fr-FR"/>
        </w:rPr>
        <w:tab/>
      </w:r>
      <w:bookmarkEnd w:id="40"/>
      <w:bookmarkEnd w:id="41"/>
      <w:r w:rsidRPr="00866775">
        <w:rPr>
          <w:lang w:val="fr-FR"/>
        </w:rPr>
        <w:t>Autres propositions</w:t>
      </w:r>
    </w:p>
    <w:p w14:paraId="1A26387A" w14:textId="77777777" w:rsidR="00866775" w:rsidRPr="00866775" w:rsidRDefault="00866775" w:rsidP="009910F8">
      <w:pPr>
        <w:pStyle w:val="H23G"/>
        <w:rPr>
          <w:lang w:val="fr-FR"/>
        </w:rPr>
      </w:pPr>
      <w:r w:rsidRPr="00866775">
        <w:rPr>
          <w:lang w:val="fr-FR"/>
        </w:rPr>
        <w:tab/>
      </w:r>
      <w:bookmarkStart w:id="42" w:name="_Toc505688430"/>
      <w:bookmarkStart w:id="43" w:name="_Toc32481652"/>
      <w:r w:rsidRPr="00866775">
        <w:rPr>
          <w:lang w:val="fr-FR"/>
        </w:rPr>
        <w:t>1.</w:t>
      </w:r>
      <w:r w:rsidRPr="00866775">
        <w:rPr>
          <w:lang w:val="fr-FR"/>
        </w:rPr>
        <w:tab/>
      </w:r>
      <w:bookmarkEnd w:id="42"/>
      <w:bookmarkEnd w:id="43"/>
      <w:r w:rsidRPr="00866775">
        <w:rPr>
          <w:lang w:val="fr-FR"/>
        </w:rPr>
        <w:t>Dispositions transitoires</w:t>
      </w:r>
    </w:p>
    <w:p w14:paraId="47515824" w14:textId="7837BED6" w:rsidR="00866775" w:rsidRPr="00866775" w:rsidRDefault="00866775" w:rsidP="009910F8">
      <w:pPr>
        <w:pStyle w:val="SingleTxtG"/>
        <w:keepNext/>
        <w:keepLines/>
        <w:rPr>
          <w:lang w:val="fr-FR"/>
        </w:rPr>
      </w:pPr>
      <w:r w:rsidRPr="00866775">
        <w:rPr>
          <w:i/>
          <w:iCs/>
          <w:lang w:val="fr-FR"/>
        </w:rPr>
        <w:t>Document</w:t>
      </w:r>
      <w:r w:rsidR="009910F8">
        <w:rPr>
          <w:i/>
          <w:iCs/>
          <w:lang w:val="fr-FR"/>
        </w:rPr>
        <w:t> </w:t>
      </w:r>
      <w:r w:rsidR="009910F8">
        <w:t>:</w:t>
      </w:r>
      <w:r w:rsidRPr="00866775">
        <w:rPr>
          <w:lang w:val="fr-FR"/>
        </w:rPr>
        <w:t xml:space="preserve"> </w:t>
      </w:r>
      <w:r w:rsidRPr="00866775">
        <w:rPr>
          <w:lang w:val="fr-FR"/>
        </w:rPr>
        <w:tab/>
      </w:r>
      <w:r w:rsidRPr="00866775">
        <w:rPr>
          <w:lang w:val="fr-FR"/>
        </w:rPr>
        <w:tab/>
      </w:r>
      <w:r w:rsidR="004F6C07">
        <w:rPr>
          <w:lang w:val="fr-FR"/>
        </w:rPr>
        <w:tab/>
      </w:r>
      <w:r w:rsidRPr="00866775">
        <w:rPr>
          <w:lang w:val="fr-FR"/>
        </w:rPr>
        <w:t>ECE/TRANS/WP.15/AC.2/2020/1 (Allemagne)</w:t>
      </w:r>
      <w:r w:rsidR="009910F8">
        <w:rPr>
          <w:lang w:val="fr-FR"/>
        </w:rPr>
        <w:t>.</w:t>
      </w:r>
    </w:p>
    <w:p w14:paraId="16AF4348" w14:textId="77777777" w:rsidR="00866775" w:rsidRPr="00866775" w:rsidRDefault="00866775" w:rsidP="00866775">
      <w:pPr>
        <w:pStyle w:val="SingleTxtG"/>
        <w:rPr>
          <w:lang w:val="fr-FR"/>
        </w:rPr>
      </w:pPr>
      <w:r w:rsidRPr="00866775">
        <w:rPr>
          <w:lang w:val="fr-FR"/>
        </w:rPr>
        <w:t>33.</w:t>
      </w:r>
      <w:r w:rsidRPr="00866775">
        <w:rPr>
          <w:lang w:val="fr-FR"/>
        </w:rPr>
        <w:tab/>
        <w:t>Le Comité de sécurité a adopté la proposition de modification des dispositions transitoires dans l</w:t>
      </w:r>
      <w:r w:rsidR="003968B4">
        <w:rPr>
          <w:lang w:val="fr-FR"/>
        </w:rPr>
        <w:t>’</w:t>
      </w:r>
      <w:r w:rsidRPr="00866775">
        <w:rPr>
          <w:lang w:val="fr-FR"/>
        </w:rPr>
        <w:t>ADN (voir annexe</w:t>
      </w:r>
      <w:r w:rsidR="009910F8">
        <w:rPr>
          <w:lang w:val="fr-FR"/>
        </w:rPr>
        <w:t> </w:t>
      </w:r>
      <w:r w:rsidRPr="00866775">
        <w:rPr>
          <w:lang w:val="fr-FR"/>
        </w:rPr>
        <w:t>I).</w:t>
      </w:r>
    </w:p>
    <w:p w14:paraId="5CB4F1B4" w14:textId="77777777" w:rsidR="00866775" w:rsidRPr="00866775" w:rsidRDefault="00866775" w:rsidP="009910F8">
      <w:pPr>
        <w:pStyle w:val="H23G"/>
        <w:rPr>
          <w:lang w:val="fr-FR"/>
        </w:rPr>
      </w:pPr>
      <w:r w:rsidRPr="00866775">
        <w:rPr>
          <w:lang w:val="fr-FR"/>
        </w:rPr>
        <w:tab/>
      </w:r>
      <w:bookmarkStart w:id="44" w:name="_Toc32481653"/>
      <w:r w:rsidRPr="00866775">
        <w:rPr>
          <w:lang w:val="fr-FR"/>
        </w:rPr>
        <w:t>2.</w:t>
      </w:r>
      <w:r w:rsidRPr="00866775">
        <w:rPr>
          <w:lang w:val="fr-FR"/>
        </w:rPr>
        <w:tab/>
      </w:r>
      <w:bookmarkEnd w:id="44"/>
      <w:r w:rsidRPr="00866775">
        <w:rPr>
          <w:lang w:val="fr-FR"/>
        </w:rPr>
        <w:t>Proposition d</w:t>
      </w:r>
      <w:r w:rsidR="003968B4">
        <w:rPr>
          <w:lang w:val="fr-FR"/>
        </w:rPr>
        <w:t>’</w:t>
      </w:r>
      <w:r w:rsidRPr="00866775">
        <w:rPr>
          <w:lang w:val="fr-FR"/>
        </w:rPr>
        <w:t xml:space="preserve">uniformisation des différentes versions linguistiques </w:t>
      </w:r>
      <w:r w:rsidR="009D0112">
        <w:rPr>
          <w:lang w:val="fr-FR"/>
        </w:rPr>
        <w:br/>
      </w:r>
      <w:r w:rsidRPr="00866775">
        <w:rPr>
          <w:lang w:val="fr-FR"/>
        </w:rPr>
        <w:t>du paragraphe 8.2.1.4 de l</w:t>
      </w:r>
      <w:r w:rsidR="003968B4">
        <w:rPr>
          <w:lang w:val="fr-FR"/>
        </w:rPr>
        <w:t>’</w:t>
      </w:r>
      <w:r w:rsidRPr="00866775">
        <w:rPr>
          <w:lang w:val="fr-FR"/>
        </w:rPr>
        <w:t>ADN</w:t>
      </w:r>
    </w:p>
    <w:p w14:paraId="24A96A59" w14:textId="77777777" w:rsidR="00866775" w:rsidRPr="00866775" w:rsidRDefault="00866775" w:rsidP="002320A9">
      <w:pPr>
        <w:pStyle w:val="SingleTxtG"/>
        <w:keepNext/>
        <w:keepLines/>
        <w:ind w:left="3402" w:hanging="2268"/>
      </w:pPr>
      <w:r w:rsidRPr="00866775">
        <w:rPr>
          <w:i/>
          <w:iCs/>
        </w:rPr>
        <w:t>Document</w:t>
      </w:r>
      <w:r w:rsidR="009910F8">
        <w:rPr>
          <w:i/>
          <w:iCs/>
        </w:rPr>
        <w:t> </w:t>
      </w:r>
      <w:r w:rsidR="009910F8">
        <w:t>:</w:t>
      </w:r>
      <w:r w:rsidRPr="00866775">
        <w:t xml:space="preserve"> </w:t>
      </w:r>
      <w:r w:rsidRPr="00866775">
        <w:tab/>
      </w:r>
      <w:r w:rsidRPr="00866775">
        <w:tab/>
        <w:t>ECE/TRANS/WP.15/AC.2/2020/8 (CCNR)</w:t>
      </w:r>
      <w:r w:rsidR="009910F8">
        <w:t>.</w:t>
      </w:r>
    </w:p>
    <w:p w14:paraId="126197A6" w14:textId="77777777" w:rsidR="00866775" w:rsidRPr="00866775" w:rsidRDefault="00866775" w:rsidP="00866775">
      <w:pPr>
        <w:pStyle w:val="SingleTxtG"/>
        <w:rPr>
          <w:lang w:val="fr-FR"/>
        </w:rPr>
      </w:pPr>
      <w:r w:rsidRPr="00866775">
        <w:rPr>
          <w:lang w:val="fr-FR"/>
        </w:rPr>
        <w:t>34.</w:t>
      </w:r>
      <w:r w:rsidRPr="00866775">
        <w:rPr>
          <w:lang w:val="fr-FR"/>
        </w:rPr>
        <w:tab/>
        <w:t>Le Comité de sécurité a adopté la proposition visant à aligner  les versions anglaise, française et russe du</w:t>
      </w:r>
      <w:r w:rsidR="009910F8">
        <w:rPr>
          <w:lang w:val="fr-FR"/>
        </w:rPr>
        <w:t> </w:t>
      </w:r>
      <w:r w:rsidRPr="00866775">
        <w:rPr>
          <w:lang w:val="fr-FR"/>
        </w:rPr>
        <w:t>8.2.1.4 de l</w:t>
      </w:r>
      <w:r w:rsidR="003968B4">
        <w:rPr>
          <w:lang w:val="fr-FR"/>
        </w:rPr>
        <w:t>’</w:t>
      </w:r>
      <w:r w:rsidRPr="00866775">
        <w:rPr>
          <w:lang w:val="fr-FR"/>
        </w:rPr>
        <w:t>ADN sur  la version allemande, en remplaçant l</w:t>
      </w:r>
      <w:r w:rsidR="003968B4">
        <w:rPr>
          <w:lang w:val="fr-FR"/>
        </w:rPr>
        <w:t>’</w:t>
      </w:r>
      <w:r w:rsidRPr="00866775">
        <w:rPr>
          <w:lang w:val="fr-FR"/>
        </w:rPr>
        <w:t>expression « au bout de deux tentatives » par « au bout de deux répétitions » (voir annexe</w:t>
      </w:r>
      <w:r w:rsidR="009910F8">
        <w:rPr>
          <w:lang w:val="fr-FR"/>
        </w:rPr>
        <w:t> </w:t>
      </w:r>
      <w:r w:rsidRPr="00866775">
        <w:rPr>
          <w:lang w:val="fr-FR"/>
        </w:rPr>
        <w:t>I).</w:t>
      </w:r>
    </w:p>
    <w:p w14:paraId="45038170" w14:textId="77777777" w:rsidR="00866775" w:rsidRPr="00866775" w:rsidRDefault="00866775" w:rsidP="009910F8">
      <w:pPr>
        <w:pStyle w:val="H23G"/>
        <w:rPr>
          <w:lang w:val="fr-FR"/>
        </w:rPr>
      </w:pPr>
      <w:r w:rsidRPr="00866775">
        <w:rPr>
          <w:lang w:val="fr-FR"/>
        </w:rPr>
        <w:tab/>
      </w:r>
      <w:bookmarkStart w:id="45" w:name="_Toc32481654"/>
      <w:r w:rsidRPr="00866775">
        <w:rPr>
          <w:lang w:val="fr-FR"/>
        </w:rPr>
        <w:t>3.</w:t>
      </w:r>
      <w:r w:rsidRPr="00866775">
        <w:rPr>
          <w:lang w:val="fr-FR"/>
        </w:rPr>
        <w:tab/>
      </w:r>
      <w:bookmarkEnd w:id="45"/>
      <w:r w:rsidRPr="00866775">
        <w:rPr>
          <w:lang w:val="fr-FR"/>
        </w:rPr>
        <w:t>Amendements au paragraphe 8.1.2.2 du Règlement annexé à l</w:t>
      </w:r>
      <w:r w:rsidR="003968B4">
        <w:rPr>
          <w:lang w:val="fr-FR"/>
        </w:rPr>
        <w:t>’</w:t>
      </w:r>
      <w:r w:rsidRPr="00866775">
        <w:rPr>
          <w:lang w:val="fr-FR"/>
        </w:rPr>
        <w:t>ADN</w:t>
      </w:r>
    </w:p>
    <w:p w14:paraId="32898021" w14:textId="77777777" w:rsidR="00866775" w:rsidRPr="00866775" w:rsidRDefault="00866775" w:rsidP="002320A9">
      <w:pPr>
        <w:pStyle w:val="SingleTxtG"/>
        <w:keepNext/>
        <w:keepLines/>
        <w:ind w:left="3402" w:hanging="2268"/>
      </w:pPr>
      <w:r w:rsidRPr="00866775">
        <w:rPr>
          <w:i/>
          <w:iCs/>
        </w:rPr>
        <w:t>Document</w:t>
      </w:r>
      <w:r w:rsidR="009910F8">
        <w:rPr>
          <w:i/>
          <w:iCs/>
        </w:rPr>
        <w:t> </w:t>
      </w:r>
      <w:r w:rsidR="009910F8">
        <w:t>:</w:t>
      </w:r>
      <w:r w:rsidRPr="00866775">
        <w:tab/>
      </w:r>
      <w:r w:rsidRPr="00866775">
        <w:tab/>
        <w:t>ECE/TRANS/WP.15/AC.2/2020/10 (France)</w:t>
      </w:r>
      <w:r w:rsidR="009910F8">
        <w:t>.</w:t>
      </w:r>
    </w:p>
    <w:p w14:paraId="60052EAE" w14:textId="77777777" w:rsidR="00866775" w:rsidRPr="00866775" w:rsidRDefault="00866775" w:rsidP="00866775">
      <w:pPr>
        <w:pStyle w:val="SingleTxtG"/>
        <w:rPr>
          <w:lang w:val="fr-FR"/>
        </w:rPr>
      </w:pPr>
      <w:r w:rsidRPr="00866775">
        <w:rPr>
          <w:lang w:val="fr-FR"/>
        </w:rPr>
        <w:t>35.</w:t>
      </w:r>
      <w:r w:rsidRPr="00866775">
        <w:rPr>
          <w:lang w:val="fr-FR"/>
        </w:rPr>
        <w:tab/>
        <w:t>Le Comité de sécurité a adopté la proposition de clarification du paragraphe 8.1.2.2 de l</w:t>
      </w:r>
      <w:r w:rsidR="003968B4">
        <w:rPr>
          <w:lang w:val="fr-FR"/>
        </w:rPr>
        <w:t>’</w:t>
      </w:r>
      <w:r w:rsidRPr="00866775">
        <w:rPr>
          <w:lang w:val="fr-FR"/>
        </w:rPr>
        <w:t>ADN conformément à la version allemande (voir annexe</w:t>
      </w:r>
      <w:r w:rsidR="009910F8">
        <w:rPr>
          <w:lang w:val="fr-FR"/>
        </w:rPr>
        <w:t> </w:t>
      </w:r>
      <w:r w:rsidRPr="00866775">
        <w:rPr>
          <w:lang w:val="fr-FR"/>
        </w:rPr>
        <w:t>I). Le représentant de la Belgique s</w:t>
      </w:r>
      <w:r w:rsidR="003968B4">
        <w:rPr>
          <w:lang w:val="fr-FR"/>
        </w:rPr>
        <w:t>’</w:t>
      </w:r>
      <w:r w:rsidRPr="00866775">
        <w:rPr>
          <w:lang w:val="fr-FR"/>
        </w:rPr>
        <w:t>est demandé s</w:t>
      </w:r>
      <w:r w:rsidR="003968B4">
        <w:rPr>
          <w:lang w:val="fr-FR"/>
        </w:rPr>
        <w:t>’</w:t>
      </w:r>
      <w:r w:rsidRPr="00866775">
        <w:rPr>
          <w:lang w:val="fr-FR"/>
        </w:rPr>
        <w:t>il était nécessaire que les autorités compétentes prennent la responsabilité de tamponner les pièces énumérées dans le document ECE/TRANS/WP.15/AC.2/2020/10. Il a été expliqué que les autorités compétentes pouvaient désigner d</w:t>
      </w:r>
      <w:r w:rsidR="003968B4">
        <w:rPr>
          <w:lang w:val="fr-FR"/>
        </w:rPr>
        <w:t>’</w:t>
      </w:r>
      <w:r w:rsidRPr="00866775">
        <w:rPr>
          <w:lang w:val="fr-FR"/>
        </w:rPr>
        <w:t>autres organismes compétents pour accomplir certaines tâches, y compris les sociétés de classification ADN recommandées. Le Comité de sécurité a recommandé de reprendre les échanges sur la question au cours d</w:t>
      </w:r>
      <w:r w:rsidR="003968B4">
        <w:rPr>
          <w:lang w:val="fr-FR"/>
        </w:rPr>
        <w:t>’</w:t>
      </w:r>
      <w:r w:rsidRPr="00866775">
        <w:rPr>
          <w:lang w:val="fr-FR"/>
        </w:rPr>
        <w:t>une session à venir, sur la base d</w:t>
      </w:r>
      <w:r w:rsidR="003968B4">
        <w:rPr>
          <w:lang w:val="fr-FR"/>
        </w:rPr>
        <w:t>’</w:t>
      </w:r>
      <w:r w:rsidRPr="00866775">
        <w:rPr>
          <w:lang w:val="fr-FR"/>
        </w:rPr>
        <w:t xml:space="preserve">une proposition, si nécessaire. </w:t>
      </w:r>
    </w:p>
    <w:p w14:paraId="41DCA7FF" w14:textId="77777777" w:rsidR="00866775" w:rsidRPr="00866775" w:rsidRDefault="00866775" w:rsidP="009910F8">
      <w:pPr>
        <w:pStyle w:val="H23G"/>
        <w:rPr>
          <w:lang w:val="fr-FR"/>
        </w:rPr>
      </w:pPr>
      <w:r w:rsidRPr="00866775">
        <w:rPr>
          <w:lang w:val="fr-FR"/>
        </w:rPr>
        <w:tab/>
      </w:r>
      <w:bookmarkStart w:id="46" w:name="_Toc32481655"/>
      <w:r w:rsidRPr="00866775">
        <w:rPr>
          <w:lang w:val="fr-FR"/>
        </w:rPr>
        <w:t>4.</w:t>
      </w:r>
      <w:r w:rsidRPr="00866775">
        <w:rPr>
          <w:lang w:val="fr-FR"/>
        </w:rPr>
        <w:tab/>
      </w:r>
      <w:bookmarkEnd w:id="46"/>
      <w:r w:rsidRPr="00866775">
        <w:rPr>
          <w:lang w:val="fr-FR"/>
        </w:rPr>
        <w:t>Dispositions transitoires applicables aux systèmes de protection autonomes</w:t>
      </w:r>
    </w:p>
    <w:p w14:paraId="4925B2DC" w14:textId="77777777" w:rsidR="00866775" w:rsidRPr="00866775" w:rsidRDefault="00866775" w:rsidP="002320A9">
      <w:pPr>
        <w:pStyle w:val="SingleTxtG"/>
        <w:keepNext/>
        <w:keepLines/>
        <w:ind w:left="3402" w:hanging="2268"/>
      </w:pPr>
      <w:r w:rsidRPr="00866775">
        <w:rPr>
          <w:i/>
          <w:iCs/>
        </w:rPr>
        <w:t>Document</w:t>
      </w:r>
      <w:r w:rsidR="009910F8">
        <w:rPr>
          <w:i/>
          <w:iCs/>
        </w:rPr>
        <w:t> </w:t>
      </w:r>
      <w:r w:rsidR="009910F8">
        <w:t>:</w:t>
      </w:r>
      <w:r w:rsidRPr="00866775">
        <w:t xml:space="preserve"> </w:t>
      </w:r>
      <w:r w:rsidRPr="00866775">
        <w:tab/>
      </w:r>
      <w:r w:rsidRPr="00866775">
        <w:tab/>
        <w:t>ECE/TRANS/WP.15/AC.2/2020/12 (Pays-Bas)</w:t>
      </w:r>
      <w:r w:rsidR="009910F8">
        <w:t>.</w:t>
      </w:r>
    </w:p>
    <w:p w14:paraId="464B77DD" w14:textId="77777777" w:rsidR="00866775" w:rsidRPr="00866775" w:rsidRDefault="00866775" w:rsidP="00866775">
      <w:pPr>
        <w:pStyle w:val="SingleTxtG"/>
        <w:rPr>
          <w:lang w:val="fr-FR"/>
        </w:rPr>
      </w:pPr>
      <w:r w:rsidRPr="00866775">
        <w:rPr>
          <w:lang w:val="fr-FR"/>
        </w:rPr>
        <w:t>36.</w:t>
      </w:r>
      <w:r w:rsidRPr="00866775">
        <w:rPr>
          <w:lang w:val="fr-FR"/>
        </w:rPr>
        <w:tab/>
        <w:t>Le représentant des Pays-Bas a expliqué que les propositions avaient pour but de résoudre les contradictions entre l</w:t>
      </w:r>
      <w:r w:rsidR="003968B4">
        <w:rPr>
          <w:lang w:val="fr-FR"/>
        </w:rPr>
        <w:t>’</w:t>
      </w:r>
      <w:r w:rsidRPr="00866775">
        <w:rPr>
          <w:lang w:val="fr-FR"/>
        </w:rPr>
        <w:t>accord multilatéral M</w:t>
      </w:r>
      <w:r w:rsidR="009910F8">
        <w:rPr>
          <w:lang w:val="fr-FR"/>
        </w:rPr>
        <w:t> </w:t>
      </w:r>
      <w:r w:rsidRPr="00866775">
        <w:rPr>
          <w:lang w:val="fr-FR"/>
        </w:rPr>
        <w:t>018 et les dispositions transitoires applicables aux systèmes de protection autonomes qui figurent actuellement dans le Règlement annexé à l</w:t>
      </w:r>
      <w:r w:rsidR="003968B4">
        <w:rPr>
          <w:lang w:val="fr-FR"/>
        </w:rPr>
        <w:t>’</w:t>
      </w:r>
      <w:r w:rsidRPr="00866775">
        <w:rPr>
          <w:lang w:val="fr-FR"/>
        </w:rPr>
        <w:t>ADN.</w:t>
      </w:r>
      <w:r w:rsidRPr="00866775">
        <w:rPr>
          <w:bCs/>
          <w:lang w:val="fr-FR"/>
        </w:rPr>
        <w:t xml:space="preserve">  </w:t>
      </w:r>
    </w:p>
    <w:p w14:paraId="5842403C" w14:textId="77777777" w:rsidR="00866775" w:rsidRPr="00866775" w:rsidRDefault="00866775" w:rsidP="00866775">
      <w:pPr>
        <w:pStyle w:val="SingleTxtG"/>
        <w:rPr>
          <w:lang w:val="fr-FR"/>
        </w:rPr>
      </w:pPr>
      <w:r w:rsidRPr="00866775">
        <w:rPr>
          <w:lang w:val="fr-FR"/>
        </w:rPr>
        <w:t>37.</w:t>
      </w:r>
      <w:r w:rsidRPr="00866775">
        <w:rPr>
          <w:lang w:val="fr-FR"/>
        </w:rPr>
        <w:tab/>
        <w:t>Des préoccupations ont été exprimées concernant les propositions, sachant qu</w:t>
      </w:r>
      <w:r w:rsidR="003968B4">
        <w:rPr>
          <w:lang w:val="fr-FR"/>
        </w:rPr>
        <w:t>’</w:t>
      </w:r>
      <w:r w:rsidRPr="00866775">
        <w:rPr>
          <w:lang w:val="fr-FR"/>
        </w:rPr>
        <w:t>il n</w:t>
      </w:r>
      <w:r w:rsidR="003968B4">
        <w:rPr>
          <w:lang w:val="fr-FR"/>
        </w:rPr>
        <w:t>’</w:t>
      </w:r>
      <w:r w:rsidRPr="00866775">
        <w:rPr>
          <w:lang w:val="fr-FR"/>
        </w:rPr>
        <w:t>était pas possible d</w:t>
      </w:r>
      <w:r w:rsidR="003968B4">
        <w:rPr>
          <w:lang w:val="fr-FR"/>
        </w:rPr>
        <w:t>’</w:t>
      </w:r>
      <w:r w:rsidRPr="00866775">
        <w:rPr>
          <w:lang w:val="fr-FR"/>
        </w:rPr>
        <w:t>évaluer l</w:t>
      </w:r>
      <w:r w:rsidR="003968B4">
        <w:rPr>
          <w:lang w:val="fr-FR"/>
        </w:rPr>
        <w:t>’</w:t>
      </w:r>
      <w:r w:rsidRPr="00866775">
        <w:rPr>
          <w:lang w:val="fr-FR"/>
        </w:rPr>
        <w:t>impact, sur les flottes existantes, du raccourcissement rétroactif de la période des dispositions transitoires. Compte tenu de l</w:t>
      </w:r>
      <w:r w:rsidR="003968B4">
        <w:rPr>
          <w:lang w:val="fr-FR"/>
        </w:rPr>
        <w:t>’</w:t>
      </w:r>
      <w:r w:rsidRPr="00866775">
        <w:rPr>
          <w:lang w:val="fr-FR"/>
        </w:rPr>
        <w:t>impossibilité de s</w:t>
      </w:r>
      <w:r w:rsidR="003968B4">
        <w:rPr>
          <w:lang w:val="fr-FR"/>
        </w:rPr>
        <w:t>’</w:t>
      </w:r>
      <w:r w:rsidRPr="00866775">
        <w:rPr>
          <w:lang w:val="fr-FR"/>
        </w:rPr>
        <w:t>assurer de la conformité de tous les bateaux avec les exigences de l</w:t>
      </w:r>
      <w:r w:rsidR="003968B4">
        <w:rPr>
          <w:lang w:val="fr-FR"/>
        </w:rPr>
        <w:t>’</w:t>
      </w:r>
      <w:r w:rsidRPr="00866775">
        <w:rPr>
          <w:lang w:val="fr-FR"/>
        </w:rPr>
        <w:t>accord M</w:t>
      </w:r>
      <w:r w:rsidR="009910F8">
        <w:rPr>
          <w:lang w:val="fr-FR"/>
        </w:rPr>
        <w:t> </w:t>
      </w:r>
      <w:r w:rsidRPr="00866775">
        <w:rPr>
          <w:lang w:val="fr-FR"/>
        </w:rPr>
        <w:t>018, il a été décidé d</w:t>
      </w:r>
      <w:r w:rsidR="003968B4">
        <w:rPr>
          <w:lang w:val="fr-FR"/>
        </w:rPr>
        <w:t>’</w:t>
      </w:r>
      <w:r w:rsidRPr="00866775">
        <w:rPr>
          <w:lang w:val="fr-FR"/>
        </w:rPr>
        <w:t>adopter les amendements proposés au tableau du 1.6.7.2.2.2, en les rendant applicables aux certificats d</w:t>
      </w:r>
      <w:r w:rsidR="003968B4">
        <w:rPr>
          <w:lang w:val="fr-FR"/>
        </w:rPr>
        <w:t>’</w:t>
      </w:r>
      <w:r w:rsidRPr="00866775">
        <w:rPr>
          <w:lang w:val="fr-FR"/>
        </w:rPr>
        <w:t>agrément délivrés après le 31</w:t>
      </w:r>
      <w:r w:rsidR="009910F8">
        <w:rPr>
          <w:lang w:val="fr-FR"/>
        </w:rPr>
        <w:t> </w:t>
      </w:r>
      <w:r w:rsidRPr="00866775">
        <w:rPr>
          <w:lang w:val="fr-FR"/>
        </w:rPr>
        <w:t>décembre 2020 (voir annexe</w:t>
      </w:r>
      <w:r w:rsidR="009910F8">
        <w:rPr>
          <w:lang w:val="fr-FR"/>
        </w:rPr>
        <w:t> </w:t>
      </w:r>
      <w:r w:rsidRPr="00866775">
        <w:rPr>
          <w:lang w:val="fr-FR"/>
        </w:rPr>
        <w:t>I). Les huit Parties contractantes signataires ont été invitées à révoquer l</w:t>
      </w:r>
      <w:r w:rsidR="003968B4">
        <w:rPr>
          <w:lang w:val="fr-FR"/>
        </w:rPr>
        <w:t>’</w:t>
      </w:r>
      <w:r w:rsidRPr="00866775">
        <w:rPr>
          <w:lang w:val="fr-FR"/>
        </w:rPr>
        <w:t>accord M</w:t>
      </w:r>
      <w:r w:rsidR="009910F8">
        <w:rPr>
          <w:lang w:val="fr-FR"/>
        </w:rPr>
        <w:t> </w:t>
      </w:r>
      <w:r w:rsidRPr="00866775">
        <w:rPr>
          <w:lang w:val="fr-FR"/>
        </w:rPr>
        <w:t>018 à compter du 1</w:t>
      </w:r>
      <w:r w:rsidRPr="00866775">
        <w:rPr>
          <w:vertAlign w:val="superscript"/>
          <w:lang w:val="fr-FR"/>
        </w:rPr>
        <w:t>er</w:t>
      </w:r>
      <w:r w:rsidR="009910F8">
        <w:rPr>
          <w:lang w:val="fr-FR"/>
        </w:rPr>
        <w:t> </w:t>
      </w:r>
      <w:r w:rsidRPr="00866775">
        <w:rPr>
          <w:lang w:val="fr-FR"/>
        </w:rPr>
        <w:t xml:space="preserve">janvier 2021. </w:t>
      </w:r>
    </w:p>
    <w:p w14:paraId="00A72DAB" w14:textId="77777777" w:rsidR="00866775" w:rsidRPr="00866775" w:rsidRDefault="00866775" w:rsidP="009910F8">
      <w:pPr>
        <w:pStyle w:val="H23G"/>
        <w:rPr>
          <w:lang w:val="fr-FR"/>
        </w:rPr>
      </w:pPr>
      <w:r w:rsidRPr="00866775">
        <w:rPr>
          <w:lang w:val="fr-FR"/>
        </w:rPr>
        <w:tab/>
      </w:r>
      <w:bookmarkStart w:id="47" w:name="_Toc32481656"/>
      <w:r w:rsidRPr="00866775">
        <w:rPr>
          <w:lang w:val="fr-FR"/>
        </w:rPr>
        <w:t>5.</w:t>
      </w:r>
      <w:r w:rsidRPr="00866775">
        <w:rPr>
          <w:lang w:val="fr-FR"/>
        </w:rPr>
        <w:tab/>
        <w:t xml:space="preserve">Matériaux de construction </w:t>
      </w:r>
      <w:bookmarkEnd w:id="47"/>
    </w:p>
    <w:p w14:paraId="288FB3DE" w14:textId="77777777" w:rsidR="00866775" w:rsidRPr="00866775" w:rsidRDefault="00866775" w:rsidP="002320A9">
      <w:pPr>
        <w:pStyle w:val="SingleTxtG"/>
        <w:keepNext/>
        <w:keepLines/>
        <w:ind w:left="3402" w:hanging="2268"/>
        <w:rPr>
          <w:lang w:val="fr-FR"/>
        </w:rPr>
      </w:pPr>
      <w:r w:rsidRPr="00866775">
        <w:rPr>
          <w:i/>
          <w:iCs/>
          <w:lang w:val="fr-FR"/>
        </w:rPr>
        <w:t>Document</w:t>
      </w:r>
      <w:r w:rsidR="009910F8">
        <w:rPr>
          <w:i/>
          <w:iCs/>
          <w:lang w:val="fr-FR"/>
        </w:rPr>
        <w:t> </w:t>
      </w:r>
      <w:r w:rsidR="009910F8">
        <w:t>:</w:t>
      </w:r>
      <w:r w:rsidRPr="00866775">
        <w:rPr>
          <w:lang w:val="fr-FR"/>
        </w:rPr>
        <w:t xml:space="preserve"> </w:t>
      </w:r>
      <w:r w:rsidRPr="00866775">
        <w:rPr>
          <w:lang w:val="fr-FR"/>
        </w:rPr>
        <w:tab/>
      </w:r>
      <w:r w:rsidRPr="00866775">
        <w:rPr>
          <w:lang w:val="fr-FR"/>
        </w:rPr>
        <w:tab/>
        <w:t xml:space="preserve">ECE/TRANS/WP.15/AC.2/2020/14 </w:t>
      </w:r>
      <w:r w:rsidR="009910F8">
        <w:rPr>
          <w:lang w:val="fr-FR"/>
        </w:rPr>
        <w:br/>
      </w:r>
      <w:r w:rsidRPr="00866775">
        <w:rPr>
          <w:lang w:val="fr-FR"/>
        </w:rPr>
        <w:t>(UENF, OEB et ERSTU)</w:t>
      </w:r>
      <w:r w:rsidR="009910F8">
        <w:rPr>
          <w:lang w:val="fr-FR"/>
        </w:rPr>
        <w:t>.</w:t>
      </w:r>
    </w:p>
    <w:p w14:paraId="2BF40EB6" w14:textId="77777777" w:rsidR="00866775" w:rsidRPr="00866775" w:rsidRDefault="00866775" w:rsidP="00866775">
      <w:pPr>
        <w:pStyle w:val="SingleTxtG"/>
        <w:rPr>
          <w:lang w:val="fr-FR"/>
        </w:rPr>
      </w:pPr>
      <w:r w:rsidRPr="00866775">
        <w:rPr>
          <w:lang w:val="fr-FR"/>
        </w:rPr>
        <w:t>38.</w:t>
      </w:r>
      <w:r w:rsidRPr="00866775">
        <w:rPr>
          <w:lang w:val="fr-FR"/>
        </w:rPr>
        <w:tab/>
        <w:t>Le Comité de sécurité a adopté les amendements proposés pour adapter le paragraphe 9.3.x.0.5 de l</w:t>
      </w:r>
      <w:r w:rsidR="003968B4">
        <w:rPr>
          <w:lang w:val="fr-FR"/>
        </w:rPr>
        <w:t>’</w:t>
      </w:r>
      <w:r w:rsidRPr="00866775">
        <w:rPr>
          <w:lang w:val="fr-FR"/>
        </w:rPr>
        <w:t>ADN (voir annexe I).</w:t>
      </w:r>
    </w:p>
    <w:p w14:paraId="4CE530E6" w14:textId="77777777" w:rsidR="00866775" w:rsidRPr="00866775" w:rsidRDefault="00866775" w:rsidP="009910F8">
      <w:pPr>
        <w:pStyle w:val="H23G"/>
        <w:rPr>
          <w:lang w:val="fr-FR"/>
        </w:rPr>
      </w:pPr>
      <w:r w:rsidRPr="00866775">
        <w:rPr>
          <w:lang w:val="fr-FR"/>
        </w:rPr>
        <w:lastRenderedPageBreak/>
        <w:tab/>
      </w:r>
      <w:bookmarkStart w:id="48" w:name="_Toc32481657"/>
      <w:r w:rsidRPr="00866775">
        <w:rPr>
          <w:lang w:val="fr-FR"/>
        </w:rPr>
        <w:t>6.</w:t>
      </w:r>
      <w:r w:rsidRPr="00866775">
        <w:rPr>
          <w:lang w:val="fr-FR"/>
        </w:rPr>
        <w:tab/>
      </w:r>
      <w:bookmarkEnd w:id="48"/>
      <w:r w:rsidRPr="00866775">
        <w:rPr>
          <w:lang w:val="fr-FR"/>
        </w:rPr>
        <w:t>Paragraphe 9.3.3.13.4 de l</w:t>
      </w:r>
      <w:r w:rsidR="003968B4">
        <w:rPr>
          <w:lang w:val="fr-FR"/>
        </w:rPr>
        <w:t>’</w:t>
      </w:r>
      <w:r w:rsidRPr="00866775">
        <w:rPr>
          <w:lang w:val="fr-FR"/>
        </w:rPr>
        <w:t>ADN</w:t>
      </w:r>
    </w:p>
    <w:p w14:paraId="0F91C269" w14:textId="77777777" w:rsidR="00866775" w:rsidRPr="00866775" w:rsidRDefault="00866775" w:rsidP="009910F8">
      <w:pPr>
        <w:pStyle w:val="SingleTxtG"/>
        <w:keepNext/>
        <w:keepLines/>
        <w:ind w:left="3402" w:hanging="2268"/>
        <w:rPr>
          <w:lang w:val="fr-FR"/>
        </w:rPr>
      </w:pPr>
      <w:r w:rsidRPr="00866775">
        <w:rPr>
          <w:i/>
          <w:iCs/>
          <w:lang w:val="fr-FR"/>
        </w:rPr>
        <w:t>Document</w:t>
      </w:r>
      <w:r w:rsidR="009910F8">
        <w:rPr>
          <w:i/>
          <w:iCs/>
          <w:lang w:val="fr-FR"/>
        </w:rPr>
        <w:t> </w:t>
      </w:r>
      <w:r w:rsidR="009910F8">
        <w:t>:</w:t>
      </w:r>
      <w:r w:rsidRPr="00866775">
        <w:rPr>
          <w:lang w:val="fr-FR"/>
        </w:rPr>
        <w:t xml:space="preserve"> </w:t>
      </w:r>
      <w:r w:rsidRPr="00866775">
        <w:rPr>
          <w:lang w:val="fr-FR"/>
        </w:rPr>
        <w:tab/>
      </w:r>
      <w:r w:rsidRPr="00866775">
        <w:rPr>
          <w:lang w:val="fr-FR"/>
        </w:rPr>
        <w:tab/>
        <w:t xml:space="preserve">ECE/TRANS/WP.15/AC.2/2020/16 </w:t>
      </w:r>
      <w:r w:rsidR="002320A9">
        <w:rPr>
          <w:lang w:val="fr-FR"/>
        </w:rPr>
        <w:br/>
      </w:r>
      <w:r w:rsidRPr="00866775">
        <w:rPr>
          <w:lang w:val="fr-FR"/>
        </w:rPr>
        <w:t>(Sociétés de classification ADN recommandées)</w:t>
      </w:r>
      <w:r w:rsidR="009910F8">
        <w:rPr>
          <w:lang w:val="fr-FR"/>
        </w:rPr>
        <w:t>.</w:t>
      </w:r>
    </w:p>
    <w:p w14:paraId="65DBDFA7" w14:textId="77777777" w:rsidR="00866775" w:rsidRPr="00866775" w:rsidRDefault="00866775" w:rsidP="00866775">
      <w:pPr>
        <w:pStyle w:val="SingleTxtG"/>
        <w:rPr>
          <w:lang w:val="fr-FR"/>
        </w:rPr>
      </w:pPr>
      <w:r w:rsidRPr="00866775">
        <w:rPr>
          <w:lang w:val="fr-FR"/>
        </w:rPr>
        <w:t>39.</w:t>
      </w:r>
      <w:r w:rsidRPr="00866775">
        <w:rPr>
          <w:lang w:val="fr-FR"/>
        </w:rPr>
        <w:tab/>
        <w:t>Le Comité de sécurité n</w:t>
      </w:r>
      <w:r w:rsidR="003968B4">
        <w:rPr>
          <w:lang w:val="fr-FR"/>
        </w:rPr>
        <w:t>’</w:t>
      </w:r>
      <w:r w:rsidRPr="00866775">
        <w:rPr>
          <w:lang w:val="fr-FR"/>
        </w:rPr>
        <w:t>a pas approuvé la proposition d</w:t>
      </w:r>
      <w:r w:rsidR="003968B4">
        <w:rPr>
          <w:lang w:val="fr-FR"/>
        </w:rPr>
        <w:t>’</w:t>
      </w:r>
      <w:r w:rsidRPr="00866775">
        <w:rPr>
          <w:lang w:val="fr-FR"/>
        </w:rPr>
        <w:t>amendement visant à réintroduire des dispositions transitoires relatives aux prescriptions de stabilité après avarie. Il a été décidé de reprendre l</w:t>
      </w:r>
      <w:r w:rsidR="003968B4">
        <w:rPr>
          <w:lang w:val="fr-FR"/>
        </w:rPr>
        <w:t>’</w:t>
      </w:r>
      <w:r w:rsidRPr="00866775">
        <w:rPr>
          <w:lang w:val="fr-FR"/>
        </w:rPr>
        <w:t xml:space="preserve">examen de cette question à une prochaine session en se fondant sur une version révisée de la proposition. </w:t>
      </w:r>
    </w:p>
    <w:p w14:paraId="3F1FFBA2" w14:textId="77777777" w:rsidR="00866775" w:rsidRPr="00866775" w:rsidRDefault="00866775" w:rsidP="009910F8">
      <w:pPr>
        <w:pStyle w:val="H23G"/>
        <w:rPr>
          <w:lang w:val="fr-FR"/>
        </w:rPr>
      </w:pPr>
      <w:r w:rsidRPr="00866775">
        <w:rPr>
          <w:lang w:val="fr-FR"/>
        </w:rPr>
        <w:tab/>
      </w:r>
      <w:bookmarkStart w:id="49" w:name="_Toc32481658"/>
      <w:r w:rsidRPr="00866775">
        <w:rPr>
          <w:lang w:val="fr-FR"/>
        </w:rPr>
        <w:t>7.</w:t>
      </w:r>
      <w:r w:rsidRPr="00866775">
        <w:rPr>
          <w:lang w:val="fr-FR"/>
        </w:rPr>
        <w:tab/>
      </w:r>
      <w:bookmarkEnd w:id="49"/>
      <w:r w:rsidRPr="00866775">
        <w:rPr>
          <w:lang w:val="fr-FR"/>
        </w:rPr>
        <w:t>Amendements aux modèles de certificats d</w:t>
      </w:r>
      <w:r w:rsidR="003968B4">
        <w:rPr>
          <w:lang w:val="fr-FR"/>
        </w:rPr>
        <w:t>’</w:t>
      </w:r>
      <w:r w:rsidRPr="00866775">
        <w:rPr>
          <w:lang w:val="fr-FR"/>
        </w:rPr>
        <w:t>agrément</w:t>
      </w:r>
    </w:p>
    <w:p w14:paraId="49055A41" w14:textId="77777777" w:rsidR="00866775" w:rsidRPr="00866775" w:rsidRDefault="00866775" w:rsidP="002320A9">
      <w:pPr>
        <w:pStyle w:val="SingleTxtG"/>
        <w:keepNext/>
        <w:keepLines/>
        <w:ind w:left="3402" w:hanging="2268"/>
      </w:pPr>
      <w:r w:rsidRPr="00866775">
        <w:rPr>
          <w:i/>
          <w:iCs/>
        </w:rPr>
        <w:t>Document</w:t>
      </w:r>
      <w:r w:rsidR="009910F8">
        <w:rPr>
          <w:i/>
          <w:iCs/>
        </w:rPr>
        <w:t> </w:t>
      </w:r>
      <w:r w:rsidR="009910F8">
        <w:t>:</w:t>
      </w:r>
      <w:r w:rsidRPr="00866775">
        <w:t xml:space="preserve"> </w:t>
      </w:r>
      <w:r w:rsidRPr="00866775">
        <w:tab/>
      </w:r>
      <w:r w:rsidRPr="00866775">
        <w:tab/>
        <w:t>ECE/TRANS/WP.15/AC.2/2020/19 (France)</w:t>
      </w:r>
      <w:r w:rsidR="009910F8">
        <w:t>.</w:t>
      </w:r>
    </w:p>
    <w:p w14:paraId="6D6458BC" w14:textId="77777777" w:rsidR="00866775" w:rsidRPr="00866775" w:rsidRDefault="00866775" w:rsidP="002320A9">
      <w:pPr>
        <w:pStyle w:val="SingleTxtG"/>
        <w:keepNext/>
        <w:keepLines/>
        <w:ind w:left="3402" w:hanging="2268"/>
        <w:rPr>
          <w:lang w:val="fr-FR"/>
        </w:rPr>
      </w:pPr>
      <w:r w:rsidRPr="00866775">
        <w:rPr>
          <w:i/>
          <w:iCs/>
          <w:lang w:val="fr-FR"/>
        </w:rPr>
        <w:t>Document informel</w:t>
      </w:r>
      <w:r w:rsidR="009910F8">
        <w:rPr>
          <w:i/>
          <w:iCs/>
          <w:lang w:val="fr-FR"/>
        </w:rPr>
        <w:t> </w:t>
      </w:r>
      <w:r w:rsidR="009910F8">
        <w:t>:</w:t>
      </w:r>
      <w:r w:rsidRPr="00866775">
        <w:rPr>
          <w:i/>
          <w:iCs/>
          <w:lang w:val="fr-FR"/>
        </w:rPr>
        <w:t xml:space="preserve"> </w:t>
      </w:r>
      <w:r w:rsidRPr="00866775">
        <w:rPr>
          <w:lang w:val="fr-FR"/>
        </w:rPr>
        <w:tab/>
        <w:t>INF.28 (UENF/OEB)</w:t>
      </w:r>
      <w:r w:rsidR="009910F8">
        <w:rPr>
          <w:lang w:val="fr-FR"/>
        </w:rPr>
        <w:t>.</w:t>
      </w:r>
    </w:p>
    <w:p w14:paraId="3DAD1E6E" w14:textId="77777777" w:rsidR="00866775" w:rsidRPr="00866775" w:rsidRDefault="00866775" w:rsidP="00866775">
      <w:pPr>
        <w:pStyle w:val="SingleTxtG"/>
        <w:rPr>
          <w:lang w:val="fr-FR"/>
        </w:rPr>
      </w:pPr>
      <w:r w:rsidRPr="00866775">
        <w:rPr>
          <w:lang w:val="fr-FR"/>
        </w:rPr>
        <w:t>40.</w:t>
      </w:r>
      <w:r w:rsidRPr="00866775">
        <w:rPr>
          <w:lang w:val="fr-FR"/>
        </w:rPr>
        <w:tab/>
        <w:t>Le Comité de sécurité a adopté la proposition visant à modifier les modèles de certificats d</w:t>
      </w:r>
      <w:r w:rsidR="003968B4">
        <w:rPr>
          <w:lang w:val="fr-FR"/>
        </w:rPr>
        <w:t>’</w:t>
      </w:r>
      <w:r w:rsidRPr="00866775">
        <w:rPr>
          <w:lang w:val="fr-FR"/>
        </w:rPr>
        <w:t>agrément, à l</w:t>
      </w:r>
      <w:r w:rsidR="003968B4">
        <w:rPr>
          <w:lang w:val="fr-FR"/>
        </w:rPr>
        <w:t>’</w:t>
      </w:r>
      <w:r w:rsidRPr="00866775">
        <w:rPr>
          <w:lang w:val="fr-FR"/>
        </w:rPr>
        <w:t>exception de ceux du point 8 relatifs aux systèmes de ventilation, qui seront examinés au cours d</w:t>
      </w:r>
      <w:r w:rsidR="003968B4">
        <w:rPr>
          <w:lang w:val="fr-FR"/>
        </w:rPr>
        <w:t>’</w:t>
      </w:r>
      <w:r w:rsidRPr="00866775">
        <w:rPr>
          <w:lang w:val="fr-FR"/>
        </w:rPr>
        <w:t>une prochaine session (voir annexe I). Il a également été décidé de reporter à une session ultérieure l</w:t>
      </w:r>
      <w:r w:rsidR="003968B4">
        <w:rPr>
          <w:lang w:val="fr-FR"/>
        </w:rPr>
        <w:t>’</w:t>
      </w:r>
      <w:r w:rsidRPr="00866775">
        <w:rPr>
          <w:lang w:val="fr-FR"/>
        </w:rPr>
        <w:t>examen de la proposition formulée dans le document informel INF.28. Le représentant de l</w:t>
      </w:r>
      <w:r w:rsidR="003968B4">
        <w:rPr>
          <w:lang w:val="fr-FR"/>
        </w:rPr>
        <w:t>’</w:t>
      </w:r>
      <w:r w:rsidRPr="00866775">
        <w:rPr>
          <w:lang w:val="fr-FR"/>
        </w:rPr>
        <w:t>Allemagne s</w:t>
      </w:r>
      <w:r w:rsidR="003968B4">
        <w:rPr>
          <w:lang w:val="fr-FR"/>
        </w:rPr>
        <w:t>’</w:t>
      </w:r>
      <w:r w:rsidRPr="00866775">
        <w:rPr>
          <w:lang w:val="fr-FR"/>
        </w:rPr>
        <w:t xml:space="preserve">est déclaré disposé à remanier la proposition pour examen à la prochaine session. </w:t>
      </w:r>
    </w:p>
    <w:p w14:paraId="35753ECC" w14:textId="77777777" w:rsidR="00866775" w:rsidRPr="00866775" w:rsidRDefault="00866775" w:rsidP="009910F8">
      <w:pPr>
        <w:pStyle w:val="H23G"/>
        <w:rPr>
          <w:lang w:val="fr-FR"/>
        </w:rPr>
      </w:pPr>
      <w:r w:rsidRPr="00866775">
        <w:rPr>
          <w:lang w:val="fr-FR"/>
        </w:rPr>
        <w:tab/>
      </w:r>
      <w:bookmarkStart w:id="50" w:name="_Toc32481659"/>
      <w:r w:rsidRPr="00866775">
        <w:rPr>
          <w:lang w:val="fr-FR"/>
        </w:rPr>
        <w:t>8.</w:t>
      </w:r>
      <w:r w:rsidRPr="00866775">
        <w:rPr>
          <w:lang w:val="fr-FR"/>
        </w:rPr>
        <w:tab/>
      </w:r>
      <w:bookmarkEnd w:id="50"/>
      <w:r w:rsidRPr="00866775">
        <w:rPr>
          <w:lang w:val="fr-FR"/>
        </w:rPr>
        <w:t>Paragraphe 1.8.1.2.1 de l</w:t>
      </w:r>
      <w:r w:rsidR="003968B4">
        <w:rPr>
          <w:lang w:val="fr-FR"/>
        </w:rPr>
        <w:t>’</w:t>
      </w:r>
      <w:r w:rsidRPr="00866775">
        <w:rPr>
          <w:lang w:val="fr-FR"/>
        </w:rPr>
        <w:t>ADN − Listes de contrôle normalisées des bateaux</w:t>
      </w:r>
    </w:p>
    <w:p w14:paraId="6DF6F3F8" w14:textId="77777777" w:rsidR="00866775" w:rsidRPr="00866775" w:rsidRDefault="00866775" w:rsidP="002320A9">
      <w:pPr>
        <w:pStyle w:val="SingleTxtG"/>
        <w:keepNext/>
        <w:keepLines/>
        <w:ind w:left="3402" w:hanging="2268"/>
        <w:rPr>
          <w:lang w:val="fr-FR"/>
        </w:rPr>
      </w:pPr>
      <w:r w:rsidRPr="00866775">
        <w:rPr>
          <w:i/>
          <w:iCs/>
          <w:lang w:val="fr-FR"/>
        </w:rPr>
        <w:t>Document</w:t>
      </w:r>
      <w:r w:rsidR="009910F8">
        <w:rPr>
          <w:i/>
          <w:iCs/>
          <w:lang w:val="fr-FR"/>
        </w:rPr>
        <w:t> </w:t>
      </w:r>
      <w:r w:rsidR="009910F8">
        <w:t>:</w:t>
      </w:r>
      <w:r w:rsidRPr="00866775">
        <w:rPr>
          <w:lang w:val="fr-FR"/>
        </w:rPr>
        <w:t xml:space="preserve"> </w:t>
      </w:r>
      <w:r w:rsidRPr="00866775">
        <w:rPr>
          <w:lang w:val="fr-FR"/>
        </w:rPr>
        <w:tab/>
      </w:r>
      <w:r w:rsidRPr="00866775">
        <w:rPr>
          <w:lang w:val="fr-FR"/>
        </w:rPr>
        <w:tab/>
        <w:t xml:space="preserve">ECE/TRANS/WP.15/AC.2/2020/20 </w:t>
      </w:r>
      <w:r w:rsidR="009910F8">
        <w:rPr>
          <w:lang w:val="fr-FR"/>
        </w:rPr>
        <w:br/>
      </w:r>
      <w:r w:rsidRPr="00866775">
        <w:rPr>
          <w:lang w:val="fr-FR"/>
        </w:rPr>
        <w:t>(Allemagne, Autriche et France)</w:t>
      </w:r>
      <w:r w:rsidR="009910F8">
        <w:rPr>
          <w:lang w:val="fr-FR"/>
        </w:rPr>
        <w:t>.</w:t>
      </w:r>
    </w:p>
    <w:p w14:paraId="35FA6575" w14:textId="77777777" w:rsidR="00866775" w:rsidRPr="00866775" w:rsidRDefault="00866775" w:rsidP="00866775">
      <w:pPr>
        <w:pStyle w:val="SingleTxtG"/>
        <w:rPr>
          <w:lang w:val="fr-FR"/>
        </w:rPr>
      </w:pPr>
      <w:r w:rsidRPr="00866775">
        <w:rPr>
          <w:lang w:val="fr-FR"/>
        </w:rPr>
        <w:t>41.</w:t>
      </w:r>
      <w:r w:rsidRPr="00866775">
        <w:rPr>
          <w:lang w:val="fr-FR"/>
        </w:rPr>
        <w:tab/>
        <w:t>Le Comité de sécurité a adopté, telle que modifiée, la proposition de mise à jour des listes de contrôle normalisées des bateaux, conformément au paragraphe 1.8.1.2.1, afin de les mettre en conformité avec les prescriptions de l</w:t>
      </w:r>
      <w:r w:rsidR="003968B4">
        <w:rPr>
          <w:lang w:val="fr-FR"/>
        </w:rPr>
        <w:t>’</w:t>
      </w:r>
      <w:r w:rsidRPr="00866775">
        <w:rPr>
          <w:lang w:val="fr-FR"/>
        </w:rPr>
        <w:t>ADN applicables à compter du 1</w:t>
      </w:r>
      <w:r w:rsidRPr="00866775">
        <w:rPr>
          <w:vertAlign w:val="superscript"/>
          <w:lang w:val="fr-FR"/>
        </w:rPr>
        <w:t>er</w:t>
      </w:r>
      <w:r w:rsidRPr="00866775">
        <w:rPr>
          <w:lang w:val="fr-FR"/>
        </w:rPr>
        <w:t> janvier 2019 (voir annexe</w:t>
      </w:r>
      <w:r w:rsidR="009910F8">
        <w:rPr>
          <w:lang w:val="fr-FR"/>
        </w:rPr>
        <w:t> </w:t>
      </w:r>
      <w:r w:rsidRPr="00866775">
        <w:rPr>
          <w:lang w:val="fr-FR"/>
        </w:rPr>
        <w:t>II).</w:t>
      </w:r>
    </w:p>
    <w:p w14:paraId="621316CA" w14:textId="77777777" w:rsidR="00866775" w:rsidRPr="00866775" w:rsidRDefault="00866775" w:rsidP="009910F8">
      <w:pPr>
        <w:pStyle w:val="H23G"/>
        <w:rPr>
          <w:lang w:val="fr-FR"/>
        </w:rPr>
      </w:pPr>
      <w:r w:rsidRPr="00866775">
        <w:rPr>
          <w:lang w:val="fr-FR"/>
        </w:rPr>
        <w:tab/>
      </w:r>
      <w:bookmarkStart w:id="51" w:name="_Toc32481660"/>
      <w:r w:rsidRPr="00866775">
        <w:rPr>
          <w:lang w:val="fr-FR"/>
        </w:rPr>
        <w:t>9.</w:t>
      </w:r>
      <w:r w:rsidRPr="00866775">
        <w:rPr>
          <w:lang w:val="fr-FR"/>
        </w:rPr>
        <w:tab/>
      </w:r>
      <w:bookmarkEnd w:id="51"/>
      <w:r w:rsidRPr="00866775">
        <w:rPr>
          <w:lang w:val="fr-FR"/>
        </w:rPr>
        <w:t>Tuyauteries flexibles utilisées pour le GNL</w:t>
      </w:r>
    </w:p>
    <w:p w14:paraId="115E22B2" w14:textId="77777777" w:rsidR="00866775" w:rsidRPr="00866775" w:rsidRDefault="00866775" w:rsidP="002320A9">
      <w:pPr>
        <w:pStyle w:val="SingleTxtG"/>
        <w:keepNext/>
        <w:keepLines/>
        <w:rPr>
          <w:lang w:val="fr-FR"/>
        </w:rPr>
      </w:pPr>
      <w:r w:rsidRPr="00866775">
        <w:rPr>
          <w:i/>
          <w:iCs/>
          <w:lang w:val="fr-FR"/>
        </w:rPr>
        <w:t>Document</w:t>
      </w:r>
      <w:r w:rsidR="009910F8">
        <w:rPr>
          <w:i/>
          <w:iCs/>
          <w:lang w:val="fr-FR"/>
        </w:rPr>
        <w:t> </w:t>
      </w:r>
      <w:r w:rsidR="009910F8">
        <w:t>:</w:t>
      </w:r>
      <w:r w:rsidRPr="00866775">
        <w:rPr>
          <w:lang w:val="fr-FR"/>
        </w:rPr>
        <w:tab/>
      </w:r>
      <w:r w:rsidRPr="00866775">
        <w:rPr>
          <w:lang w:val="fr-FR"/>
        </w:rPr>
        <w:tab/>
      </w:r>
      <w:r w:rsidR="00F445E3">
        <w:rPr>
          <w:lang w:val="fr-FR"/>
        </w:rPr>
        <w:tab/>
      </w:r>
      <w:r w:rsidRPr="00866775">
        <w:rPr>
          <w:lang w:val="fr-FR"/>
        </w:rPr>
        <w:t>ECE/TRANS/WP.15/AC.2/2020/21 (Pays-Bas)</w:t>
      </w:r>
      <w:r w:rsidR="009910F8">
        <w:rPr>
          <w:lang w:val="fr-FR"/>
        </w:rPr>
        <w:t>.</w:t>
      </w:r>
    </w:p>
    <w:p w14:paraId="6365BBF0" w14:textId="77777777" w:rsidR="00866775" w:rsidRPr="00866775" w:rsidRDefault="00866775" w:rsidP="00866775">
      <w:pPr>
        <w:pStyle w:val="SingleTxtG"/>
        <w:rPr>
          <w:lang w:val="fr-FR"/>
        </w:rPr>
      </w:pPr>
      <w:r w:rsidRPr="00866775">
        <w:rPr>
          <w:lang w:val="fr-FR"/>
        </w:rPr>
        <w:t>42.</w:t>
      </w:r>
      <w:r w:rsidRPr="00866775">
        <w:rPr>
          <w:lang w:val="fr-FR"/>
        </w:rPr>
        <w:tab/>
        <w:t>Le Comité de sécurité a adopté les amendements proposés en vue de préciser au chapitre 8.1 les prescriptions relatives aux tuyauteries flexibles utilisées pour le chargement, le déchargement et le soutage du GNL (voir annexe</w:t>
      </w:r>
      <w:r w:rsidR="009910F8">
        <w:rPr>
          <w:lang w:val="fr-FR"/>
        </w:rPr>
        <w:t> </w:t>
      </w:r>
      <w:r w:rsidRPr="00866775">
        <w:rPr>
          <w:lang w:val="fr-FR"/>
        </w:rPr>
        <w:t>I).</w:t>
      </w:r>
    </w:p>
    <w:p w14:paraId="50E7C5A5" w14:textId="77777777" w:rsidR="00866775" w:rsidRPr="00866775" w:rsidRDefault="00866775" w:rsidP="009910F8">
      <w:pPr>
        <w:pStyle w:val="H23G"/>
        <w:rPr>
          <w:lang w:val="fr-FR"/>
        </w:rPr>
      </w:pPr>
      <w:r w:rsidRPr="00866775">
        <w:rPr>
          <w:lang w:val="fr-FR"/>
        </w:rPr>
        <w:tab/>
      </w:r>
      <w:bookmarkStart w:id="52" w:name="_Toc32481661"/>
      <w:r w:rsidRPr="00866775">
        <w:rPr>
          <w:lang w:val="fr-FR"/>
        </w:rPr>
        <w:t>10.</w:t>
      </w:r>
      <w:r w:rsidRPr="00866775">
        <w:rPr>
          <w:lang w:val="fr-FR"/>
        </w:rPr>
        <w:tab/>
      </w:r>
      <w:bookmarkEnd w:id="52"/>
      <w:r w:rsidRPr="00866775">
        <w:rPr>
          <w:lang w:val="fr-FR"/>
        </w:rPr>
        <w:t>Proposition d</w:t>
      </w:r>
      <w:r w:rsidR="003968B4">
        <w:rPr>
          <w:lang w:val="fr-FR"/>
        </w:rPr>
        <w:t>’</w:t>
      </w:r>
      <w:r w:rsidRPr="00866775">
        <w:rPr>
          <w:lang w:val="fr-FR"/>
        </w:rPr>
        <w:t>amendement concernant le numéro</w:t>
      </w:r>
      <w:r w:rsidR="009910F8">
        <w:rPr>
          <w:lang w:val="fr-FR"/>
        </w:rPr>
        <w:t xml:space="preserve"> </w:t>
      </w:r>
      <w:r w:rsidRPr="00866775">
        <w:rPr>
          <w:lang w:val="fr-FR"/>
        </w:rPr>
        <w:t>ONU</w:t>
      </w:r>
      <w:r w:rsidR="009910F8">
        <w:rPr>
          <w:lang w:val="fr-FR"/>
        </w:rPr>
        <w:t> </w:t>
      </w:r>
      <w:r w:rsidRPr="00866775">
        <w:rPr>
          <w:lang w:val="fr-FR"/>
        </w:rPr>
        <w:t xml:space="preserve">2057 </w:t>
      </w:r>
      <w:r w:rsidR="009910F8">
        <w:rPr>
          <w:lang w:val="fr-FR"/>
        </w:rPr>
        <w:br/>
      </w:r>
      <w:r w:rsidRPr="00866775">
        <w:rPr>
          <w:lang w:val="fr-FR"/>
        </w:rPr>
        <w:t>(tripropylène) dans le tableau</w:t>
      </w:r>
      <w:r w:rsidR="001A4465">
        <w:rPr>
          <w:lang w:val="fr-FR"/>
        </w:rPr>
        <w:t> </w:t>
      </w:r>
      <w:r w:rsidRPr="00866775">
        <w:rPr>
          <w:lang w:val="fr-FR"/>
        </w:rPr>
        <w:t>C</w:t>
      </w:r>
    </w:p>
    <w:p w14:paraId="66963483" w14:textId="77777777" w:rsidR="00866775" w:rsidRPr="00F445E3" w:rsidRDefault="00866775" w:rsidP="002320A9">
      <w:pPr>
        <w:pStyle w:val="SingleTxtG"/>
        <w:keepNext/>
        <w:keepLines/>
        <w:rPr>
          <w:i/>
          <w:iCs/>
        </w:rPr>
      </w:pPr>
      <w:r w:rsidRPr="00F445E3">
        <w:rPr>
          <w:i/>
          <w:iCs/>
        </w:rPr>
        <w:t>Document</w:t>
      </w:r>
      <w:r w:rsidR="009910F8" w:rsidRPr="00F445E3">
        <w:rPr>
          <w:i/>
          <w:iCs/>
        </w:rPr>
        <w:t> </w:t>
      </w:r>
      <w:r w:rsidR="009910F8" w:rsidRPr="00F445E3">
        <w:t>:</w:t>
      </w:r>
      <w:r w:rsidRPr="00F445E3">
        <w:t xml:space="preserve"> </w:t>
      </w:r>
      <w:r w:rsidRPr="00F445E3">
        <w:tab/>
      </w:r>
      <w:r w:rsidRPr="00F445E3">
        <w:tab/>
      </w:r>
      <w:r w:rsidR="00F445E3">
        <w:tab/>
      </w:r>
      <w:r w:rsidRPr="00F445E3">
        <w:t>ECE/TRANS/WP.15/AC.2/2019/27 (CEFIC)</w:t>
      </w:r>
      <w:r w:rsidR="009910F8" w:rsidRPr="00F445E3">
        <w:t>.</w:t>
      </w:r>
    </w:p>
    <w:p w14:paraId="2B69832C" w14:textId="77777777" w:rsidR="00866775" w:rsidRPr="002320A9" w:rsidRDefault="00866775" w:rsidP="002320A9">
      <w:pPr>
        <w:pStyle w:val="SingleTxtG"/>
        <w:keepNext/>
        <w:keepLines/>
        <w:rPr>
          <w:iCs/>
          <w:lang w:val="fr-FR"/>
        </w:rPr>
      </w:pPr>
      <w:r w:rsidRPr="00866775">
        <w:rPr>
          <w:i/>
          <w:iCs/>
          <w:lang w:val="fr-FR"/>
        </w:rPr>
        <w:t>Document informel</w:t>
      </w:r>
      <w:r w:rsidR="009910F8">
        <w:rPr>
          <w:i/>
          <w:iCs/>
          <w:lang w:val="fr-FR"/>
        </w:rPr>
        <w:t> </w:t>
      </w:r>
      <w:r w:rsidR="009910F8" w:rsidRPr="002320A9">
        <w:rPr>
          <w:i/>
          <w:iCs/>
          <w:lang w:val="fr-FR"/>
        </w:rPr>
        <w:t>:</w:t>
      </w:r>
      <w:r w:rsidRPr="00866775">
        <w:rPr>
          <w:i/>
          <w:iCs/>
          <w:lang w:val="fr-FR"/>
        </w:rPr>
        <w:t xml:space="preserve"> </w:t>
      </w:r>
      <w:r w:rsidRPr="002320A9">
        <w:rPr>
          <w:i/>
          <w:iCs/>
          <w:lang w:val="fr-FR"/>
        </w:rPr>
        <w:tab/>
      </w:r>
      <w:r w:rsidRPr="002320A9">
        <w:rPr>
          <w:iCs/>
          <w:lang w:val="fr-FR"/>
        </w:rPr>
        <w:t>INF.37 (CEFIC, trente-cinquième session)</w:t>
      </w:r>
      <w:r w:rsidR="009910F8" w:rsidRPr="002320A9">
        <w:rPr>
          <w:iCs/>
          <w:lang w:val="fr-FR"/>
        </w:rPr>
        <w:t>.</w:t>
      </w:r>
    </w:p>
    <w:p w14:paraId="09D9F2F3" w14:textId="77777777" w:rsidR="00866775" w:rsidRPr="00866775" w:rsidRDefault="00866775" w:rsidP="00866775">
      <w:pPr>
        <w:pStyle w:val="SingleTxtG"/>
        <w:rPr>
          <w:lang w:val="fr-FR"/>
        </w:rPr>
      </w:pPr>
      <w:r w:rsidRPr="00866775">
        <w:rPr>
          <w:lang w:val="fr-FR"/>
        </w:rPr>
        <w:t>43.</w:t>
      </w:r>
      <w:r w:rsidRPr="00866775">
        <w:rPr>
          <w:lang w:val="fr-FR"/>
        </w:rPr>
        <w:tab/>
        <w:t>Après avoir rappelé le débat qui avait eu lieu au cours de la précédente session au sujet de l</w:t>
      </w:r>
      <w:r w:rsidR="003968B4">
        <w:rPr>
          <w:lang w:val="fr-FR"/>
        </w:rPr>
        <w:t>’</w:t>
      </w:r>
      <w:r w:rsidRPr="00866775">
        <w:rPr>
          <w:lang w:val="fr-FR"/>
        </w:rPr>
        <w:t>amendement concernant le numéro ONU</w:t>
      </w:r>
      <w:r w:rsidR="009910F8">
        <w:rPr>
          <w:lang w:val="fr-FR"/>
        </w:rPr>
        <w:t> </w:t>
      </w:r>
      <w:r w:rsidRPr="00866775">
        <w:rPr>
          <w:lang w:val="fr-FR"/>
        </w:rPr>
        <w:t>2057 dans le tableau</w:t>
      </w:r>
      <w:r w:rsidR="009910F8">
        <w:rPr>
          <w:lang w:val="fr-FR"/>
        </w:rPr>
        <w:t> </w:t>
      </w:r>
      <w:r w:rsidRPr="00866775">
        <w:rPr>
          <w:lang w:val="fr-FR"/>
        </w:rPr>
        <w:t>C, le Comité de sécurité a adopté les modifications proposées (voir annexe</w:t>
      </w:r>
      <w:r w:rsidR="009910F8">
        <w:rPr>
          <w:lang w:val="fr-FR"/>
        </w:rPr>
        <w:t> </w:t>
      </w:r>
      <w:r w:rsidRPr="00866775">
        <w:rPr>
          <w:lang w:val="fr-FR"/>
        </w:rPr>
        <w:t>I).</w:t>
      </w:r>
    </w:p>
    <w:p w14:paraId="0949FE17" w14:textId="77777777" w:rsidR="00866775" w:rsidRPr="00866775" w:rsidRDefault="00866775" w:rsidP="009910F8">
      <w:pPr>
        <w:pStyle w:val="H23G"/>
        <w:rPr>
          <w:lang w:val="fr-FR"/>
        </w:rPr>
      </w:pPr>
      <w:r w:rsidRPr="00866775">
        <w:rPr>
          <w:lang w:val="fr-FR"/>
        </w:rPr>
        <w:tab/>
      </w:r>
      <w:bookmarkStart w:id="53" w:name="_Toc32481662"/>
      <w:r w:rsidRPr="00866775">
        <w:rPr>
          <w:lang w:val="fr-FR"/>
        </w:rPr>
        <w:t>11.</w:t>
      </w:r>
      <w:r w:rsidRPr="00866775">
        <w:rPr>
          <w:lang w:val="fr-FR"/>
        </w:rPr>
        <w:tab/>
      </w:r>
      <w:bookmarkEnd w:id="53"/>
      <w:r w:rsidRPr="00866775">
        <w:rPr>
          <w:lang w:val="fr-FR"/>
        </w:rPr>
        <w:t xml:space="preserve">Proposition du secrétariat de la Commission du Danube </w:t>
      </w:r>
      <w:r w:rsidRPr="00866775">
        <w:rPr>
          <w:lang w:val="fr-FR"/>
        </w:rPr>
        <w:br/>
        <w:t>concernant l</w:t>
      </w:r>
      <w:r w:rsidR="003968B4">
        <w:rPr>
          <w:lang w:val="fr-FR"/>
        </w:rPr>
        <w:t>’</w:t>
      </w:r>
      <w:r w:rsidRPr="00866775">
        <w:rPr>
          <w:lang w:val="fr-FR"/>
        </w:rPr>
        <w:t>édition 2019 de l</w:t>
      </w:r>
      <w:r w:rsidR="003968B4">
        <w:rPr>
          <w:lang w:val="fr-FR"/>
        </w:rPr>
        <w:t>’</w:t>
      </w:r>
      <w:r w:rsidRPr="00866775">
        <w:rPr>
          <w:lang w:val="fr-FR"/>
        </w:rPr>
        <w:t>ADN</w:t>
      </w:r>
    </w:p>
    <w:p w14:paraId="76A57977" w14:textId="77777777" w:rsidR="00866775" w:rsidRPr="00866775" w:rsidRDefault="00866775" w:rsidP="002320A9">
      <w:pPr>
        <w:pStyle w:val="SingleTxtG"/>
        <w:keepNext/>
        <w:keepLines/>
      </w:pPr>
      <w:r w:rsidRPr="00866775">
        <w:rPr>
          <w:i/>
          <w:iCs/>
        </w:rPr>
        <w:t>Document informel</w:t>
      </w:r>
      <w:r w:rsidR="002320A9">
        <w:rPr>
          <w:i/>
          <w:iCs/>
        </w:rPr>
        <w:t> </w:t>
      </w:r>
      <w:r w:rsidR="002320A9">
        <w:t>:</w:t>
      </w:r>
      <w:r w:rsidRPr="00866775">
        <w:rPr>
          <w:i/>
          <w:iCs/>
        </w:rPr>
        <w:t xml:space="preserve"> </w:t>
      </w:r>
      <w:r w:rsidRPr="00866775">
        <w:tab/>
        <w:t>INF.3 (</w:t>
      </w:r>
      <w:r w:rsidRPr="00866775">
        <w:rPr>
          <w:lang w:val="fr-FR"/>
        </w:rPr>
        <w:t>Commission du Danube</w:t>
      </w:r>
      <w:r w:rsidRPr="00866775">
        <w:t>)</w:t>
      </w:r>
      <w:r w:rsidR="002320A9">
        <w:t>.</w:t>
      </w:r>
    </w:p>
    <w:p w14:paraId="4531C483" w14:textId="77777777" w:rsidR="00866775" w:rsidRPr="00866775" w:rsidRDefault="00866775" w:rsidP="00866775">
      <w:pPr>
        <w:pStyle w:val="SingleTxtG"/>
        <w:rPr>
          <w:lang w:val="fr-FR"/>
        </w:rPr>
      </w:pPr>
      <w:r w:rsidRPr="00866775">
        <w:rPr>
          <w:lang w:val="fr-FR"/>
        </w:rPr>
        <w:t>44.</w:t>
      </w:r>
      <w:r w:rsidRPr="00866775">
        <w:rPr>
          <w:lang w:val="fr-FR"/>
        </w:rPr>
        <w:tab/>
        <w:t>Le Comité de sécurité n</w:t>
      </w:r>
      <w:r w:rsidR="003968B4">
        <w:rPr>
          <w:lang w:val="fr-FR"/>
        </w:rPr>
        <w:t>’</w:t>
      </w:r>
      <w:r w:rsidRPr="00866775">
        <w:rPr>
          <w:lang w:val="fr-FR"/>
        </w:rPr>
        <w:t>a pas adopté la proposition d</w:t>
      </w:r>
      <w:r w:rsidR="003968B4">
        <w:rPr>
          <w:lang w:val="fr-FR"/>
        </w:rPr>
        <w:t>’</w:t>
      </w:r>
      <w:r w:rsidRPr="00866775">
        <w:rPr>
          <w:lang w:val="fr-FR"/>
        </w:rPr>
        <w:t>amendement au chapitre 3.2 de l</w:t>
      </w:r>
      <w:r w:rsidR="003968B4">
        <w:rPr>
          <w:lang w:val="fr-FR"/>
        </w:rPr>
        <w:t>’</w:t>
      </w:r>
      <w:r w:rsidRPr="00866775">
        <w:rPr>
          <w:lang w:val="fr-FR"/>
        </w:rPr>
        <w:t>ADN et a décidé de reprendre l</w:t>
      </w:r>
      <w:r w:rsidR="003968B4">
        <w:rPr>
          <w:lang w:val="fr-FR"/>
        </w:rPr>
        <w:t>’</w:t>
      </w:r>
      <w:r w:rsidRPr="00866775">
        <w:rPr>
          <w:lang w:val="fr-FR"/>
        </w:rPr>
        <w:t>examen de la question au cours d</w:t>
      </w:r>
      <w:r w:rsidR="003968B4">
        <w:rPr>
          <w:lang w:val="fr-FR"/>
        </w:rPr>
        <w:t>’</w:t>
      </w:r>
      <w:r w:rsidRPr="00866775">
        <w:rPr>
          <w:lang w:val="fr-FR"/>
        </w:rPr>
        <w:t>une prochaine session, sur la base d</w:t>
      </w:r>
      <w:r w:rsidR="003968B4">
        <w:rPr>
          <w:lang w:val="fr-FR"/>
        </w:rPr>
        <w:t>’</w:t>
      </w:r>
      <w:r w:rsidRPr="00866775">
        <w:rPr>
          <w:lang w:val="fr-FR"/>
        </w:rPr>
        <w:t>un document officiel.</w:t>
      </w:r>
    </w:p>
    <w:p w14:paraId="214CC037" w14:textId="77777777" w:rsidR="00866775" w:rsidRPr="00866775" w:rsidRDefault="00866775" w:rsidP="002320A9">
      <w:pPr>
        <w:pStyle w:val="H23G"/>
        <w:rPr>
          <w:lang w:val="fr-FR"/>
        </w:rPr>
      </w:pPr>
      <w:r w:rsidRPr="00866775">
        <w:rPr>
          <w:lang w:val="fr-FR"/>
        </w:rPr>
        <w:tab/>
      </w:r>
      <w:bookmarkStart w:id="54" w:name="_Toc32481663"/>
      <w:r w:rsidRPr="00866775">
        <w:rPr>
          <w:lang w:val="fr-FR"/>
        </w:rPr>
        <w:t>12.</w:t>
      </w:r>
      <w:r w:rsidRPr="00866775">
        <w:rPr>
          <w:lang w:val="fr-FR"/>
        </w:rPr>
        <w:tab/>
      </w:r>
      <w:bookmarkEnd w:id="54"/>
      <w:r w:rsidRPr="00866775">
        <w:rPr>
          <w:lang w:val="fr-FR"/>
        </w:rPr>
        <w:t xml:space="preserve">Dégazage </w:t>
      </w:r>
      <w:r w:rsidR="002320A9">
        <w:rPr>
          <w:lang w:val="fr-FR"/>
        </w:rPr>
        <w:t>− </w:t>
      </w:r>
      <w:r w:rsidRPr="00866775">
        <w:rPr>
          <w:lang w:val="fr-FR"/>
        </w:rPr>
        <w:t>utilisation de l</w:t>
      </w:r>
      <w:r w:rsidR="003968B4">
        <w:rPr>
          <w:lang w:val="fr-FR"/>
        </w:rPr>
        <w:t>’</w:t>
      </w:r>
      <w:r w:rsidRPr="00866775">
        <w:rPr>
          <w:lang w:val="fr-FR"/>
        </w:rPr>
        <w:t>ancien terme « </w:t>
      </w:r>
      <w:proofErr w:type="spellStart"/>
      <w:r w:rsidRPr="00866775">
        <w:rPr>
          <w:lang w:val="fr-FR"/>
        </w:rPr>
        <w:t>gas-freeing</w:t>
      </w:r>
      <w:proofErr w:type="spellEnd"/>
      <w:r w:rsidRPr="00866775">
        <w:rPr>
          <w:lang w:val="fr-FR"/>
        </w:rPr>
        <w:t> »</w:t>
      </w:r>
    </w:p>
    <w:p w14:paraId="1876C3AB" w14:textId="77777777" w:rsidR="00866775" w:rsidRPr="00866775" w:rsidRDefault="00866775" w:rsidP="002320A9">
      <w:pPr>
        <w:pStyle w:val="SingleTxtG"/>
        <w:keepNext/>
        <w:keepLines/>
        <w:rPr>
          <w:lang w:val="fr-FR"/>
        </w:rPr>
      </w:pPr>
      <w:r w:rsidRPr="00866775">
        <w:rPr>
          <w:i/>
          <w:iCs/>
          <w:lang w:val="fr-FR"/>
        </w:rPr>
        <w:t>Document informel</w:t>
      </w:r>
      <w:r w:rsidR="002320A9">
        <w:rPr>
          <w:i/>
          <w:iCs/>
          <w:lang w:val="fr-FR"/>
        </w:rPr>
        <w:t> </w:t>
      </w:r>
      <w:r w:rsidR="002320A9">
        <w:t>:</w:t>
      </w:r>
      <w:r w:rsidRPr="00866775">
        <w:rPr>
          <w:i/>
          <w:iCs/>
          <w:lang w:val="fr-FR"/>
        </w:rPr>
        <w:t xml:space="preserve"> </w:t>
      </w:r>
      <w:r w:rsidRPr="00866775">
        <w:rPr>
          <w:lang w:val="fr-FR"/>
        </w:rPr>
        <w:tab/>
        <w:t>INF.6 (Pays-Bas)</w:t>
      </w:r>
      <w:r w:rsidR="002320A9">
        <w:rPr>
          <w:lang w:val="fr-FR"/>
        </w:rPr>
        <w:t>.</w:t>
      </w:r>
    </w:p>
    <w:p w14:paraId="1F3D27C0" w14:textId="77777777" w:rsidR="00866775" w:rsidRPr="00866775" w:rsidRDefault="00866775" w:rsidP="00866775">
      <w:pPr>
        <w:pStyle w:val="SingleTxtG"/>
        <w:rPr>
          <w:lang w:val="fr-FR"/>
        </w:rPr>
      </w:pPr>
      <w:r w:rsidRPr="00866775">
        <w:rPr>
          <w:lang w:val="fr-FR"/>
        </w:rPr>
        <w:t>45.</w:t>
      </w:r>
      <w:r w:rsidRPr="00866775">
        <w:rPr>
          <w:lang w:val="fr-FR"/>
        </w:rPr>
        <w:tab/>
        <w:t>Pour donner suite à un amendement précédemment adopté qui visait  à employer dans la version anglaise de l</w:t>
      </w:r>
      <w:r w:rsidR="003968B4">
        <w:rPr>
          <w:lang w:val="fr-FR"/>
        </w:rPr>
        <w:t>’</w:t>
      </w:r>
      <w:r w:rsidRPr="00866775">
        <w:rPr>
          <w:lang w:val="fr-FR"/>
        </w:rPr>
        <w:t>ADN les termes « </w:t>
      </w:r>
      <w:proofErr w:type="spellStart"/>
      <w:r w:rsidRPr="00866775">
        <w:rPr>
          <w:lang w:val="fr-FR"/>
        </w:rPr>
        <w:t>degassing</w:t>
      </w:r>
      <w:proofErr w:type="spellEnd"/>
      <w:r w:rsidRPr="00866775">
        <w:rPr>
          <w:lang w:val="fr-FR"/>
        </w:rPr>
        <w:t>/</w:t>
      </w:r>
      <w:proofErr w:type="spellStart"/>
      <w:r w:rsidRPr="00866775">
        <w:rPr>
          <w:lang w:val="fr-FR"/>
        </w:rPr>
        <w:t>degassed</w:t>
      </w:r>
      <w:proofErr w:type="spellEnd"/>
      <w:r w:rsidRPr="00866775">
        <w:rPr>
          <w:lang w:val="fr-FR"/>
        </w:rPr>
        <w:t xml:space="preserve"> » au lieu de </w:t>
      </w:r>
      <w:r w:rsidRPr="00866775">
        <w:rPr>
          <w:lang w:val="fr-FR"/>
        </w:rPr>
        <w:lastRenderedPageBreak/>
        <w:t>« </w:t>
      </w:r>
      <w:proofErr w:type="spellStart"/>
      <w:r w:rsidRPr="00866775">
        <w:rPr>
          <w:lang w:val="fr-FR"/>
        </w:rPr>
        <w:t>gas</w:t>
      </w:r>
      <w:r w:rsidRPr="00866775">
        <w:rPr>
          <w:lang w:val="fr-FR"/>
        </w:rPr>
        <w:noBreakHyphen/>
        <w:t>freeing</w:t>
      </w:r>
      <w:proofErr w:type="spellEnd"/>
      <w:r w:rsidRPr="00866775">
        <w:rPr>
          <w:lang w:val="fr-FR"/>
        </w:rPr>
        <w:t>/</w:t>
      </w:r>
      <w:proofErr w:type="spellStart"/>
      <w:r w:rsidRPr="00866775">
        <w:rPr>
          <w:lang w:val="fr-FR"/>
        </w:rPr>
        <w:t>gas-freed</w:t>
      </w:r>
      <w:proofErr w:type="spellEnd"/>
      <w:r w:rsidRPr="00866775">
        <w:rPr>
          <w:lang w:val="fr-FR"/>
        </w:rPr>
        <w:t> », le Comité de sécurité a adopté les corrections proposées dans le document informel INF.6 (voir annexe</w:t>
      </w:r>
      <w:r w:rsidR="00E05CE9">
        <w:rPr>
          <w:lang w:val="fr-FR"/>
        </w:rPr>
        <w:t> </w:t>
      </w:r>
      <w:r w:rsidRPr="00866775">
        <w:rPr>
          <w:lang w:val="fr-FR"/>
        </w:rPr>
        <w:t>III).</w:t>
      </w:r>
    </w:p>
    <w:p w14:paraId="082AC62C" w14:textId="77777777" w:rsidR="00866775" w:rsidRPr="00866775" w:rsidRDefault="00866775" w:rsidP="001A4465">
      <w:pPr>
        <w:pStyle w:val="H23G"/>
        <w:rPr>
          <w:lang w:val="fr-FR"/>
        </w:rPr>
      </w:pPr>
      <w:r w:rsidRPr="00866775">
        <w:rPr>
          <w:lang w:val="fr-FR"/>
        </w:rPr>
        <w:tab/>
      </w:r>
      <w:bookmarkStart w:id="55" w:name="_Toc32481664"/>
      <w:r w:rsidRPr="00866775">
        <w:rPr>
          <w:lang w:val="fr-FR"/>
        </w:rPr>
        <w:t>13.</w:t>
      </w:r>
      <w:r w:rsidRPr="00866775">
        <w:rPr>
          <w:lang w:val="fr-FR"/>
        </w:rPr>
        <w:tab/>
      </w:r>
      <w:bookmarkEnd w:id="55"/>
      <w:r w:rsidRPr="00866775">
        <w:rPr>
          <w:lang w:val="fr-FR"/>
        </w:rPr>
        <w:t>Harmonisation des groupes d</w:t>
      </w:r>
      <w:r w:rsidR="003968B4">
        <w:rPr>
          <w:lang w:val="fr-FR"/>
        </w:rPr>
        <w:t>’</w:t>
      </w:r>
      <w:r w:rsidRPr="00866775">
        <w:rPr>
          <w:lang w:val="fr-FR"/>
        </w:rPr>
        <w:t>explosion entre le Recueil IBC et l</w:t>
      </w:r>
      <w:r w:rsidR="003968B4">
        <w:rPr>
          <w:lang w:val="fr-FR"/>
        </w:rPr>
        <w:t>’</w:t>
      </w:r>
      <w:r w:rsidRPr="00866775">
        <w:rPr>
          <w:lang w:val="fr-FR"/>
        </w:rPr>
        <w:t>ADN</w:t>
      </w:r>
    </w:p>
    <w:p w14:paraId="6C013C28" w14:textId="77777777" w:rsidR="00866775" w:rsidRPr="00866775" w:rsidRDefault="00866775" w:rsidP="00866775">
      <w:pPr>
        <w:pStyle w:val="SingleTxtG"/>
        <w:rPr>
          <w:lang w:val="fr-FR"/>
        </w:rPr>
      </w:pPr>
      <w:r w:rsidRPr="00866775">
        <w:rPr>
          <w:i/>
          <w:iCs/>
          <w:lang w:val="fr-FR"/>
        </w:rPr>
        <w:t>Document informel</w:t>
      </w:r>
      <w:r w:rsidR="00E05CE9">
        <w:rPr>
          <w:i/>
          <w:iCs/>
          <w:lang w:val="fr-FR"/>
        </w:rPr>
        <w:t> </w:t>
      </w:r>
      <w:r w:rsidR="00E05CE9">
        <w:t>:</w:t>
      </w:r>
      <w:r w:rsidRPr="00866775">
        <w:rPr>
          <w:i/>
          <w:iCs/>
          <w:lang w:val="fr-FR"/>
        </w:rPr>
        <w:t xml:space="preserve"> </w:t>
      </w:r>
      <w:r w:rsidRPr="00866775">
        <w:rPr>
          <w:lang w:val="fr-FR"/>
        </w:rPr>
        <w:tab/>
        <w:t>INF.21 (CEFIC)</w:t>
      </w:r>
      <w:r w:rsidR="00E05CE9">
        <w:rPr>
          <w:lang w:val="fr-FR"/>
        </w:rPr>
        <w:t>.</w:t>
      </w:r>
    </w:p>
    <w:p w14:paraId="066DB0E3" w14:textId="77777777" w:rsidR="00866775" w:rsidRPr="00866775" w:rsidRDefault="00866775" w:rsidP="00866775">
      <w:pPr>
        <w:pStyle w:val="SingleTxtG"/>
        <w:rPr>
          <w:lang w:val="fr-FR"/>
        </w:rPr>
      </w:pPr>
      <w:r w:rsidRPr="00866775">
        <w:rPr>
          <w:lang w:val="fr-FR"/>
        </w:rPr>
        <w:t>46.</w:t>
      </w:r>
      <w:r w:rsidRPr="00866775">
        <w:rPr>
          <w:lang w:val="fr-FR"/>
        </w:rPr>
        <w:tab/>
        <w:t>Le Comité de sécurité a demandé au groupe de travail informel des matières d</w:t>
      </w:r>
      <w:r w:rsidR="003968B4">
        <w:rPr>
          <w:lang w:val="fr-FR"/>
        </w:rPr>
        <w:t>’</w:t>
      </w:r>
      <w:r w:rsidRPr="00866775">
        <w:rPr>
          <w:lang w:val="fr-FR"/>
        </w:rPr>
        <w:t>examiner les modifications qui pourraient être apportées dans la colonne (16) du tableau C concernant les matières énumérées dans le Recueil IBC.</w:t>
      </w:r>
    </w:p>
    <w:p w14:paraId="3927ACBD" w14:textId="77777777" w:rsidR="00866775" w:rsidRPr="00866775" w:rsidRDefault="00866775" w:rsidP="001A4465">
      <w:pPr>
        <w:pStyle w:val="H23G"/>
        <w:rPr>
          <w:lang w:val="fr-FR"/>
        </w:rPr>
      </w:pPr>
      <w:r w:rsidRPr="00866775">
        <w:rPr>
          <w:lang w:val="fr-FR"/>
        </w:rPr>
        <w:tab/>
      </w:r>
      <w:bookmarkStart w:id="56" w:name="_Toc32481665"/>
      <w:r w:rsidRPr="00866775">
        <w:rPr>
          <w:lang w:val="fr-FR"/>
        </w:rPr>
        <w:t>14.</w:t>
      </w:r>
      <w:r w:rsidRPr="00866775">
        <w:rPr>
          <w:lang w:val="fr-FR"/>
        </w:rPr>
        <w:tab/>
      </w:r>
      <w:bookmarkEnd w:id="56"/>
      <w:r w:rsidRPr="00866775">
        <w:rPr>
          <w:lang w:val="fr-FR"/>
        </w:rPr>
        <w:t>Modification de la colonne (16) du tableau C pour le numéro ONU</w:t>
      </w:r>
      <w:r w:rsidR="00E05CE9">
        <w:rPr>
          <w:lang w:val="fr-FR"/>
        </w:rPr>
        <w:t> </w:t>
      </w:r>
      <w:r w:rsidRPr="00866775">
        <w:rPr>
          <w:lang w:val="fr-FR"/>
        </w:rPr>
        <w:t>2527</w:t>
      </w:r>
    </w:p>
    <w:p w14:paraId="421A91F2" w14:textId="77777777" w:rsidR="00866775" w:rsidRPr="00866775" w:rsidRDefault="00866775" w:rsidP="00866775">
      <w:pPr>
        <w:pStyle w:val="SingleTxtG"/>
        <w:rPr>
          <w:lang w:val="fr-FR"/>
        </w:rPr>
      </w:pPr>
      <w:r w:rsidRPr="00866775">
        <w:rPr>
          <w:i/>
          <w:iCs/>
          <w:lang w:val="fr-FR"/>
        </w:rPr>
        <w:t>Document informel</w:t>
      </w:r>
      <w:r w:rsidR="00E05CE9">
        <w:rPr>
          <w:i/>
          <w:iCs/>
          <w:lang w:val="fr-FR"/>
        </w:rPr>
        <w:t> </w:t>
      </w:r>
      <w:r w:rsidR="00E05CE9">
        <w:t>:</w:t>
      </w:r>
      <w:r w:rsidRPr="00866775">
        <w:rPr>
          <w:i/>
          <w:iCs/>
          <w:lang w:val="fr-FR"/>
        </w:rPr>
        <w:t xml:space="preserve"> </w:t>
      </w:r>
      <w:r w:rsidRPr="00866775">
        <w:rPr>
          <w:lang w:val="fr-FR"/>
        </w:rPr>
        <w:tab/>
        <w:t>INF.22 (CEFIC)</w:t>
      </w:r>
      <w:r w:rsidR="00E05CE9">
        <w:rPr>
          <w:lang w:val="fr-FR"/>
        </w:rPr>
        <w:t>.</w:t>
      </w:r>
    </w:p>
    <w:p w14:paraId="105DCF1A" w14:textId="77777777" w:rsidR="00866775" w:rsidRPr="00866775" w:rsidRDefault="00866775" w:rsidP="00866775">
      <w:pPr>
        <w:pStyle w:val="SingleTxtG"/>
        <w:rPr>
          <w:lang w:val="fr-FR"/>
        </w:rPr>
      </w:pPr>
      <w:r w:rsidRPr="00866775">
        <w:rPr>
          <w:lang w:val="fr-FR"/>
        </w:rPr>
        <w:t>47.</w:t>
      </w:r>
      <w:r w:rsidRPr="00866775">
        <w:rPr>
          <w:lang w:val="fr-FR"/>
        </w:rPr>
        <w:tab/>
        <w:t>Le Comité de sécurité a relevé dans l</w:t>
      </w:r>
      <w:r w:rsidR="003968B4">
        <w:rPr>
          <w:lang w:val="fr-FR"/>
        </w:rPr>
        <w:t>’</w:t>
      </w:r>
      <w:r w:rsidRPr="00866775">
        <w:rPr>
          <w:lang w:val="fr-FR"/>
        </w:rPr>
        <w:t>ADN une lacune concernant l</w:t>
      </w:r>
      <w:r w:rsidR="003968B4">
        <w:rPr>
          <w:lang w:val="fr-FR"/>
        </w:rPr>
        <w:t>’</w:t>
      </w:r>
      <w:r w:rsidRPr="00866775">
        <w:rPr>
          <w:lang w:val="fr-FR"/>
        </w:rPr>
        <w:t>acrylate d</w:t>
      </w:r>
      <w:r w:rsidR="003968B4">
        <w:rPr>
          <w:lang w:val="fr-FR"/>
        </w:rPr>
        <w:t>’</w:t>
      </w:r>
      <w:r w:rsidRPr="00866775">
        <w:rPr>
          <w:lang w:val="fr-FR"/>
        </w:rPr>
        <w:t xml:space="preserve">isobutyle et décidé de renvoyer la proposition de modification de la colonne (16) du tableau C au groupe de travail informel des matières, pour examen et avis. </w:t>
      </w:r>
    </w:p>
    <w:p w14:paraId="79DED848" w14:textId="77777777" w:rsidR="00866775" w:rsidRPr="00866775" w:rsidRDefault="00866775" w:rsidP="001A4465">
      <w:pPr>
        <w:pStyle w:val="H23G"/>
        <w:rPr>
          <w:lang w:val="fr-FR"/>
        </w:rPr>
      </w:pPr>
      <w:r w:rsidRPr="00866775">
        <w:rPr>
          <w:lang w:val="fr-FR"/>
        </w:rPr>
        <w:tab/>
      </w:r>
      <w:bookmarkStart w:id="57" w:name="_Toc32481666"/>
      <w:r w:rsidRPr="00866775">
        <w:rPr>
          <w:lang w:val="fr-FR"/>
        </w:rPr>
        <w:t>15.</w:t>
      </w:r>
      <w:r w:rsidRPr="00866775">
        <w:rPr>
          <w:lang w:val="fr-FR"/>
        </w:rPr>
        <w:tab/>
        <w:t>Corrections dans l</w:t>
      </w:r>
      <w:r w:rsidR="003968B4">
        <w:rPr>
          <w:lang w:val="fr-FR"/>
        </w:rPr>
        <w:t>’</w:t>
      </w:r>
      <w:r w:rsidRPr="00866775">
        <w:rPr>
          <w:lang w:val="fr-FR"/>
        </w:rPr>
        <w:t>édition 2019</w:t>
      </w:r>
      <w:bookmarkEnd w:id="57"/>
      <w:r w:rsidRPr="00866775">
        <w:rPr>
          <w:lang w:val="fr-FR"/>
        </w:rPr>
        <w:t xml:space="preserve"> de l</w:t>
      </w:r>
      <w:r w:rsidR="003968B4">
        <w:rPr>
          <w:lang w:val="fr-FR"/>
        </w:rPr>
        <w:t>’</w:t>
      </w:r>
      <w:r w:rsidRPr="00866775">
        <w:rPr>
          <w:lang w:val="fr-FR"/>
        </w:rPr>
        <w:t>ADN</w:t>
      </w:r>
    </w:p>
    <w:p w14:paraId="751C3911" w14:textId="77777777" w:rsidR="00866775" w:rsidRPr="00866775" w:rsidRDefault="00866775" w:rsidP="00E05CE9">
      <w:pPr>
        <w:pStyle w:val="SingleTxtG"/>
        <w:ind w:left="3402" w:hanging="2268"/>
        <w:rPr>
          <w:lang w:val="fr-FR"/>
        </w:rPr>
      </w:pPr>
      <w:r w:rsidRPr="00866775">
        <w:rPr>
          <w:i/>
          <w:iCs/>
          <w:lang w:val="fr-FR"/>
        </w:rPr>
        <w:t>Document </w:t>
      </w:r>
      <w:r w:rsidRPr="00866775">
        <w:rPr>
          <w:lang w:val="fr-FR"/>
        </w:rPr>
        <w:t xml:space="preserve">: </w:t>
      </w:r>
      <w:r w:rsidRPr="00866775">
        <w:rPr>
          <w:lang w:val="fr-FR"/>
        </w:rPr>
        <w:tab/>
      </w:r>
      <w:r w:rsidRPr="00866775">
        <w:rPr>
          <w:lang w:val="fr-FR"/>
        </w:rPr>
        <w:tab/>
        <w:t xml:space="preserve">ECE/TRANS/WP.15/AC.2/2020/17 </w:t>
      </w:r>
      <w:r w:rsidR="00E05CE9">
        <w:rPr>
          <w:lang w:val="fr-FR"/>
        </w:rPr>
        <w:br/>
      </w:r>
      <w:r w:rsidRPr="00866775">
        <w:rPr>
          <w:lang w:val="fr-FR"/>
        </w:rPr>
        <w:t>(Sociétés de classification ADN recommandées)</w:t>
      </w:r>
      <w:r w:rsidR="00E05CE9">
        <w:rPr>
          <w:lang w:val="fr-FR"/>
        </w:rPr>
        <w:t>.</w:t>
      </w:r>
    </w:p>
    <w:p w14:paraId="56C62534" w14:textId="77777777" w:rsidR="00866775" w:rsidRPr="00866775" w:rsidRDefault="00866775" w:rsidP="00866775">
      <w:pPr>
        <w:pStyle w:val="SingleTxtG"/>
        <w:rPr>
          <w:lang w:val="fr-FR"/>
        </w:rPr>
      </w:pPr>
      <w:r w:rsidRPr="00866775">
        <w:rPr>
          <w:i/>
          <w:iCs/>
          <w:lang w:val="fr-FR"/>
        </w:rPr>
        <w:t>Document informel</w:t>
      </w:r>
      <w:r w:rsidR="00F445E3">
        <w:rPr>
          <w:i/>
          <w:iCs/>
          <w:lang w:val="fr-FR"/>
        </w:rPr>
        <w:t> </w:t>
      </w:r>
      <w:r w:rsidR="00F445E3">
        <w:t>:</w:t>
      </w:r>
      <w:r w:rsidRPr="00866775">
        <w:rPr>
          <w:i/>
          <w:iCs/>
          <w:lang w:val="fr-FR"/>
        </w:rPr>
        <w:t xml:space="preserve"> </w:t>
      </w:r>
      <w:r w:rsidRPr="00866775">
        <w:rPr>
          <w:lang w:val="fr-FR"/>
        </w:rPr>
        <w:tab/>
        <w:t>INF.26 (Autriche)</w:t>
      </w:r>
      <w:r w:rsidR="00E05CE9">
        <w:rPr>
          <w:lang w:val="fr-FR"/>
        </w:rPr>
        <w:t>.</w:t>
      </w:r>
    </w:p>
    <w:p w14:paraId="0A8E289D" w14:textId="77777777" w:rsidR="00866775" w:rsidRPr="00866775" w:rsidRDefault="00866775" w:rsidP="00866775">
      <w:pPr>
        <w:pStyle w:val="SingleTxtG"/>
        <w:rPr>
          <w:lang w:val="fr-FR"/>
        </w:rPr>
      </w:pPr>
      <w:r w:rsidRPr="00866775">
        <w:rPr>
          <w:lang w:val="fr-FR"/>
        </w:rPr>
        <w:t>48.</w:t>
      </w:r>
      <w:r w:rsidRPr="00866775">
        <w:rPr>
          <w:lang w:val="fr-FR"/>
        </w:rPr>
        <w:tab/>
        <w:t>Le Comité de sécurité a adopté l</w:t>
      </w:r>
      <w:r w:rsidR="003968B4">
        <w:rPr>
          <w:lang w:val="fr-FR"/>
        </w:rPr>
        <w:t>’</w:t>
      </w:r>
      <w:r w:rsidRPr="00866775">
        <w:rPr>
          <w:lang w:val="fr-FR"/>
        </w:rPr>
        <w:t>amendement proposé aux chapitres</w:t>
      </w:r>
      <w:r w:rsidR="00E05CE9">
        <w:rPr>
          <w:lang w:val="fr-FR"/>
        </w:rPr>
        <w:t> </w:t>
      </w:r>
      <w:r w:rsidRPr="00866775">
        <w:rPr>
          <w:lang w:val="fr-FR"/>
        </w:rPr>
        <w:t>I et</w:t>
      </w:r>
      <w:r w:rsidR="00E05CE9">
        <w:rPr>
          <w:lang w:val="fr-FR"/>
        </w:rPr>
        <w:t> </w:t>
      </w:r>
      <w:r w:rsidRPr="00866775">
        <w:rPr>
          <w:lang w:val="fr-FR"/>
        </w:rPr>
        <w:t>II du document ECE/TRANS/WP.15/AC.2/2020/17 avec quelques modifications. S</w:t>
      </w:r>
      <w:r w:rsidR="003968B4">
        <w:rPr>
          <w:lang w:val="fr-FR"/>
        </w:rPr>
        <w:t>’</w:t>
      </w:r>
      <w:r w:rsidRPr="00866775">
        <w:rPr>
          <w:lang w:val="fr-FR"/>
        </w:rPr>
        <w:t>agissant des autres changements proposés, le Comité de sécurité a adopté les propositions d</w:t>
      </w:r>
      <w:r w:rsidR="003968B4">
        <w:rPr>
          <w:lang w:val="fr-FR"/>
        </w:rPr>
        <w:t>’</w:t>
      </w:r>
      <w:r w:rsidRPr="00866775">
        <w:rPr>
          <w:lang w:val="fr-FR"/>
        </w:rPr>
        <w:t>amendements qui figurent dans le document informel INF.26 (voir annexe</w:t>
      </w:r>
      <w:r w:rsidR="00E05CE9">
        <w:rPr>
          <w:lang w:val="fr-FR"/>
        </w:rPr>
        <w:t> </w:t>
      </w:r>
      <w:r w:rsidRPr="00866775">
        <w:rPr>
          <w:lang w:val="fr-FR"/>
        </w:rPr>
        <w:t>I).</w:t>
      </w:r>
    </w:p>
    <w:p w14:paraId="0AB8D805" w14:textId="77777777" w:rsidR="00866775" w:rsidRPr="00866775" w:rsidRDefault="00866775" w:rsidP="00E05CE9">
      <w:pPr>
        <w:pStyle w:val="H23G"/>
        <w:rPr>
          <w:lang w:val="fr-FR"/>
        </w:rPr>
      </w:pPr>
      <w:r w:rsidRPr="00866775">
        <w:rPr>
          <w:lang w:val="fr-FR"/>
        </w:rPr>
        <w:tab/>
      </w:r>
      <w:bookmarkStart w:id="58" w:name="_Toc32481667"/>
      <w:r w:rsidRPr="00866775">
        <w:rPr>
          <w:lang w:val="fr-FR"/>
        </w:rPr>
        <w:t>16.</w:t>
      </w:r>
      <w:r w:rsidRPr="00866775">
        <w:rPr>
          <w:lang w:val="fr-FR"/>
        </w:rPr>
        <w:tab/>
        <w:t>Section 1.2.1 de l</w:t>
      </w:r>
      <w:r w:rsidR="003968B4">
        <w:rPr>
          <w:lang w:val="fr-FR"/>
        </w:rPr>
        <w:t>’</w:t>
      </w:r>
      <w:r w:rsidRPr="00866775">
        <w:rPr>
          <w:lang w:val="fr-FR"/>
        </w:rPr>
        <w:t xml:space="preserve">ADN </w:t>
      </w:r>
      <w:r w:rsidR="00E05CE9">
        <w:rPr>
          <w:lang w:val="fr-FR"/>
        </w:rPr>
        <w:t>− </w:t>
      </w:r>
      <w:r w:rsidRPr="00866775">
        <w:rPr>
          <w:lang w:val="fr-FR"/>
        </w:rPr>
        <w:t>Dispositifs de prise d</w:t>
      </w:r>
      <w:r w:rsidR="003968B4">
        <w:rPr>
          <w:lang w:val="fr-FR"/>
        </w:rPr>
        <w:t>’</w:t>
      </w:r>
      <w:r w:rsidRPr="00866775">
        <w:rPr>
          <w:lang w:val="fr-FR"/>
        </w:rPr>
        <w:t>échantillons</w:t>
      </w:r>
      <w:bookmarkEnd w:id="58"/>
    </w:p>
    <w:p w14:paraId="7043E824" w14:textId="77777777" w:rsidR="00866775" w:rsidRPr="00866775" w:rsidRDefault="00866775" w:rsidP="00866775">
      <w:pPr>
        <w:pStyle w:val="SingleTxtG"/>
        <w:rPr>
          <w:lang w:val="fr-FR"/>
        </w:rPr>
      </w:pPr>
      <w:r w:rsidRPr="00866775">
        <w:rPr>
          <w:i/>
          <w:iCs/>
          <w:lang w:val="fr-FR"/>
        </w:rPr>
        <w:t>Document</w:t>
      </w:r>
      <w:r w:rsidR="00E05CE9">
        <w:rPr>
          <w:i/>
          <w:iCs/>
          <w:lang w:val="fr-FR"/>
        </w:rPr>
        <w:t> </w:t>
      </w:r>
      <w:r w:rsidR="00E05CE9">
        <w:t>:</w:t>
      </w:r>
      <w:r w:rsidRPr="00866775">
        <w:rPr>
          <w:lang w:val="fr-FR"/>
        </w:rPr>
        <w:t xml:space="preserve"> </w:t>
      </w:r>
      <w:r w:rsidRPr="00866775">
        <w:rPr>
          <w:lang w:val="fr-FR"/>
        </w:rPr>
        <w:tab/>
      </w:r>
      <w:r w:rsidRPr="00866775">
        <w:rPr>
          <w:lang w:val="fr-FR"/>
        </w:rPr>
        <w:tab/>
      </w:r>
      <w:r w:rsidR="00F445E3">
        <w:rPr>
          <w:lang w:val="fr-FR"/>
        </w:rPr>
        <w:tab/>
      </w:r>
      <w:r w:rsidRPr="00866775">
        <w:rPr>
          <w:lang w:val="fr-FR"/>
        </w:rPr>
        <w:t>ECE/TRANS/WP.15/AC.2/2020/2 (Autriche et Allemagne)</w:t>
      </w:r>
      <w:r w:rsidR="00E05CE9">
        <w:rPr>
          <w:lang w:val="fr-FR"/>
        </w:rPr>
        <w:t>.</w:t>
      </w:r>
    </w:p>
    <w:p w14:paraId="782DB359" w14:textId="77777777" w:rsidR="00866775" w:rsidRPr="00866775" w:rsidRDefault="00866775" w:rsidP="00866775">
      <w:pPr>
        <w:pStyle w:val="SingleTxtG"/>
        <w:rPr>
          <w:lang w:val="fr-FR"/>
        </w:rPr>
      </w:pPr>
      <w:r w:rsidRPr="00866775">
        <w:rPr>
          <w:i/>
          <w:iCs/>
          <w:lang w:val="fr-FR"/>
        </w:rPr>
        <w:t>Document informel</w:t>
      </w:r>
      <w:r w:rsidR="00E05CE9">
        <w:rPr>
          <w:i/>
          <w:iCs/>
          <w:lang w:val="fr-FR"/>
        </w:rPr>
        <w:t> </w:t>
      </w:r>
      <w:r w:rsidR="00E05CE9">
        <w:t>:</w:t>
      </w:r>
      <w:r w:rsidRPr="00866775">
        <w:rPr>
          <w:i/>
          <w:iCs/>
          <w:lang w:val="fr-FR"/>
        </w:rPr>
        <w:t xml:space="preserve"> </w:t>
      </w:r>
      <w:r w:rsidRPr="00866775">
        <w:rPr>
          <w:lang w:val="fr-FR"/>
        </w:rPr>
        <w:tab/>
        <w:t>INF.16 et INF.29 (UENF et OEB)</w:t>
      </w:r>
      <w:r w:rsidR="00E05CE9">
        <w:rPr>
          <w:lang w:val="fr-FR"/>
        </w:rPr>
        <w:t>.</w:t>
      </w:r>
    </w:p>
    <w:p w14:paraId="0C464A5B" w14:textId="77777777" w:rsidR="00866775" w:rsidRPr="00866775" w:rsidRDefault="00866775" w:rsidP="00866775">
      <w:pPr>
        <w:pStyle w:val="SingleTxtG"/>
        <w:rPr>
          <w:lang w:val="fr-FR"/>
        </w:rPr>
      </w:pPr>
      <w:r w:rsidRPr="00866775">
        <w:rPr>
          <w:lang w:val="fr-FR"/>
        </w:rPr>
        <w:t>49.</w:t>
      </w:r>
      <w:r w:rsidRPr="00866775">
        <w:rPr>
          <w:lang w:val="fr-FR"/>
        </w:rPr>
        <w:tab/>
        <w:t>Une fois précisé que l</w:t>
      </w:r>
      <w:r w:rsidR="003968B4">
        <w:rPr>
          <w:lang w:val="fr-FR"/>
        </w:rPr>
        <w:t>’</w:t>
      </w:r>
      <w:r w:rsidRPr="00866775">
        <w:rPr>
          <w:lang w:val="fr-FR"/>
        </w:rPr>
        <w:t>amendement proposé dans le document informel INF.29 visait à inclure les bateaux équipés de dispositifs de prise d</w:t>
      </w:r>
      <w:r w:rsidR="003968B4">
        <w:rPr>
          <w:lang w:val="fr-FR"/>
        </w:rPr>
        <w:t>’</w:t>
      </w:r>
      <w:r w:rsidRPr="00866775">
        <w:rPr>
          <w:lang w:val="fr-FR"/>
        </w:rPr>
        <w:t>échantillons au niveau de la tuyauterie de décharge, le Comité de sécurité a adopté les propositions de modification concernant les dispositifs de prise d</w:t>
      </w:r>
      <w:r w:rsidR="003968B4">
        <w:rPr>
          <w:lang w:val="fr-FR"/>
        </w:rPr>
        <w:t>’</w:t>
      </w:r>
      <w:r w:rsidRPr="00866775">
        <w:rPr>
          <w:lang w:val="fr-FR"/>
        </w:rPr>
        <w:t>échantillons à apporter aux paragraphes</w:t>
      </w:r>
      <w:r w:rsidR="00E83E8F">
        <w:rPr>
          <w:lang w:val="fr-FR"/>
        </w:rPr>
        <w:t> </w:t>
      </w:r>
      <w:r w:rsidRPr="00866775">
        <w:rPr>
          <w:lang w:val="fr-FR"/>
        </w:rPr>
        <w:t>7.2.4.16.11 ainsi que 9.3.1.21.1</w:t>
      </w:r>
      <w:r w:rsidR="00990E3F">
        <w:rPr>
          <w:lang w:val="fr-FR"/>
        </w:rPr>
        <w:t> </w:t>
      </w:r>
      <w:r w:rsidRPr="00866775">
        <w:rPr>
          <w:lang w:val="fr-FR"/>
        </w:rPr>
        <w:t>g), 9.3.2.21.1</w:t>
      </w:r>
      <w:r w:rsidR="00990E3F">
        <w:rPr>
          <w:lang w:val="fr-FR"/>
        </w:rPr>
        <w:t> </w:t>
      </w:r>
      <w:r w:rsidRPr="00866775">
        <w:rPr>
          <w:lang w:val="fr-FR"/>
        </w:rPr>
        <w:t>g) et 9.3.3.21.1</w:t>
      </w:r>
      <w:r w:rsidR="00990E3F">
        <w:rPr>
          <w:lang w:val="fr-FR"/>
        </w:rPr>
        <w:t> </w:t>
      </w:r>
      <w:r w:rsidRPr="00866775">
        <w:rPr>
          <w:lang w:val="fr-FR"/>
        </w:rPr>
        <w:t>g) telles que modifiées par le document informel INF.29 (voir annexe I).</w:t>
      </w:r>
    </w:p>
    <w:p w14:paraId="7F9F439F" w14:textId="77777777" w:rsidR="00866775" w:rsidRPr="00866775" w:rsidRDefault="00866775" w:rsidP="00E05CE9">
      <w:pPr>
        <w:pStyle w:val="H23G"/>
        <w:rPr>
          <w:lang w:val="fr-FR"/>
        </w:rPr>
      </w:pPr>
      <w:r w:rsidRPr="00866775">
        <w:rPr>
          <w:lang w:val="fr-FR"/>
        </w:rPr>
        <w:tab/>
      </w:r>
      <w:bookmarkStart w:id="59" w:name="_Toc32481668"/>
      <w:r w:rsidRPr="00866775">
        <w:rPr>
          <w:lang w:val="fr-FR"/>
        </w:rPr>
        <w:t>17.</w:t>
      </w:r>
      <w:r w:rsidRPr="00866775">
        <w:rPr>
          <w:lang w:val="fr-FR"/>
        </w:rPr>
        <w:tab/>
      </w:r>
      <w:bookmarkEnd w:id="59"/>
      <w:r w:rsidRPr="00866775">
        <w:rPr>
          <w:lang w:val="fr-FR"/>
        </w:rPr>
        <w:t xml:space="preserve">Numéro ONU 3082 </w:t>
      </w:r>
      <w:r w:rsidR="00E05CE9">
        <w:rPr>
          <w:lang w:val="fr-FR"/>
        </w:rPr>
        <w:t>− </w:t>
      </w:r>
      <w:r w:rsidRPr="00866775">
        <w:rPr>
          <w:lang w:val="fr-FR"/>
        </w:rPr>
        <w:t>Eau de cale</w:t>
      </w:r>
    </w:p>
    <w:p w14:paraId="1BF21E4E" w14:textId="77777777" w:rsidR="00866775" w:rsidRPr="00866775" w:rsidRDefault="00866775" w:rsidP="00866775">
      <w:pPr>
        <w:pStyle w:val="SingleTxtG"/>
        <w:rPr>
          <w:lang w:val="fr-FR"/>
        </w:rPr>
      </w:pPr>
      <w:r w:rsidRPr="00866775">
        <w:rPr>
          <w:i/>
          <w:iCs/>
          <w:lang w:val="fr-FR"/>
        </w:rPr>
        <w:t>Document</w:t>
      </w:r>
      <w:r w:rsidR="00E05CE9">
        <w:rPr>
          <w:i/>
          <w:iCs/>
          <w:lang w:val="fr-FR"/>
        </w:rPr>
        <w:t> </w:t>
      </w:r>
      <w:r w:rsidR="00E05CE9">
        <w:t>:</w:t>
      </w:r>
      <w:r w:rsidRPr="00866775">
        <w:rPr>
          <w:lang w:val="fr-FR"/>
        </w:rPr>
        <w:t xml:space="preserve"> </w:t>
      </w:r>
      <w:r w:rsidRPr="00866775">
        <w:rPr>
          <w:lang w:val="fr-FR"/>
        </w:rPr>
        <w:tab/>
      </w:r>
      <w:r w:rsidRPr="00866775">
        <w:rPr>
          <w:lang w:val="fr-FR"/>
        </w:rPr>
        <w:tab/>
      </w:r>
      <w:r w:rsidR="00F445E3">
        <w:rPr>
          <w:lang w:val="fr-FR"/>
        </w:rPr>
        <w:tab/>
      </w:r>
      <w:r w:rsidRPr="00866775">
        <w:rPr>
          <w:lang w:val="fr-FR"/>
        </w:rPr>
        <w:t>ECE/TRANS/WP.15/AC.2/2020/7 (Allemagne)</w:t>
      </w:r>
      <w:r w:rsidR="00E05CE9">
        <w:rPr>
          <w:lang w:val="fr-FR"/>
        </w:rPr>
        <w:t>.</w:t>
      </w:r>
    </w:p>
    <w:p w14:paraId="32814D69" w14:textId="77777777" w:rsidR="00866775" w:rsidRPr="00866775" w:rsidRDefault="00866775" w:rsidP="00866775">
      <w:pPr>
        <w:pStyle w:val="SingleTxtG"/>
        <w:rPr>
          <w:lang w:val="fr-FR"/>
        </w:rPr>
      </w:pPr>
      <w:r w:rsidRPr="00866775">
        <w:rPr>
          <w:i/>
          <w:iCs/>
          <w:lang w:val="fr-FR"/>
        </w:rPr>
        <w:t>Document informel</w:t>
      </w:r>
      <w:r w:rsidR="00E05CE9">
        <w:rPr>
          <w:i/>
          <w:iCs/>
          <w:lang w:val="fr-FR"/>
        </w:rPr>
        <w:t> </w:t>
      </w:r>
      <w:r w:rsidR="00E05CE9">
        <w:t>:</w:t>
      </w:r>
      <w:r w:rsidRPr="00866775">
        <w:rPr>
          <w:i/>
          <w:iCs/>
          <w:lang w:val="fr-FR"/>
        </w:rPr>
        <w:t xml:space="preserve"> </w:t>
      </w:r>
      <w:r w:rsidRPr="00866775">
        <w:rPr>
          <w:lang w:val="fr-FR"/>
        </w:rPr>
        <w:tab/>
        <w:t>INF.30 (Allemagne et Pays-Bas)</w:t>
      </w:r>
      <w:r w:rsidR="00E05CE9">
        <w:rPr>
          <w:lang w:val="fr-FR"/>
        </w:rPr>
        <w:t>.</w:t>
      </w:r>
    </w:p>
    <w:p w14:paraId="25837C07" w14:textId="77777777" w:rsidR="00866775" w:rsidRPr="00866775" w:rsidRDefault="00866775" w:rsidP="00866775">
      <w:pPr>
        <w:pStyle w:val="SingleTxtG"/>
        <w:rPr>
          <w:lang w:val="fr-FR"/>
        </w:rPr>
      </w:pPr>
      <w:r w:rsidRPr="00866775">
        <w:rPr>
          <w:lang w:val="fr-FR"/>
        </w:rPr>
        <w:t>50.</w:t>
      </w:r>
      <w:r w:rsidRPr="00866775">
        <w:rPr>
          <w:lang w:val="fr-FR"/>
        </w:rPr>
        <w:tab/>
        <w:t>Le Comité de sécurité a adopté les amendements proposés en vue d</w:t>
      </w:r>
      <w:r w:rsidR="003968B4">
        <w:rPr>
          <w:lang w:val="fr-FR"/>
        </w:rPr>
        <w:t>’</w:t>
      </w:r>
      <w:r w:rsidRPr="00866775">
        <w:rPr>
          <w:lang w:val="fr-FR"/>
        </w:rPr>
        <w:t>ajouter une nouvelle rubrique au tableau C pour le numéro ONU 3082 (EAU DE CALE, CONTIENT DES BOUES) tels que modifiés par le document informel INF.30 avec quelques corrections (voir annexe I).</w:t>
      </w:r>
    </w:p>
    <w:p w14:paraId="4039EBF0" w14:textId="77777777" w:rsidR="00866775" w:rsidRPr="00866775" w:rsidRDefault="00866775" w:rsidP="00E05CE9">
      <w:pPr>
        <w:pStyle w:val="H23G"/>
        <w:rPr>
          <w:lang w:val="fr-FR"/>
        </w:rPr>
      </w:pPr>
      <w:r w:rsidRPr="00866775">
        <w:rPr>
          <w:lang w:val="fr-FR"/>
        </w:rPr>
        <w:tab/>
      </w:r>
      <w:bookmarkStart w:id="60" w:name="_Toc32481669"/>
      <w:r w:rsidRPr="00866775">
        <w:rPr>
          <w:lang w:val="fr-FR"/>
        </w:rPr>
        <w:t>18.</w:t>
      </w:r>
      <w:r w:rsidRPr="00866775">
        <w:rPr>
          <w:lang w:val="fr-FR"/>
        </w:rPr>
        <w:tab/>
      </w:r>
      <w:bookmarkEnd w:id="60"/>
      <w:r w:rsidRPr="00866775">
        <w:rPr>
          <w:lang w:val="fr-FR"/>
        </w:rPr>
        <w:t>Modifications du paragraphe</w:t>
      </w:r>
      <w:r w:rsidR="00E83E8F">
        <w:rPr>
          <w:lang w:val="fr-FR"/>
        </w:rPr>
        <w:t> </w:t>
      </w:r>
      <w:r w:rsidRPr="00866775">
        <w:rPr>
          <w:lang w:val="fr-FR"/>
        </w:rPr>
        <w:t>7.1.4.1</w:t>
      </w:r>
      <w:r w:rsidR="00E05CE9">
        <w:rPr>
          <w:lang w:val="fr-FR"/>
        </w:rPr>
        <w:t> :</w:t>
      </w:r>
      <w:r w:rsidRPr="00866775">
        <w:rPr>
          <w:lang w:val="fr-FR"/>
        </w:rPr>
        <w:t xml:space="preserve"> Limitations des quantités transportées</w:t>
      </w:r>
    </w:p>
    <w:p w14:paraId="091D3666" w14:textId="77777777" w:rsidR="00866775" w:rsidRPr="00866775" w:rsidRDefault="00866775" w:rsidP="00866775">
      <w:pPr>
        <w:pStyle w:val="SingleTxtG"/>
        <w:rPr>
          <w:lang w:val="fr-FR"/>
        </w:rPr>
      </w:pPr>
      <w:r w:rsidRPr="00866775">
        <w:rPr>
          <w:i/>
          <w:iCs/>
          <w:lang w:val="fr-FR"/>
        </w:rPr>
        <w:t>Document</w:t>
      </w:r>
      <w:r w:rsidR="00E05CE9">
        <w:rPr>
          <w:i/>
          <w:iCs/>
          <w:lang w:val="fr-FR"/>
        </w:rPr>
        <w:t> </w:t>
      </w:r>
      <w:r w:rsidR="00E05CE9">
        <w:t>:</w:t>
      </w:r>
      <w:r w:rsidRPr="00866775">
        <w:rPr>
          <w:lang w:val="fr-FR"/>
        </w:rPr>
        <w:t xml:space="preserve"> </w:t>
      </w:r>
      <w:r w:rsidRPr="00866775">
        <w:rPr>
          <w:lang w:val="fr-FR"/>
        </w:rPr>
        <w:tab/>
      </w:r>
      <w:r w:rsidRPr="00866775">
        <w:rPr>
          <w:lang w:val="fr-FR"/>
        </w:rPr>
        <w:tab/>
      </w:r>
      <w:r w:rsidR="00E83E8F">
        <w:rPr>
          <w:lang w:val="fr-FR"/>
        </w:rPr>
        <w:tab/>
      </w:r>
      <w:r w:rsidRPr="00866775">
        <w:rPr>
          <w:lang w:val="fr-FR"/>
        </w:rPr>
        <w:t>ECE/TRANS/WP.15/AC.2/2020/13 (UENF et OEB)</w:t>
      </w:r>
      <w:r w:rsidR="00E05CE9">
        <w:rPr>
          <w:lang w:val="fr-FR"/>
        </w:rPr>
        <w:t>.</w:t>
      </w:r>
    </w:p>
    <w:p w14:paraId="40BCA339" w14:textId="100DB079" w:rsidR="00866775" w:rsidRPr="00866775" w:rsidRDefault="00866775" w:rsidP="00866775">
      <w:pPr>
        <w:pStyle w:val="SingleTxtG"/>
        <w:rPr>
          <w:lang w:val="fr-FR"/>
        </w:rPr>
      </w:pPr>
      <w:r w:rsidRPr="00866775">
        <w:rPr>
          <w:i/>
          <w:iCs/>
          <w:lang w:val="fr-FR"/>
        </w:rPr>
        <w:t>Document</w:t>
      </w:r>
      <w:r w:rsidR="00E83E8F">
        <w:rPr>
          <w:i/>
          <w:iCs/>
          <w:lang w:val="fr-FR"/>
        </w:rPr>
        <w:t>s</w:t>
      </w:r>
      <w:r w:rsidRPr="00866775">
        <w:rPr>
          <w:i/>
          <w:iCs/>
          <w:lang w:val="fr-FR"/>
        </w:rPr>
        <w:t xml:space="preserve"> informel</w:t>
      </w:r>
      <w:r w:rsidR="00E83E8F">
        <w:rPr>
          <w:i/>
          <w:iCs/>
          <w:lang w:val="fr-FR"/>
        </w:rPr>
        <w:t>s </w:t>
      </w:r>
      <w:r w:rsidR="00E83E8F" w:rsidRPr="00E83E8F">
        <w:t>:</w:t>
      </w:r>
      <w:r w:rsidRPr="00866775">
        <w:rPr>
          <w:i/>
          <w:iCs/>
          <w:lang w:val="fr-FR"/>
        </w:rPr>
        <w:t xml:space="preserve"> </w:t>
      </w:r>
      <w:r w:rsidRPr="00866775">
        <w:rPr>
          <w:lang w:val="fr-FR"/>
        </w:rPr>
        <w:tab/>
        <w:t>INF.18 (Secrétariat) et INF.27 (UENF et OEB)</w:t>
      </w:r>
      <w:r w:rsidR="00E05CE9">
        <w:rPr>
          <w:lang w:val="fr-FR"/>
        </w:rPr>
        <w:t>.</w:t>
      </w:r>
    </w:p>
    <w:p w14:paraId="1FCE9614" w14:textId="77777777" w:rsidR="00866775" w:rsidRPr="00866775" w:rsidRDefault="00866775" w:rsidP="00866775">
      <w:pPr>
        <w:pStyle w:val="SingleTxtG"/>
        <w:rPr>
          <w:lang w:val="fr-FR"/>
        </w:rPr>
      </w:pPr>
      <w:r w:rsidRPr="00866775">
        <w:rPr>
          <w:lang w:val="fr-FR"/>
        </w:rPr>
        <w:t>51.</w:t>
      </w:r>
      <w:r w:rsidRPr="00866775">
        <w:rPr>
          <w:lang w:val="fr-FR"/>
        </w:rPr>
        <w:tab/>
        <w:t>Le Comité de sécurité s</w:t>
      </w:r>
      <w:r w:rsidR="003968B4">
        <w:rPr>
          <w:lang w:val="fr-FR"/>
        </w:rPr>
        <w:t>’</w:t>
      </w:r>
      <w:r w:rsidRPr="00866775">
        <w:rPr>
          <w:lang w:val="fr-FR"/>
        </w:rPr>
        <w:t>est félicité de la proposition de préciser le contenu du paragraphe 7.1.4.1 et a adopté les amendements proposés tels qu</w:t>
      </w:r>
      <w:r w:rsidR="003968B4">
        <w:rPr>
          <w:lang w:val="fr-FR"/>
        </w:rPr>
        <w:t>’</w:t>
      </w:r>
      <w:r w:rsidRPr="00866775">
        <w:rPr>
          <w:lang w:val="fr-FR"/>
        </w:rPr>
        <w:t>ils apparaissent dans le document informel INF.27 avec quelques corrections (voir annexe</w:t>
      </w:r>
      <w:r w:rsidR="00E05CE9">
        <w:rPr>
          <w:lang w:val="fr-FR"/>
        </w:rPr>
        <w:t> </w:t>
      </w:r>
      <w:r w:rsidRPr="00866775">
        <w:rPr>
          <w:lang w:val="fr-FR"/>
        </w:rPr>
        <w:t>I).</w:t>
      </w:r>
    </w:p>
    <w:p w14:paraId="536044F9" w14:textId="77777777" w:rsidR="00866775" w:rsidRPr="00866775" w:rsidRDefault="00866775" w:rsidP="00E05CE9">
      <w:pPr>
        <w:pStyle w:val="H23G"/>
        <w:rPr>
          <w:lang w:val="fr-FR"/>
        </w:rPr>
      </w:pPr>
      <w:r w:rsidRPr="00866775">
        <w:rPr>
          <w:lang w:val="fr-FR"/>
        </w:rPr>
        <w:lastRenderedPageBreak/>
        <w:tab/>
      </w:r>
      <w:bookmarkStart w:id="61" w:name="_Toc32481670"/>
      <w:r w:rsidRPr="00866775">
        <w:rPr>
          <w:lang w:val="fr-FR"/>
        </w:rPr>
        <w:t>19.</w:t>
      </w:r>
      <w:r w:rsidRPr="00866775">
        <w:rPr>
          <w:lang w:val="fr-FR"/>
        </w:rPr>
        <w:tab/>
      </w:r>
      <w:bookmarkEnd w:id="61"/>
      <w:r w:rsidRPr="00866775">
        <w:rPr>
          <w:lang w:val="fr-FR"/>
        </w:rPr>
        <w:t>Amendements au chapitre 7.2 de l</w:t>
      </w:r>
      <w:r w:rsidR="003968B4">
        <w:rPr>
          <w:lang w:val="fr-FR"/>
        </w:rPr>
        <w:t>’</w:t>
      </w:r>
      <w:r w:rsidRPr="00866775">
        <w:rPr>
          <w:lang w:val="fr-FR"/>
        </w:rPr>
        <w:t>ADN</w:t>
      </w:r>
    </w:p>
    <w:p w14:paraId="2F42D7C7" w14:textId="77777777" w:rsidR="00866775" w:rsidRPr="00866775" w:rsidRDefault="00866775" w:rsidP="00E05CE9">
      <w:pPr>
        <w:pStyle w:val="SingleTxtG"/>
        <w:keepNext/>
        <w:keepLines/>
        <w:ind w:left="3402" w:hanging="2268"/>
        <w:jc w:val="left"/>
        <w:rPr>
          <w:lang w:val="fr-FR"/>
        </w:rPr>
      </w:pPr>
      <w:r w:rsidRPr="00866775">
        <w:rPr>
          <w:i/>
          <w:iCs/>
          <w:lang w:val="fr-FR"/>
        </w:rPr>
        <w:t>Document</w:t>
      </w:r>
      <w:r w:rsidR="00E83E8F">
        <w:rPr>
          <w:i/>
          <w:iCs/>
          <w:lang w:val="fr-FR"/>
        </w:rPr>
        <w:t>s</w:t>
      </w:r>
      <w:r w:rsidR="00E05CE9">
        <w:rPr>
          <w:i/>
          <w:iCs/>
          <w:lang w:val="fr-FR"/>
        </w:rPr>
        <w:t> </w:t>
      </w:r>
      <w:r w:rsidR="00E05CE9">
        <w:t>:</w:t>
      </w:r>
      <w:r w:rsidRPr="00866775">
        <w:rPr>
          <w:lang w:val="fr-FR"/>
        </w:rPr>
        <w:tab/>
      </w:r>
      <w:r w:rsidRPr="00866775">
        <w:rPr>
          <w:lang w:val="fr-FR"/>
        </w:rPr>
        <w:tab/>
        <w:t>ECE/TRANS/WP.15/AC.2/2020/3 (Allemagne)</w:t>
      </w:r>
      <w:r w:rsidRPr="00866775">
        <w:rPr>
          <w:lang w:val="fr-FR"/>
        </w:rPr>
        <w:br/>
        <w:t>ECE/TRANS/WP.15/AC.2/2020/4 (Allemagne)</w:t>
      </w:r>
      <w:r w:rsidRPr="00866775">
        <w:rPr>
          <w:lang w:val="fr-FR"/>
        </w:rPr>
        <w:br/>
        <w:t>ECE/TRANS/WP.15/AC.2/2020/5 (Allemagne)</w:t>
      </w:r>
      <w:r w:rsidRPr="00866775">
        <w:rPr>
          <w:lang w:val="fr-FR"/>
        </w:rPr>
        <w:br/>
        <w:t>ECE/TRANS/WP.15/AC.2/2020/6 (Allemagne)</w:t>
      </w:r>
    </w:p>
    <w:p w14:paraId="325CC689" w14:textId="77777777" w:rsidR="00866775" w:rsidRPr="00866775" w:rsidRDefault="00866775" w:rsidP="00866775">
      <w:pPr>
        <w:pStyle w:val="SingleTxtG"/>
        <w:rPr>
          <w:lang w:val="fr-FR"/>
        </w:rPr>
      </w:pPr>
      <w:r w:rsidRPr="00866775">
        <w:rPr>
          <w:lang w:val="fr-FR"/>
        </w:rPr>
        <w:t>52.</w:t>
      </w:r>
      <w:r w:rsidRPr="00866775">
        <w:rPr>
          <w:lang w:val="fr-FR"/>
        </w:rPr>
        <w:tab/>
        <w:t>Le Comité de sécurité a décidé de reporter à sa prochaine session d</w:t>
      </w:r>
      <w:r w:rsidR="003968B4">
        <w:rPr>
          <w:lang w:val="fr-FR"/>
        </w:rPr>
        <w:t>’</w:t>
      </w:r>
      <w:r w:rsidRPr="00866775">
        <w:rPr>
          <w:lang w:val="fr-FR"/>
        </w:rPr>
        <w:t>août 2020 l</w:t>
      </w:r>
      <w:r w:rsidR="003968B4">
        <w:rPr>
          <w:lang w:val="fr-FR"/>
        </w:rPr>
        <w:t>’</w:t>
      </w:r>
      <w:r w:rsidRPr="00866775">
        <w:rPr>
          <w:lang w:val="fr-FR"/>
        </w:rPr>
        <w:t>examen des propositions visant à modifier le chapitre</w:t>
      </w:r>
      <w:r w:rsidR="00E05CE9">
        <w:rPr>
          <w:lang w:val="fr-FR"/>
        </w:rPr>
        <w:t> </w:t>
      </w:r>
      <w:r w:rsidRPr="00866775">
        <w:rPr>
          <w:lang w:val="fr-FR"/>
        </w:rPr>
        <w:t>7.2.</w:t>
      </w:r>
    </w:p>
    <w:p w14:paraId="2C39360F" w14:textId="77777777" w:rsidR="00866775" w:rsidRPr="00866775" w:rsidRDefault="00866775" w:rsidP="00E05CE9">
      <w:pPr>
        <w:pStyle w:val="H1G"/>
        <w:rPr>
          <w:lang w:val="fr-FR"/>
        </w:rPr>
      </w:pPr>
      <w:r w:rsidRPr="00866775">
        <w:rPr>
          <w:lang w:val="fr-FR"/>
        </w:rPr>
        <w:tab/>
      </w:r>
      <w:bookmarkStart w:id="62" w:name="_Toc32481671"/>
      <w:r w:rsidRPr="00866775">
        <w:rPr>
          <w:lang w:val="fr-FR"/>
        </w:rPr>
        <w:t>C.</w:t>
      </w:r>
      <w:r w:rsidRPr="00866775">
        <w:rPr>
          <w:lang w:val="fr-FR"/>
        </w:rPr>
        <w:tab/>
      </w:r>
      <w:bookmarkEnd w:id="62"/>
      <w:r w:rsidRPr="00866775">
        <w:rPr>
          <w:lang w:val="fr-FR"/>
        </w:rPr>
        <w:t>Vérification des amendements adoptés lors de sessions précédentes</w:t>
      </w:r>
    </w:p>
    <w:p w14:paraId="29DBB172" w14:textId="77777777" w:rsidR="00866775" w:rsidRPr="00866775" w:rsidRDefault="00866775" w:rsidP="00866775">
      <w:pPr>
        <w:pStyle w:val="SingleTxtG"/>
        <w:rPr>
          <w:lang w:val="fr-FR"/>
        </w:rPr>
      </w:pPr>
      <w:r w:rsidRPr="00866775">
        <w:rPr>
          <w:i/>
          <w:iCs/>
          <w:lang w:val="fr-FR"/>
        </w:rPr>
        <w:t>Document</w:t>
      </w:r>
      <w:r w:rsidR="00E05CE9">
        <w:rPr>
          <w:i/>
          <w:iCs/>
          <w:lang w:val="fr-FR"/>
        </w:rPr>
        <w:t> </w:t>
      </w:r>
      <w:r w:rsidR="00E05CE9">
        <w:t>:</w:t>
      </w:r>
      <w:r w:rsidRPr="00866775">
        <w:rPr>
          <w:lang w:val="fr-FR"/>
        </w:rPr>
        <w:t xml:space="preserve"> </w:t>
      </w:r>
      <w:r w:rsidRPr="00866775">
        <w:rPr>
          <w:lang w:val="fr-FR"/>
        </w:rPr>
        <w:tab/>
      </w:r>
      <w:r w:rsidRPr="00866775">
        <w:rPr>
          <w:lang w:val="fr-FR"/>
        </w:rPr>
        <w:tab/>
      </w:r>
      <w:r w:rsidR="00E83E8F">
        <w:rPr>
          <w:lang w:val="fr-FR"/>
        </w:rPr>
        <w:tab/>
      </w:r>
      <w:r w:rsidRPr="00866775">
        <w:rPr>
          <w:lang w:val="fr-FR"/>
        </w:rPr>
        <w:t>ECE/ADN/2020/1 (Secrétariat)</w:t>
      </w:r>
      <w:r w:rsidR="00E05CE9">
        <w:rPr>
          <w:lang w:val="fr-FR"/>
        </w:rPr>
        <w:t>.</w:t>
      </w:r>
    </w:p>
    <w:p w14:paraId="6C332DA4" w14:textId="77777777" w:rsidR="00866775" w:rsidRPr="00866775" w:rsidRDefault="00866775" w:rsidP="00866775">
      <w:pPr>
        <w:pStyle w:val="SingleTxtG"/>
        <w:rPr>
          <w:lang w:val="fr-FR"/>
        </w:rPr>
      </w:pPr>
      <w:r w:rsidRPr="00866775">
        <w:rPr>
          <w:lang w:val="fr-FR"/>
        </w:rPr>
        <w:t>53.</w:t>
      </w:r>
      <w:r w:rsidRPr="00866775">
        <w:rPr>
          <w:lang w:val="fr-FR"/>
        </w:rPr>
        <w:tab/>
        <w:t>Le Comité de sécurité a adopté les amendements contenus dans le document ECE/ADN/2020/1 avec quelques modifications supplémentaires (voir annexe</w:t>
      </w:r>
      <w:r w:rsidR="00E05CE9">
        <w:rPr>
          <w:lang w:val="fr-FR"/>
        </w:rPr>
        <w:t> </w:t>
      </w:r>
      <w:r w:rsidRPr="00866775">
        <w:rPr>
          <w:lang w:val="fr-FR"/>
        </w:rPr>
        <w:t>I).</w:t>
      </w:r>
    </w:p>
    <w:p w14:paraId="026AD482" w14:textId="77777777" w:rsidR="00866775" w:rsidRPr="00866775" w:rsidRDefault="00866775" w:rsidP="00E05CE9">
      <w:pPr>
        <w:pStyle w:val="HChG"/>
        <w:rPr>
          <w:lang w:val="fr-FR"/>
        </w:rPr>
      </w:pPr>
      <w:r w:rsidRPr="00866775">
        <w:rPr>
          <w:lang w:val="fr-FR"/>
        </w:rPr>
        <w:tab/>
      </w:r>
      <w:bookmarkStart w:id="63" w:name="_Toc32481672"/>
      <w:r w:rsidRPr="00866775">
        <w:rPr>
          <w:lang w:val="fr-FR"/>
        </w:rPr>
        <w:t>VII.</w:t>
      </w:r>
      <w:r w:rsidRPr="00866775">
        <w:rPr>
          <w:lang w:val="fr-FR"/>
        </w:rPr>
        <w:tab/>
        <w:t xml:space="preserve">Rapports des groupes de travail informels </w:t>
      </w:r>
      <w:r w:rsidR="00E05CE9">
        <w:rPr>
          <w:lang w:val="fr-FR"/>
        </w:rPr>
        <w:br/>
      </w:r>
      <w:r w:rsidRPr="00866775">
        <w:rPr>
          <w:lang w:val="fr-FR"/>
        </w:rPr>
        <w:t>(point 6 de l</w:t>
      </w:r>
      <w:r w:rsidR="003968B4">
        <w:rPr>
          <w:lang w:val="fr-FR"/>
        </w:rPr>
        <w:t>’</w:t>
      </w:r>
      <w:r w:rsidRPr="00866775">
        <w:rPr>
          <w:lang w:val="fr-FR"/>
        </w:rPr>
        <w:t>ordre du jour)</w:t>
      </w:r>
      <w:bookmarkEnd w:id="63"/>
    </w:p>
    <w:p w14:paraId="5767304E" w14:textId="77777777" w:rsidR="00866775" w:rsidRPr="00866775" w:rsidRDefault="00866775" w:rsidP="00E05CE9">
      <w:pPr>
        <w:pStyle w:val="H1G"/>
        <w:rPr>
          <w:lang w:val="fr-FR"/>
        </w:rPr>
      </w:pPr>
      <w:r w:rsidRPr="00866775">
        <w:rPr>
          <w:lang w:val="fr-FR"/>
        </w:rPr>
        <w:tab/>
      </w:r>
      <w:bookmarkStart w:id="64" w:name="_Toc32481673"/>
      <w:r w:rsidRPr="00866775">
        <w:rPr>
          <w:lang w:val="fr-FR"/>
        </w:rPr>
        <w:t>A.</w:t>
      </w:r>
      <w:r w:rsidRPr="00866775">
        <w:rPr>
          <w:lang w:val="fr-FR"/>
        </w:rPr>
        <w:tab/>
      </w:r>
      <w:bookmarkEnd w:id="64"/>
      <w:r w:rsidRPr="00866775">
        <w:rPr>
          <w:lang w:val="fr-FR"/>
        </w:rPr>
        <w:t>Rapport de la dix-huitième réunion du groupe de travail informel des</w:t>
      </w:r>
      <w:r w:rsidR="00E05CE9">
        <w:rPr>
          <w:lang w:val="fr-FR"/>
        </w:rPr>
        <w:t> </w:t>
      </w:r>
      <w:r w:rsidRPr="00866775">
        <w:rPr>
          <w:lang w:val="fr-FR"/>
        </w:rPr>
        <w:t>sociétés de classification ADN recommandées</w:t>
      </w:r>
    </w:p>
    <w:p w14:paraId="2CB4F934" w14:textId="77777777" w:rsidR="00866775" w:rsidRPr="00866775" w:rsidRDefault="00866775" w:rsidP="00866775">
      <w:pPr>
        <w:pStyle w:val="SingleTxtG"/>
        <w:rPr>
          <w:lang w:val="fr-FR"/>
        </w:rPr>
      </w:pPr>
      <w:r w:rsidRPr="00866775">
        <w:rPr>
          <w:i/>
          <w:iCs/>
          <w:lang w:val="fr-FR"/>
        </w:rPr>
        <w:t>Document informel</w:t>
      </w:r>
      <w:r w:rsidR="00E05CE9">
        <w:rPr>
          <w:i/>
          <w:iCs/>
          <w:lang w:val="fr-FR"/>
        </w:rPr>
        <w:t> </w:t>
      </w:r>
      <w:r w:rsidR="00E05CE9">
        <w:t>:</w:t>
      </w:r>
      <w:r w:rsidRPr="00866775">
        <w:rPr>
          <w:lang w:val="fr-FR"/>
        </w:rPr>
        <w:tab/>
      </w:r>
      <w:r w:rsidR="00E83E8F">
        <w:rPr>
          <w:lang w:val="fr-FR"/>
        </w:rPr>
        <w:tab/>
      </w:r>
      <w:r w:rsidRPr="00866775">
        <w:rPr>
          <w:lang w:val="fr-FR"/>
        </w:rPr>
        <w:t>INF.9 (Sociétés de classification ADN recommandées)</w:t>
      </w:r>
      <w:r w:rsidR="00E05CE9">
        <w:rPr>
          <w:lang w:val="fr-FR"/>
        </w:rPr>
        <w:t>.</w:t>
      </w:r>
    </w:p>
    <w:p w14:paraId="35C91AB4" w14:textId="77777777" w:rsidR="00866775" w:rsidRPr="00866775" w:rsidRDefault="00866775" w:rsidP="00866775">
      <w:pPr>
        <w:pStyle w:val="SingleTxtG"/>
        <w:rPr>
          <w:lang w:val="fr-FR"/>
        </w:rPr>
      </w:pPr>
      <w:r w:rsidRPr="00866775">
        <w:rPr>
          <w:lang w:val="fr-FR"/>
        </w:rPr>
        <w:t>54.</w:t>
      </w:r>
      <w:r w:rsidRPr="00866775">
        <w:rPr>
          <w:lang w:val="fr-FR"/>
        </w:rPr>
        <w:tab/>
        <w:t>Le Comité de sécurité a pris connaissance avec intérêt du compte rendu de la réunion figurant dans le document informel INF.9 et noté que les sociétés de classification ADN recommandées soumettraient une proposition sur l</w:t>
      </w:r>
      <w:r w:rsidR="003968B4">
        <w:rPr>
          <w:lang w:val="fr-FR"/>
        </w:rPr>
        <w:t>’</w:t>
      </w:r>
      <w:r w:rsidRPr="00866775">
        <w:rPr>
          <w:lang w:val="fr-FR"/>
        </w:rPr>
        <w:t>utilisation des vapeurs issues de l</w:t>
      </w:r>
      <w:r w:rsidR="003968B4">
        <w:rPr>
          <w:lang w:val="fr-FR"/>
        </w:rPr>
        <w:t>’</w:t>
      </w:r>
      <w:r w:rsidRPr="00866775">
        <w:rPr>
          <w:lang w:val="fr-FR"/>
        </w:rPr>
        <w:t>évaporation du GNL comme carburant pour la propulsion des bateaux, pour examen à la prochaine session. Il a été observé que les corrections apportées aux paragraphes 8.1.2.2 et 8.1.2.9 devraient également être prises en compte.</w:t>
      </w:r>
    </w:p>
    <w:p w14:paraId="7F124AEC" w14:textId="77777777" w:rsidR="00866775" w:rsidRPr="00866775" w:rsidRDefault="00866775" w:rsidP="00E05CE9">
      <w:pPr>
        <w:pStyle w:val="H1G"/>
        <w:rPr>
          <w:lang w:val="fr-FR"/>
        </w:rPr>
      </w:pPr>
      <w:r w:rsidRPr="00866775">
        <w:rPr>
          <w:lang w:val="fr-FR"/>
        </w:rPr>
        <w:tab/>
      </w:r>
      <w:bookmarkStart w:id="65" w:name="_Toc32481674"/>
      <w:r w:rsidRPr="00866775">
        <w:rPr>
          <w:lang w:val="fr-FR"/>
        </w:rPr>
        <w:t>B.</w:t>
      </w:r>
      <w:r w:rsidRPr="00866775">
        <w:rPr>
          <w:lang w:val="fr-FR"/>
        </w:rPr>
        <w:tab/>
      </w:r>
      <w:bookmarkEnd w:id="65"/>
      <w:r w:rsidRPr="00866775">
        <w:rPr>
          <w:lang w:val="fr-FR"/>
        </w:rPr>
        <w:t>Rapport du groupe de travail informel des citernes à membrane</w:t>
      </w:r>
    </w:p>
    <w:p w14:paraId="7BD13046" w14:textId="77777777" w:rsidR="00866775" w:rsidRPr="00866775" w:rsidRDefault="00866775" w:rsidP="00E05CE9">
      <w:pPr>
        <w:pStyle w:val="SingleTxtG"/>
        <w:ind w:left="3402" w:hanging="2268"/>
        <w:rPr>
          <w:lang w:val="fr-FR"/>
        </w:rPr>
      </w:pPr>
      <w:r w:rsidRPr="00866775">
        <w:rPr>
          <w:i/>
          <w:iCs/>
          <w:lang w:val="fr-FR"/>
        </w:rPr>
        <w:t>Document</w:t>
      </w:r>
      <w:r w:rsidR="00E05CE9">
        <w:rPr>
          <w:i/>
          <w:iCs/>
          <w:lang w:val="fr-FR"/>
        </w:rPr>
        <w:t> </w:t>
      </w:r>
      <w:r w:rsidR="00E05CE9">
        <w:t>:</w:t>
      </w:r>
      <w:r w:rsidRPr="00866775">
        <w:rPr>
          <w:lang w:val="fr-FR"/>
        </w:rPr>
        <w:t xml:space="preserve"> </w:t>
      </w:r>
      <w:r w:rsidRPr="00866775">
        <w:rPr>
          <w:lang w:val="fr-FR"/>
        </w:rPr>
        <w:tab/>
      </w:r>
      <w:r w:rsidRPr="00866775">
        <w:rPr>
          <w:lang w:val="fr-FR"/>
        </w:rPr>
        <w:tab/>
        <w:t xml:space="preserve">ECE/TRANS/WP.15/AC.2/2020/11 </w:t>
      </w:r>
      <w:r w:rsidR="00E05CE9">
        <w:rPr>
          <w:lang w:val="fr-FR"/>
        </w:rPr>
        <w:br/>
      </w:r>
      <w:r w:rsidRPr="00866775">
        <w:rPr>
          <w:lang w:val="fr-FR"/>
        </w:rPr>
        <w:t>(Belgique, France et Pays-Bas)</w:t>
      </w:r>
      <w:r w:rsidR="00E05CE9">
        <w:rPr>
          <w:lang w:val="fr-FR"/>
        </w:rPr>
        <w:t>.</w:t>
      </w:r>
    </w:p>
    <w:p w14:paraId="2335E70A" w14:textId="77777777" w:rsidR="00866775" w:rsidRPr="00866775" w:rsidRDefault="00866775" w:rsidP="00866775">
      <w:pPr>
        <w:pStyle w:val="SingleTxtG"/>
        <w:rPr>
          <w:lang w:val="fr-FR"/>
        </w:rPr>
      </w:pPr>
      <w:r w:rsidRPr="00866775">
        <w:rPr>
          <w:lang w:val="fr-FR"/>
        </w:rPr>
        <w:t>55.</w:t>
      </w:r>
      <w:r w:rsidRPr="00866775">
        <w:rPr>
          <w:lang w:val="fr-FR"/>
        </w:rPr>
        <w:tab/>
        <w:t>Le Comité de sécurité a accueilli avec intérêt le rapport détaillé de la cinquième réunion du groupe de travail informel des citernes à membrane et a adopté les amendements proposés dans les annexes</w:t>
      </w:r>
      <w:r w:rsidR="00E05CE9">
        <w:rPr>
          <w:lang w:val="fr-FR"/>
        </w:rPr>
        <w:t> </w:t>
      </w:r>
      <w:r w:rsidRPr="00866775">
        <w:rPr>
          <w:lang w:val="fr-FR"/>
        </w:rPr>
        <w:t>I et</w:t>
      </w:r>
      <w:r w:rsidR="00E05CE9">
        <w:rPr>
          <w:lang w:val="fr-FR"/>
        </w:rPr>
        <w:t> </w:t>
      </w:r>
      <w:r w:rsidRPr="00866775">
        <w:rPr>
          <w:lang w:val="fr-FR"/>
        </w:rPr>
        <w:t>II du document ECE/TRANS/WP.15/AC.2/2020/11 moyennant quelques modifications (voir annexe I).</w:t>
      </w:r>
    </w:p>
    <w:p w14:paraId="65ED3CFA" w14:textId="77777777" w:rsidR="00866775" w:rsidRPr="00866775" w:rsidRDefault="00866775" w:rsidP="00866775">
      <w:pPr>
        <w:pStyle w:val="SingleTxtG"/>
        <w:rPr>
          <w:lang w:val="fr-FR"/>
        </w:rPr>
      </w:pPr>
      <w:r w:rsidRPr="00866775">
        <w:rPr>
          <w:lang w:val="fr-FR"/>
        </w:rPr>
        <w:t>56.</w:t>
      </w:r>
      <w:r w:rsidRPr="00866775">
        <w:rPr>
          <w:lang w:val="fr-FR"/>
        </w:rPr>
        <w:tab/>
        <w:t>Il a été décidé de reporter à la prochaine session le débat sur les amendements au paragraphe</w:t>
      </w:r>
      <w:r w:rsidR="00E05CE9">
        <w:rPr>
          <w:lang w:val="fr-FR"/>
        </w:rPr>
        <w:t> </w:t>
      </w:r>
      <w:r w:rsidRPr="00866775">
        <w:rPr>
          <w:lang w:val="fr-FR"/>
        </w:rPr>
        <w:t>9.3.1.18 proposés par la Commission du Danube, concernant le cas où la timonerie est inoccupée. Le représentant de l</w:t>
      </w:r>
      <w:r w:rsidR="003968B4">
        <w:rPr>
          <w:lang w:val="fr-FR"/>
        </w:rPr>
        <w:t>’</w:t>
      </w:r>
      <w:r w:rsidRPr="00866775">
        <w:rPr>
          <w:lang w:val="fr-FR"/>
        </w:rPr>
        <w:t>UENF/de l</w:t>
      </w:r>
      <w:r w:rsidR="003968B4">
        <w:rPr>
          <w:lang w:val="fr-FR"/>
        </w:rPr>
        <w:t>’</w:t>
      </w:r>
      <w:r w:rsidRPr="00866775">
        <w:rPr>
          <w:lang w:val="fr-FR"/>
        </w:rPr>
        <w:t>OEB a signalé que la formulation employée dans la proposition était typique d</w:t>
      </w:r>
      <w:r w:rsidR="003968B4">
        <w:rPr>
          <w:lang w:val="fr-FR"/>
        </w:rPr>
        <w:t>’</w:t>
      </w:r>
      <w:r w:rsidRPr="00866775">
        <w:rPr>
          <w:lang w:val="fr-FR"/>
        </w:rPr>
        <w:t>un texte de l</w:t>
      </w:r>
      <w:r w:rsidR="003968B4">
        <w:rPr>
          <w:lang w:val="fr-FR"/>
        </w:rPr>
        <w:t>’</w:t>
      </w:r>
      <w:r w:rsidRPr="00866775">
        <w:rPr>
          <w:lang w:val="fr-FR"/>
        </w:rPr>
        <w:t>ADN et qu</w:t>
      </w:r>
      <w:r w:rsidR="003968B4">
        <w:rPr>
          <w:lang w:val="fr-FR"/>
        </w:rPr>
        <w:t>’</w:t>
      </w:r>
      <w:r w:rsidRPr="00866775">
        <w:rPr>
          <w:lang w:val="fr-FR"/>
        </w:rPr>
        <w:t>il conviendrait donc de procéder à un examen complet. Le Comité de sécurité a remercié le groupe de travail informel de l</w:t>
      </w:r>
      <w:r w:rsidR="003968B4">
        <w:rPr>
          <w:lang w:val="fr-FR"/>
        </w:rPr>
        <w:t>’</w:t>
      </w:r>
      <w:r w:rsidRPr="00866775">
        <w:rPr>
          <w:lang w:val="fr-FR"/>
        </w:rPr>
        <w:t>excellent travail accompli.</w:t>
      </w:r>
    </w:p>
    <w:p w14:paraId="5949348F" w14:textId="77777777" w:rsidR="00866775" w:rsidRPr="00866775" w:rsidRDefault="00866775" w:rsidP="00E05CE9">
      <w:pPr>
        <w:pStyle w:val="H1G"/>
        <w:rPr>
          <w:lang w:val="fr-FR"/>
        </w:rPr>
      </w:pPr>
      <w:r w:rsidRPr="00866775">
        <w:rPr>
          <w:lang w:val="fr-FR"/>
        </w:rPr>
        <w:tab/>
      </w:r>
      <w:bookmarkStart w:id="66" w:name="_Toc505688453"/>
      <w:bookmarkStart w:id="67" w:name="_Toc32481675"/>
      <w:bookmarkStart w:id="68" w:name="_Hlk32308124"/>
      <w:r w:rsidRPr="00866775">
        <w:rPr>
          <w:lang w:val="fr-FR"/>
        </w:rPr>
        <w:t>C.</w:t>
      </w:r>
      <w:r w:rsidRPr="00866775">
        <w:rPr>
          <w:lang w:val="fr-FR"/>
        </w:rPr>
        <w:tab/>
      </w:r>
      <w:bookmarkEnd w:id="66"/>
      <w:bookmarkEnd w:id="67"/>
      <w:r w:rsidRPr="00866775">
        <w:rPr>
          <w:lang w:val="fr-FR"/>
        </w:rPr>
        <w:t xml:space="preserve">Rapport de la quatrième réunion du groupe de travail informel </w:t>
      </w:r>
      <w:r w:rsidR="00E05CE9">
        <w:rPr>
          <w:lang w:val="fr-FR"/>
        </w:rPr>
        <w:br/>
      </w:r>
      <w:r w:rsidRPr="00866775">
        <w:rPr>
          <w:lang w:val="fr-FR"/>
        </w:rPr>
        <w:t>du mélange de cargaisons à bord des barges</w:t>
      </w:r>
    </w:p>
    <w:p w14:paraId="687247CF" w14:textId="77777777" w:rsidR="00866775" w:rsidRPr="00866775" w:rsidRDefault="00866775" w:rsidP="00866775">
      <w:pPr>
        <w:pStyle w:val="SingleTxtG"/>
        <w:rPr>
          <w:lang w:val="fr-FR"/>
        </w:rPr>
      </w:pPr>
      <w:r w:rsidRPr="00866775">
        <w:rPr>
          <w:i/>
          <w:iCs/>
          <w:lang w:val="fr-FR"/>
        </w:rPr>
        <w:t>Document informel</w:t>
      </w:r>
      <w:r w:rsidR="00E05CE9">
        <w:rPr>
          <w:i/>
          <w:iCs/>
          <w:lang w:val="fr-FR"/>
        </w:rPr>
        <w:t> </w:t>
      </w:r>
      <w:r w:rsidR="00E05CE9">
        <w:t>:</w:t>
      </w:r>
      <w:r w:rsidRPr="00866775">
        <w:rPr>
          <w:lang w:val="fr-FR"/>
        </w:rPr>
        <w:tab/>
      </w:r>
      <w:r w:rsidR="00E83E8F">
        <w:rPr>
          <w:lang w:val="fr-FR"/>
        </w:rPr>
        <w:tab/>
      </w:r>
      <w:r w:rsidRPr="00866775">
        <w:rPr>
          <w:lang w:val="fr-FR"/>
        </w:rPr>
        <w:t>INF.5 (Pays-Bas)</w:t>
      </w:r>
      <w:r w:rsidR="00E05CE9">
        <w:rPr>
          <w:lang w:val="fr-FR"/>
        </w:rPr>
        <w:t>.</w:t>
      </w:r>
    </w:p>
    <w:p w14:paraId="0339C5B1" w14:textId="77777777" w:rsidR="00866775" w:rsidRPr="00866775" w:rsidRDefault="00866775" w:rsidP="00866775">
      <w:pPr>
        <w:pStyle w:val="SingleTxtG"/>
        <w:rPr>
          <w:lang w:val="fr-FR"/>
        </w:rPr>
      </w:pPr>
      <w:r w:rsidRPr="00866775">
        <w:rPr>
          <w:lang w:val="fr-FR"/>
        </w:rPr>
        <w:t>57.</w:t>
      </w:r>
      <w:r w:rsidRPr="00866775">
        <w:rPr>
          <w:lang w:val="fr-FR"/>
        </w:rPr>
        <w:tab/>
        <w:t>Le Comité de sécurité a pris note des résultats de la quatrième réunion du groupe de travail informel du mélange de cargaisons à bord des barges et a encouragé le groupe à poursuivre ses travaux conformément à son mandat. Il a été recommandé de mener les travaux en deux temps : a)</w:t>
      </w:r>
      <w:r w:rsidR="00E05CE9">
        <w:rPr>
          <w:lang w:val="fr-FR"/>
        </w:rPr>
        <w:t> </w:t>
      </w:r>
      <w:r w:rsidRPr="00866775">
        <w:rPr>
          <w:lang w:val="fr-FR"/>
        </w:rPr>
        <w:t>déterminer si l</w:t>
      </w:r>
      <w:r w:rsidR="003968B4">
        <w:rPr>
          <w:lang w:val="fr-FR"/>
        </w:rPr>
        <w:t>’</w:t>
      </w:r>
      <w:r w:rsidRPr="00866775">
        <w:rPr>
          <w:lang w:val="fr-FR"/>
        </w:rPr>
        <w:t>ADN est l</w:t>
      </w:r>
      <w:r w:rsidR="003968B4">
        <w:rPr>
          <w:lang w:val="fr-FR"/>
        </w:rPr>
        <w:t>’</w:t>
      </w:r>
      <w:r w:rsidRPr="00866775">
        <w:rPr>
          <w:lang w:val="fr-FR"/>
        </w:rPr>
        <w:t>instrument juridique approprié en ce qui concerne les prescriptions applicables au mélange de cargaisons à bord des barges</w:t>
      </w:r>
      <w:r w:rsidR="00E05CE9">
        <w:rPr>
          <w:lang w:val="fr-FR"/>
        </w:rPr>
        <w:t> </w:t>
      </w:r>
      <w:r w:rsidRPr="00866775">
        <w:rPr>
          <w:lang w:val="fr-FR"/>
        </w:rPr>
        <w:t xml:space="preserve">; </w:t>
      </w:r>
      <w:r w:rsidRPr="00866775">
        <w:rPr>
          <w:lang w:val="fr-FR"/>
        </w:rPr>
        <w:lastRenderedPageBreak/>
        <w:t>b)</w:t>
      </w:r>
      <w:r w:rsidR="00E05CE9">
        <w:rPr>
          <w:lang w:val="fr-FR"/>
        </w:rPr>
        <w:t> </w:t>
      </w:r>
      <w:r w:rsidRPr="00866775">
        <w:rPr>
          <w:lang w:val="fr-FR"/>
        </w:rPr>
        <w:t>organiser, autant que possible, les activités à mener en parallèle sur les multiples tâches énumérées dans le document informel INF.5. Le Président a invité toutes les parties intéressées à participer aux travaux.</w:t>
      </w:r>
    </w:p>
    <w:bookmarkEnd w:id="68"/>
    <w:p w14:paraId="5A61C395" w14:textId="77777777" w:rsidR="00866775" w:rsidRPr="00866775" w:rsidRDefault="00866775" w:rsidP="00E05CE9">
      <w:pPr>
        <w:pStyle w:val="H1G"/>
        <w:rPr>
          <w:lang w:val="fr-FR"/>
        </w:rPr>
      </w:pPr>
      <w:r w:rsidRPr="00866775">
        <w:rPr>
          <w:lang w:val="fr-FR"/>
        </w:rPr>
        <w:tab/>
      </w:r>
      <w:bookmarkStart w:id="69" w:name="_Toc32481676"/>
      <w:r w:rsidRPr="00866775">
        <w:rPr>
          <w:lang w:val="fr-FR"/>
        </w:rPr>
        <w:t>D.</w:t>
      </w:r>
      <w:r w:rsidRPr="00866775">
        <w:rPr>
          <w:lang w:val="fr-FR"/>
        </w:rPr>
        <w:tab/>
      </w:r>
      <w:bookmarkEnd w:id="69"/>
      <w:r w:rsidRPr="00866775">
        <w:rPr>
          <w:lang w:val="fr-FR"/>
        </w:rPr>
        <w:t xml:space="preserve">Rapport du groupe de travail informel des émissions </w:t>
      </w:r>
      <w:r w:rsidR="00E05CE9">
        <w:rPr>
          <w:lang w:val="fr-FR"/>
        </w:rPr>
        <w:br/>
      </w:r>
      <w:r w:rsidRPr="00866775">
        <w:rPr>
          <w:lang w:val="fr-FR"/>
        </w:rPr>
        <w:t>de dégazage et des émissions en exploitation</w:t>
      </w:r>
    </w:p>
    <w:p w14:paraId="73991261" w14:textId="77777777" w:rsidR="00866775" w:rsidRPr="00866775" w:rsidRDefault="00866775" w:rsidP="00866775">
      <w:pPr>
        <w:pStyle w:val="SingleTxtG"/>
        <w:rPr>
          <w:lang w:val="fr-FR"/>
        </w:rPr>
      </w:pPr>
      <w:r w:rsidRPr="00866775">
        <w:rPr>
          <w:i/>
          <w:iCs/>
          <w:lang w:val="fr-FR"/>
        </w:rPr>
        <w:t>Document informel</w:t>
      </w:r>
      <w:r w:rsidR="00E05CE9">
        <w:rPr>
          <w:i/>
          <w:iCs/>
          <w:lang w:val="fr-FR"/>
        </w:rPr>
        <w:t> </w:t>
      </w:r>
      <w:r w:rsidR="00E05CE9">
        <w:t>:</w:t>
      </w:r>
      <w:r w:rsidRPr="00866775">
        <w:rPr>
          <w:lang w:val="fr-FR"/>
        </w:rPr>
        <w:tab/>
      </w:r>
      <w:r w:rsidR="00E83E8F">
        <w:rPr>
          <w:lang w:val="fr-FR"/>
        </w:rPr>
        <w:tab/>
      </w:r>
      <w:r w:rsidRPr="00866775">
        <w:rPr>
          <w:lang w:val="fr-FR"/>
        </w:rPr>
        <w:t>INF.11 (Belgique)</w:t>
      </w:r>
      <w:r w:rsidR="00E05CE9">
        <w:rPr>
          <w:lang w:val="fr-FR"/>
        </w:rPr>
        <w:t>.</w:t>
      </w:r>
    </w:p>
    <w:p w14:paraId="52630F9E" w14:textId="77777777" w:rsidR="00866775" w:rsidRPr="00866775" w:rsidRDefault="00866775" w:rsidP="00866775">
      <w:pPr>
        <w:pStyle w:val="SingleTxtG"/>
        <w:rPr>
          <w:lang w:val="fr-FR"/>
        </w:rPr>
      </w:pPr>
      <w:r w:rsidRPr="00866775">
        <w:rPr>
          <w:lang w:val="fr-FR"/>
        </w:rPr>
        <w:t>58.</w:t>
      </w:r>
      <w:r w:rsidRPr="00866775">
        <w:rPr>
          <w:lang w:val="fr-FR"/>
        </w:rPr>
        <w:tab/>
        <w:t>Le Comité de sécurité a pris note du rapport de la première réunion du groupe de travail informel des émissions de dégazage et des émissions en exploitation, présenté dans le document informel INF.11. Il n</w:t>
      </w:r>
      <w:r w:rsidR="003968B4">
        <w:rPr>
          <w:lang w:val="fr-FR"/>
        </w:rPr>
        <w:t>’</w:t>
      </w:r>
      <w:r w:rsidRPr="00866775">
        <w:rPr>
          <w:lang w:val="fr-FR"/>
        </w:rPr>
        <w:t>a pas été en mesure d</w:t>
      </w:r>
      <w:r w:rsidR="003968B4">
        <w:rPr>
          <w:lang w:val="fr-FR"/>
        </w:rPr>
        <w:t>’</w:t>
      </w:r>
      <w:r w:rsidRPr="00866775">
        <w:rPr>
          <w:lang w:val="fr-FR"/>
        </w:rPr>
        <w:t>approuver dans son ensemble la conclusion du groupe selon laquelle on pouvait distinguer quatre types d</w:t>
      </w:r>
      <w:r w:rsidR="003968B4">
        <w:rPr>
          <w:lang w:val="fr-FR"/>
        </w:rPr>
        <w:t>’</w:t>
      </w:r>
      <w:r w:rsidRPr="00866775">
        <w:rPr>
          <w:lang w:val="fr-FR"/>
        </w:rPr>
        <w:t>émissions, comme il est indiqué au paragraphe 4 du document informel. Le groupe de travail informel a été invité à poursuivre ses travaux et à en rendre compte à la prochaine session.</w:t>
      </w:r>
    </w:p>
    <w:p w14:paraId="3D5B0E52" w14:textId="77777777" w:rsidR="00866775" w:rsidRPr="00866775" w:rsidRDefault="00866775" w:rsidP="00E05CE9">
      <w:pPr>
        <w:pStyle w:val="HChG"/>
        <w:rPr>
          <w:lang w:val="fr-FR"/>
        </w:rPr>
      </w:pPr>
      <w:r w:rsidRPr="00866775">
        <w:rPr>
          <w:lang w:val="fr-FR"/>
        </w:rPr>
        <w:tab/>
      </w:r>
      <w:bookmarkStart w:id="70" w:name="_Toc505688455"/>
      <w:bookmarkStart w:id="71" w:name="_Toc32481677"/>
      <w:r w:rsidRPr="00866775">
        <w:rPr>
          <w:lang w:val="fr-FR"/>
        </w:rPr>
        <w:t>VIII.</w:t>
      </w:r>
      <w:r w:rsidRPr="00866775">
        <w:rPr>
          <w:lang w:val="fr-FR"/>
        </w:rPr>
        <w:tab/>
        <w:t xml:space="preserve">Programme de travail et calendrier des réunions </w:t>
      </w:r>
      <w:r w:rsidRPr="00866775">
        <w:rPr>
          <w:lang w:val="fr-FR"/>
        </w:rPr>
        <w:br/>
        <w:t>(point 7 de l</w:t>
      </w:r>
      <w:r w:rsidR="003968B4">
        <w:rPr>
          <w:lang w:val="fr-FR"/>
        </w:rPr>
        <w:t>’</w:t>
      </w:r>
      <w:r w:rsidRPr="00866775">
        <w:rPr>
          <w:lang w:val="fr-FR"/>
        </w:rPr>
        <w:t>ordre du jour)</w:t>
      </w:r>
      <w:bookmarkEnd w:id="70"/>
      <w:bookmarkEnd w:id="71"/>
    </w:p>
    <w:p w14:paraId="6941252C" w14:textId="77777777" w:rsidR="00866775" w:rsidRPr="00866775" w:rsidRDefault="00866775" w:rsidP="00866775">
      <w:pPr>
        <w:pStyle w:val="SingleTxtG"/>
        <w:rPr>
          <w:lang w:val="fr-FR"/>
        </w:rPr>
      </w:pPr>
      <w:r w:rsidRPr="00866775">
        <w:rPr>
          <w:lang w:val="fr-FR"/>
        </w:rPr>
        <w:t>59.</w:t>
      </w:r>
      <w:r w:rsidRPr="00866775">
        <w:rPr>
          <w:lang w:val="fr-FR"/>
        </w:rPr>
        <w:tab/>
        <w:t>Le Comité de sécurité a noté que sa prochaine session se tiendrait à Genève du 24 au 28</w:t>
      </w:r>
      <w:r w:rsidR="00E05CE9">
        <w:rPr>
          <w:lang w:val="fr-FR"/>
        </w:rPr>
        <w:t> </w:t>
      </w:r>
      <w:r w:rsidRPr="00866775">
        <w:rPr>
          <w:lang w:val="fr-FR"/>
        </w:rPr>
        <w:t>août 2020 et que la vingt-quatrième session du Comité d</w:t>
      </w:r>
      <w:r w:rsidR="003968B4">
        <w:rPr>
          <w:lang w:val="fr-FR"/>
        </w:rPr>
        <w:t>’</w:t>
      </w:r>
      <w:r w:rsidRPr="00866775">
        <w:rPr>
          <w:lang w:val="fr-FR"/>
        </w:rPr>
        <w:t>administration de l</w:t>
      </w:r>
      <w:r w:rsidR="003968B4">
        <w:rPr>
          <w:lang w:val="fr-FR"/>
        </w:rPr>
        <w:t>’</w:t>
      </w:r>
      <w:r w:rsidRPr="00866775">
        <w:rPr>
          <w:lang w:val="fr-FR"/>
        </w:rPr>
        <w:t>ADN était programmée pour le 28</w:t>
      </w:r>
      <w:r w:rsidR="00E05CE9">
        <w:rPr>
          <w:lang w:val="fr-FR"/>
        </w:rPr>
        <w:t> </w:t>
      </w:r>
      <w:r w:rsidRPr="00866775">
        <w:rPr>
          <w:lang w:val="fr-FR"/>
        </w:rPr>
        <w:t>août 2020. La date limite de soumission des documents pour ces réunions a été fixée au 29</w:t>
      </w:r>
      <w:r w:rsidR="00E05CE9">
        <w:rPr>
          <w:lang w:val="fr-FR"/>
        </w:rPr>
        <w:t> </w:t>
      </w:r>
      <w:r w:rsidRPr="00866775">
        <w:rPr>
          <w:lang w:val="fr-FR"/>
        </w:rPr>
        <w:t>mai 2020.</w:t>
      </w:r>
    </w:p>
    <w:p w14:paraId="033BEA78" w14:textId="77777777" w:rsidR="00866775" w:rsidRPr="00866775" w:rsidRDefault="00866775" w:rsidP="00866775">
      <w:pPr>
        <w:pStyle w:val="SingleTxtG"/>
        <w:rPr>
          <w:lang w:val="fr-FR"/>
        </w:rPr>
      </w:pPr>
      <w:r w:rsidRPr="00866775">
        <w:rPr>
          <w:lang w:val="fr-FR"/>
        </w:rPr>
        <w:t>60.</w:t>
      </w:r>
      <w:r w:rsidRPr="00866775">
        <w:rPr>
          <w:lang w:val="fr-FR"/>
        </w:rPr>
        <w:tab/>
        <w:t>Il a été rappelé qu</w:t>
      </w:r>
      <w:r w:rsidR="003968B4">
        <w:rPr>
          <w:lang w:val="fr-FR"/>
        </w:rPr>
        <w:t>’</w:t>
      </w:r>
      <w:r w:rsidRPr="00866775">
        <w:rPr>
          <w:lang w:val="fr-FR"/>
        </w:rPr>
        <w:t>à sa trente-septième session, le Comité de sécurité examinerait uniquement, pour adoption et entrée en vigueur le 1</w:t>
      </w:r>
      <w:r w:rsidRPr="00866775">
        <w:rPr>
          <w:vertAlign w:val="superscript"/>
          <w:lang w:val="fr-FR"/>
        </w:rPr>
        <w:t>er</w:t>
      </w:r>
      <w:r w:rsidR="00E05CE9">
        <w:rPr>
          <w:lang w:val="fr-FR"/>
        </w:rPr>
        <w:t> </w:t>
      </w:r>
      <w:r w:rsidRPr="00866775">
        <w:rPr>
          <w:lang w:val="fr-FR"/>
        </w:rPr>
        <w:t>janvier 2021, des corrections à des textes déjà adoptés ou des propositions d</w:t>
      </w:r>
      <w:r w:rsidR="003968B4">
        <w:rPr>
          <w:lang w:val="fr-FR"/>
        </w:rPr>
        <w:t>’</w:t>
      </w:r>
      <w:r w:rsidRPr="00866775">
        <w:rPr>
          <w:lang w:val="fr-FR"/>
        </w:rPr>
        <w:t>harmonisation avec les dispositions des éditions 2021 du RID et de l</w:t>
      </w:r>
      <w:r w:rsidR="003968B4">
        <w:rPr>
          <w:lang w:val="fr-FR"/>
        </w:rPr>
        <w:t>’</w:t>
      </w:r>
      <w:r w:rsidRPr="00866775">
        <w:rPr>
          <w:lang w:val="fr-FR"/>
        </w:rPr>
        <w:t>ADR. Toutes les autres propositions d</w:t>
      </w:r>
      <w:r w:rsidR="003968B4">
        <w:rPr>
          <w:lang w:val="fr-FR"/>
        </w:rPr>
        <w:t>’</w:t>
      </w:r>
      <w:r w:rsidRPr="00866775">
        <w:rPr>
          <w:lang w:val="fr-FR"/>
        </w:rPr>
        <w:t>amendements soumises à cette session seraient examinées en vue de leur entrée en vigueur le 1</w:t>
      </w:r>
      <w:r w:rsidRPr="00866775">
        <w:rPr>
          <w:vertAlign w:val="superscript"/>
          <w:lang w:val="fr-FR"/>
        </w:rPr>
        <w:t>er</w:t>
      </w:r>
      <w:r w:rsidR="00E05CE9">
        <w:rPr>
          <w:lang w:val="fr-FR"/>
        </w:rPr>
        <w:t> </w:t>
      </w:r>
      <w:r w:rsidRPr="00866775">
        <w:rPr>
          <w:lang w:val="fr-FR"/>
        </w:rPr>
        <w:t>janvier 2023.</w:t>
      </w:r>
    </w:p>
    <w:p w14:paraId="2C9EBD22" w14:textId="77777777" w:rsidR="00866775" w:rsidRPr="00866775" w:rsidRDefault="00866775" w:rsidP="00E05CE9">
      <w:pPr>
        <w:pStyle w:val="HChG"/>
        <w:rPr>
          <w:lang w:val="fr-FR"/>
        </w:rPr>
      </w:pPr>
      <w:r w:rsidRPr="00866775">
        <w:rPr>
          <w:lang w:val="fr-FR"/>
        </w:rPr>
        <w:tab/>
      </w:r>
      <w:bookmarkStart w:id="72" w:name="_Toc505688456"/>
      <w:bookmarkStart w:id="73" w:name="_Toc32481678"/>
      <w:r w:rsidRPr="00866775">
        <w:rPr>
          <w:lang w:val="fr-FR"/>
        </w:rPr>
        <w:t>IX.</w:t>
      </w:r>
      <w:r w:rsidRPr="00866775">
        <w:rPr>
          <w:lang w:val="fr-FR"/>
        </w:rPr>
        <w:tab/>
      </w:r>
      <w:bookmarkStart w:id="74" w:name="_Hlk35531295"/>
      <w:r w:rsidRPr="00866775">
        <w:rPr>
          <w:lang w:val="fr-FR"/>
        </w:rPr>
        <w:t xml:space="preserve">Questions diverses </w:t>
      </w:r>
      <w:r w:rsidR="00E05CE9">
        <w:rPr>
          <w:lang w:val="fr-FR"/>
        </w:rPr>
        <w:br/>
      </w:r>
      <w:r w:rsidRPr="00866775">
        <w:rPr>
          <w:lang w:val="fr-FR"/>
        </w:rPr>
        <w:t>(point</w:t>
      </w:r>
      <w:r w:rsidR="00E05CE9">
        <w:rPr>
          <w:lang w:val="fr-FR"/>
        </w:rPr>
        <w:t> </w:t>
      </w:r>
      <w:r w:rsidRPr="00866775">
        <w:rPr>
          <w:lang w:val="fr-FR"/>
        </w:rPr>
        <w:t>8 de l</w:t>
      </w:r>
      <w:r w:rsidR="003968B4">
        <w:rPr>
          <w:lang w:val="fr-FR"/>
        </w:rPr>
        <w:t>’</w:t>
      </w:r>
      <w:r w:rsidRPr="00866775">
        <w:rPr>
          <w:lang w:val="fr-FR"/>
        </w:rPr>
        <w:t>ordre du jour)</w:t>
      </w:r>
      <w:bookmarkEnd w:id="72"/>
      <w:bookmarkEnd w:id="73"/>
      <w:bookmarkEnd w:id="74"/>
    </w:p>
    <w:p w14:paraId="60CA9C64" w14:textId="77777777" w:rsidR="00866775" w:rsidRPr="00866775" w:rsidRDefault="00866775" w:rsidP="00866775">
      <w:pPr>
        <w:pStyle w:val="SingleTxtG"/>
        <w:rPr>
          <w:lang w:val="fr-FR"/>
        </w:rPr>
      </w:pPr>
      <w:r w:rsidRPr="00866775">
        <w:rPr>
          <w:i/>
          <w:iCs/>
          <w:lang w:val="fr-FR"/>
        </w:rPr>
        <w:t>Document informel</w:t>
      </w:r>
      <w:r w:rsidR="00E05CE9">
        <w:rPr>
          <w:i/>
          <w:iCs/>
          <w:lang w:val="fr-FR"/>
        </w:rPr>
        <w:t> </w:t>
      </w:r>
      <w:r w:rsidR="00E05CE9">
        <w:t>:</w:t>
      </w:r>
      <w:r w:rsidRPr="00866775">
        <w:rPr>
          <w:i/>
          <w:iCs/>
          <w:lang w:val="fr-FR"/>
        </w:rPr>
        <w:t xml:space="preserve"> </w:t>
      </w:r>
      <w:r w:rsidRPr="00866775">
        <w:rPr>
          <w:lang w:val="fr-FR"/>
        </w:rPr>
        <w:t xml:space="preserve"> </w:t>
      </w:r>
      <w:r w:rsidRPr="00866775">
        <w:rPr>
          <w:lang w:val="fr-FR"/>
        </w:rPr>
        <w:tab/>
        <w:t>INF.16 et Add.1 (Secrétariat)</w:t>
      </w:r>
      <w:r w:rsidR="00E05CE9">
        <w:rPr>
          <w:lang w:val="fr-FR"/>
        </w:rPr>
        <w:t>.</w:t>
      </w:r>
    </w:p>
    <w:p w14:paraId="57DE8D68" w14:textId="77777777" w:rsidR="00866775" w:rsidRPr="00866775" w:rsidRDefault="00866775" w:rsidP="00866775">
      <w:pPr>
        <w:pStyle w:val="SingleTxtG"/>
        <w:rPr>
          <w:lang w:val="fr-FR"/>
        </w:rPr>
      </w:pPr>
      <w:r w:rsidRPr="00866775">
        <w:rPr>
          <w:lang w:val="fr-FR"/>
        </w:rPr>
        <w:t>61.</w:t>
      </w:r>
      <w:r w:rsidRPr="00866775">
        <w:rPr>
          <w:lang w:val="fr-FR"/>
        </w:rPr>
        <w:tab/>
        <w:t>Le Comité de sécurité a noté que la Réunion commune et le WP.15 s</w:t>
      </w:r>
      <w:r w:rsidR="003968B4">
        <w:rPr>
          <w:lang w:val="fr-FR"/>
        </w:rPr>
        <w:t>’</w:t>
      </w:r>
      <w:r w:rsidRPr="00866775">
        <w:rPr>
          <w:lang w:val="fr-FR"/>
        </w:rPr>
        <w:t>étaient entendus sur des lignes directrices pour l</w:t>
      </w:r>
      <w:r w:rsidR="003968B4">
        <w:rPr>
          <w:lang w:val="fr-FR"/>
        </w:rPr>
        <w:t>’</w:t>
      </w:r>
      <w:r w:rsidRPr="00866775">
        <w:rPr>
          <w:lang w:val="fr-FR"/>
        </w:rPr>
        <w:t>application du paragraphe 5.4.0.2 du RID, de l</w:t>
      </w:r>
      <w:r w:rsidR="003968B4">
        <w:rPr>
          <w:lang w:val="fr-FR"/>
        </w:rPr>
        <w:t>’</w:t>
      </w:r>
      <w:r w:rsidRPr="00866775">
        <w:rPr>
          <w:lang w:val="fr-FR"/>
        </w:rPr>
        <w:t>ADR et de l</w:t>
      </w:r>
      <w:r w:rsidR="003968B4">
        <w:rPr>
          <w:lang w:val="fr-FR"/>
        </w:rPr>
        <w:t>’</w:t>
      </w:r>
      <w:r w:rsidRPr="00866775">
        <w:rPr>
          <w:lang w:val="fr-FR"/>
        </w:rPr>
        <w:t>ADN, établies par le groupe de travail informel de la télématique. Il a été observé que ces lignes directrices pouvaient être appliquées par les Parties contractantes de façon volontaire et indépendamment pour chaque mode de transport. Elles devaient cependant être appliquées de manière cohérente, le cas échéant. Il a été relevé que l</w:t>
      </w:r>
      <w:r w:rsidR="003968B4">
        <w:rPr>
          <w:lang w:val="fr-FR"/>
        </w:rPr>
        <w:t>’</w:t>
      </w:r>
      <w:r w:rsidRPr="00866775">
        <w:rPr>
          <w:lang w:val="fr-FR"/>
        </w:rPr>
        <w:t>additif</w:t>
      </w:r>
      <w:r w:rsidR="00E83E8F">
        <w:rPr>
          <w:lang w:val="fr-FR"/>
        </w:rPr>
        <w:t> </w:t>
      </w:r>
      <w:r w:rsidRPr="00866775">
        <w:rPr>
          <w:lang w:val="fr-FR"/>
        </w:rPr>
        <w:t>1 au document informel INF.16 contenait  les lignes directrices en anglais, français et russe.</w:t>
      </w:r>
    </w:p>
    <w:p w14:paraId="0FE3A9E6" w14:textId="77777777" w:rsidR="00866775" w:rsidRPr="00866775" w:rsidRDefault="00866775" w:rsidP="00866775">
      <w:pPr>
        <w:pStyle w:val="SingleTxtG"/>
        <w:rPr>
          <w:lang w:val="fr-FR"/>
        </w:rPr>
      </w:pPr>
      <w:r w:rsidRPr="00866775">
        <w:rPr>
          <w:lang w:val="fr-FR"/>
        </w:rPr>
        <w:t>62.</w:t>
      </w:r>
      <w:r w:rsidRPr="00866775">
        <w:rPr>
          <w:lang w:val="fr-FR"/>
        </w:rPr>
        <w:tab/>
        <w:t>Le Comité de sécurité a approuvé la publication des lignes directrices sur le site Web de la CEE.</w:t>
      </w:r>
    </w:p>
    <w:p w14:paraId="2BF98B3D" w14:textId="77777777" w:rsidR="00866775" w:rsidRPr="00866775" w:rsidRDefault="00866775" w:rsidP="00866775">
      <w:pPr>
        <w:pStyle w:val="SingleTxtG"/>
        <w:rPr>
          <w:lang w:val="fr-FR"/>
        </w:rPr>
      </w:pPr>
      <w:r w:rsidRPr="00866775">
        <w:rPr>
          <w:lang w:val="fr-FR"/>
        </w:rPr>
        <w:t>63.</w:t>
      </w:r>
      <w:r w:rsidRPr="00866775">
        <w:rPr>
          <w:lang w:val="fr-FR"/>
        </w:rPr>
        <w:tab/>
        <w:t>Le Président a encouragé les membres du Comité de sécurité à faire part de leur expérience de l</w:t>
      </w:r>
      <w:r w:rsidR="003968B4">
        <w:rPr>
          <w:lang w:val="fr-FR"/>
        </w:rPr>
        <w:t>’</w:t>
      </w:r>
      <w:r w:rsidRPr="00866775">
        <w:rPr>
          <w:lang w:val="fr-FR"/>
        </w:rPr>
        <w:t>utilisation des documents électroniques au groupe de travail informel de la télématique. La mise en commun des expériences pouvait en effet contribuer à déceler les éventuels problèmes liés à l</w:t>
      </w:r>
      <w:r w:rsidR="003968B4">
        <w:rPr>
          <w:lang w:val="fr-FR"/>
        </w:rPr>
        <w:t>’</w:t>
      </w:r>
      <w:r w:rsidRPr="00866775">
        <w:rPr>
          <w:lang w:val="fr-FR"/>
        </w:rPr>
        <w:t>utilisation de la télématique dans le cadre de la navigation intérieure.</w:t>
      </w:r>
    </w:p>
    <w:p w14:paraId="1F5F5CDB" w14:textId="77777777" w:rsidR="00866775" w:rsidRPr="00866775" w:rsidRDefault="00866775" w:rsidP="00E05CE9">
      <w:pPr>
        <w:pStyle w:val="HChG"/>
        <w:rPr>
          <w:lang w:val="fr-FR"/>
        </w:rPr>
      </w:pPr>
      <w:r w:rsidRPr="00866775">
        <w:rPr>
          <w:lang w:val="fr-FR"/>
        </w:rPr>
        <w:tab/>
      </w:r>
      <w:bookmarkStart w:id="75" w:name="_Toc505688457"/>
      <w:bookmarkStart w:id="76" w:name="_Toc32481679"/>
      <w:r w:rsidRPr="00866775">
        <w:rPr>
          <w:lang w:val="fr-FR"/>
        </w:rPr>
        <w:t>X.</w:t>
      </w:r>
      <w:r w:rsidRPr="00866775">
        <w:rPr>
          <w:lang w:val="fr-FR"/>
        </w:rPr>
        <w:tab/>
        <w:t xml:space="preserve">Adoption du rapport </w:t>
      </w:r>
      <w:r w:rsidR="00E05CE9">
        <w:rPr>
          <w:lang w:val="fr-FR"/>
        </w:rPr>
        <w:br/>
      </w:r>
      <w:r w:rsidRPr="00866775">
        <w:rPr>
          <w:lang w:val="fr-FR"/>
        </w:rPr>
        <w:t>(point</w:t>
      </w:r>
      <w:r w:rsidR="00E05CE9">
        <w:rPr>
          <w:lang w:val="fr-FR"/>
        </w:rPr>
        <w:t> </w:t>
      </w:r>
      <w:r w:rsidRPr="00866775">
        <w:rPr>
          <w:lang w:val="fr-FR"/>
        </w:rPr>
        <w:t>9 de l</w:t>
      </w:r>
      <w:r w:rsidR="003968B4">
        <w:rPr>
          <w:lang w:val="fr-FR"/>
        </w:rPr>
        <w:t>’</w:t>
      </w:r>
      <w:r w:rsidRPr="00866775">
        <w:rPr>
          <w:lang w:val="fr-FR"/>
        </w:rPr>
        <w:t>ordre du jour)</w:t>
      </w:r>
      <w:bookmarkEnd w:id="75"/>
      <w:bookmarkEnd w:id="76"/>
    </w:p>
    <w:p w14:paraId="287A1228" w14:textId="77777777" w:rsidR="00866775" w:rsidRPr="00866775" w:rsidRDefault="00866775" w:rsidP="00866775">
      <w:pPr>
        <w:pStyle w:val="SingleTxtG"/>
        <w:rPr>
          <w:lang w:val="fr-FR"/>
        </w:rPr>
      </w:pPr>
      <w:r w:rsidRPr="00866775">
        <w:rPr>
          <w:lang w:val="fr-FR"/>
        </w:rPr>
        <w:t>64.</w:t>
      </w:r>
      <w:r w:rsidRPr="00866775">
        <w:rPr>
          <w:lang w:val="fr-FR"/>
        </w:rPr>
        <w:tab/>
        <w:t>Le Comité de sécurité a adopté le rapport de sa trente-sixième session sur la base d</w:t>
      </w:r>
      <w:r w:rsidR="003968B4">
        <w:rPr>
          <w:lang w:val="fr-FR"/>
        </w:rPr>
        <w:t>’</w:t>
      </w:r>
      <w:r w:rsidRPr="00866775">
        <w:rPr>
          <w:lang w:val="fr-FR"/>
        </w:rPr>
        <w:t>un projet établi par le secrétariat.</w:t>
      </w:r>
    </w:p>
    <w:p w14:paraId="6E173EC7" w14:textId="77777777" w:rsidR="00866775" w:rsidRPr="00866775" w:rsidRDefault="00866775" w:rsidP="00E05CE9">
      <w:pPr>
        <w:pStyle w:val="HChG"/>
        <w:rPr>
          <w:lang w:val="fr-FR"/>
        </w:rPr>
      </w:pPr>
      <w:r w:rsidRPr="00866775">
        <w:rPr>
          <w:lang w:val="fr-FR"/>
        </w:rPr>
        <w:br w:type="page"/>
      </w:r>
      <w:bookmarkStart w:id="77" w:name="_Toc32481680"/>
      <w:r w:rsidRPr="00866775">
        <w:rPr>
          <w:lang w:val="fr-FR"/>
        </w:rPr>
        <w:lastRenderedPageBreak/>
        <w:t>Annexe</w:t>
      </w:r>
      <w:r w:rsidR="00E05CE9">
        <w:rPr>
          <w:lang w:val="fr-FR"/>
        </w:rPr>
        <w:t> </w:t>
      </w:r>
      <w:r w:rsidRPr="00866775">
        <w:rPr>
          <w:lang w:val="fr-FR"/>
        </w:rPr>
        <w:t>I</w:t>
      </w:r>
      <w:bookmarkEnd w:id="77"/>
    </w:p>
    <w:p w14:paraId="0CD0459E" w14:textId="77777777" w:rsidR="00866775" w:rsidRPr="00866775" w:rsidRDefault="00866775" w:rsidP="00E05CE9">
      <w:pPr>
        <w:pStyle w:val="HChG"/>
        <w:rPr>
          <w:lang w:val="fr-FR"/>
        </w:rPr>
      </w:pPr>
      <w:r w:rsidRPr="00866775">
        <w:rPr>
          <w:lang w:val="fr-FR"/>
        </w:rPr>
        <w:tab/>
      </w:r>
      <w:r w:rsidRPr="00866775">
        <w:rPr>
          <w:lang w:val="fr-FR"/>
        </w:rPr>
        <w:tab/>
      </w:r>
      <w:bookmarkStart w:id="78" w:name="_Toc32481681"/>
      <w:r w:rsidRPr="00866775">
        <w:rPr>
          <w:lang w:val="fr-FR"/>
        </w:rPr>
        <w:t>Propositions d</w:t>
      </w:r>
      <w:r w:rsidR="003968B4">
        <w:rPr>
          <w:lang w:val="fr-FR"/>
        </w:rPr>
        <w:t>’</w:t>
      </w:r>
      <w:r w:rsidRPr="00866775">
        <w:rPr>
          <w:lang w:val="fr-FR"/>
        </w:rPr>
        <w:t>amendements au Règlement annexé à l</w:t>
      </w:r>
      <w:r w:rsidR="003968B4">
        <w:rPr>
          <w:lang w:val="fr-FR"/>
        </w:rPr>
        <w:t>’</w:t>
      </w:r>
      <w:r w:rsidRPr="00866775">
        <w:rPr>
          <w:lang w:val="fr-FR"/>
        </w:rPr>
        <w:t xml:space="preserve">ADN pour </w:t>
      </w:r>
      <w:proofErr w:type="spellStart"/>
      <w:r w:rsidRPr="00866775">
        <w:rPr>
          <w:lang w:val="fr-FR"/>
        </w:rPr>
        <w:t>entrée</w:t>
      </w:r>
      <w:proofErr w:type="spellEnd"/>
      <w:r w:rsidRPr="00866775">
        <w:rPr>
          <w:lang w:val="fr-FR"/>
        </w:rPr>
        <w:t xml:space="preserve"> en vigueur le 1</w:t>
      </w:r>
      <w:r w:rsidRPr="00866775">
        <w:rPr>
          <w:vertAlign w:val="superscript"/>
          <w:lang w:val="fr-FR"/>
        </w:rPr>
        <w:t>er</w:t>
      </w:r>
      <w:r w:rsidR="00E05CE9">
        <w:rPr>
          <w:lang w:val="fr-FR"/>
        </w:rPr>
        <w:t> j</w:t>
      </w:r>
      <w:r w:rsidRPr="00866775">
        <w:rPr>
          <w:lang w:val="fr-FR"/>
        </w:rPr>
        <w:t>anvier 2021</w:t>
      </w:r>
      <w:bookmarkEnd w:id="78"/>
    </w:p>
    <w:p w14:paraId="2D0B727A" w14:textId="77777777" w:rsidR="00866775" w:rsidRPr="00866775" w:rsidRDefault="00866775" w:rsidP="00E05CE9">
      <w:pPr>
        <w:pStyle w:val="H4G"/>
        <w:rPr>
          <w:lang w:val="fr-FR"/>
        </w:rPr>
      </w:pPr>
      <w:r w:rsidRPr="00866775">
        <w:rPr>
          <w:lang w:val="fr-FR"/>
        </w:rPr>
        <w:tab/>
      </w:r>
      <w:r w:rsidRPr="00866775">
        <w:rPr>
          <w:lang w:val="fr-FR"/>
        </w:rPr>
        <w:tab/>
        <w:t>(</w:t>
      </w:r>
      <w:r w:rsidR="00E05CE9">
        <w:rPr>
          <w:lang w:val="fr-FR"/>
        </w:rPr>
        <w:t>V</w:t>
      </w:r>
      <w:r w:rsidRPr="00866775">
        <w:rPr>
          <w:lang w:val="fr-FR"/>
        </w:rPr>
        <w:t>oir document ECE/TRANS/WP.15/AC.2/74/Add.1</w:t>
      </w:r>
      <w:r w:rsidR="00E05CE9">
        <w:rPr>
          <w:lang w:val="fr-FR"/>
        </w:rPr>
        <w:t>.</w:t>
      </w:r>
      <w:r w:rsidRPr="00866775">
        <w:rPr>
          <w:lang w:val="fr-FR"/>
        </w:rPr>
        <w:t>)</w:t>
      </w:r>
    </w:p>
    <w:p w14:paraId="2B336F04" w14:textId="77777777" w:rsidR="00866775" w:rsidRPr="00866775" w:rsidRDefault="00866775" w:rsidP="00E05CE9">
      <w:pPr>
        <w:pStyle w:val="HChG"/>
        <w:rPr>
          <w:lang w:val="fr-FR"/>
        </w:rPr>
      </w:pPr>
      <w:r w:rsidRPr="00866775">
        <w:rPr>
          <w:lang w:val="fr-FR"/>
        </w:rPr>
        <w:br w:type="page"/>
      </w:r>
      <w:bookmarkStart w:id="79" w:name="_Toc32481682"/>
      <w:r w:rsidRPr="00866775">
        <w:rPr>
          <w:lang w:val="fr-FR"/>
        </w:rPr>
        <w:lastRenderedPageBreak/>
        <w:t>Annexe</w:t>
      </w:r>
      <w:r w:rsidR="00E05CE9">
        <w:rPr>
          <w:lang w:val="fr-FR"/>
        </w:rPr>
        <w:t> </w:t>
      </w:r>
      <w:r w:rsidRPr="00866775">
        <w:rPr>
          <w:lang w:val="fr-FR"/>
        </w:rPr>
        <w:t>II</w:t>
      </w:r>
      <w:bookmarkEnd w:id="79"/>
    </w:p>
    <w:p w14:paraId="6F36A4DF" w14:textId="77777777" w:rsidR="00866775" w:rsidRPr="00866775" w:rsidRDefault="00866775" w:rsidP="00E05CE9">
      <w:pPr>
        <w:pStyle w:val="HChG"/>
        <w:rPr>
          <w:lang w:val="fr-FR"/>
        </w:rPr>
      </w:pPr>
      <w:r w:rsidRPr="00866775">
        <w:rPr>
          <w:lang w:val="fr-FR"/>
        </w:rPr>
        <w:tab/>
      </w:r>
      <w:r w:rsidRPr="00866775">
        <w:rPr>
          <w:lang w:val="fr-FR"/>
        </w:rPr>
        <w:tab/>
        <w:t xml:space="preserve">Amendements au modèle de liste de contrôle </w:t>
      </w:r>
      <w:r w:rsidR="00E05CE9">
        <w:rPr>
          <w:lang w:val="fr-FR"/>
        </w:rPr>
        <w:br/>
      </w:r>
      <w:r w:rsidRPr="00866775">
        <w:rPr>
          <w:lang w:val="fr-FR"/>
        </w:rPr>
        <w:t>normalisée des bateaux</w:t>
      </w:r>
    </w:p>
    <w:p w14:paraId="1E5FF69A" w14:textId="77777777" w:rsidR="00866775" w:rsidRPr="00866775" w:rsidRDefault="00866775" w:rsidP="00E05CE9">
      <w:pPr>
        <w:pStyle w:val="H4G"/>
        <w:rPr>
          <w:lang w:val="fr-FR"/>
        </w:rPr>
      </w:pPr>
      <w:r w:rsidRPr="00866775">
        <w:rPr>
          <w:lang w:val="fr-FR"/>
        </w:rPr>
        <w:tab/>
      </w:r>
      <w:r w:rsidRPr="00866775">
        <w:rPr>
          <w:lang w:val="fr-FR"/>
        </w:rPr>
        <w:tab/>
        <w:t>(</w:t>
      </w:r>
      <w:r w:rsidR="00E05CE9">
        <w:rPr>
          <w:lang w:val="fr-FR"/>
        </w:rPr>
        <w:t>V</w:t>
      </w:r>
      <w:r w:rsidRPr="00866775">
        <w:rPr>
          <w:lang w:val="fr-FR"/>
        </w:rPr>
        <w:t>oir le document ECE/TRANS/WP.15/AC.2/74/Add.1</w:t>
      </w:r>
      <w:r w:rsidR="00E05CE9">
        <w:rPr>
          <w:lang w:val="fr-FR"/>
        </w:rPr>
        <w:t>.</w:t>
      </w:r>
      <w:r w:rsidRPr="00866775">
        <w:rPr>
          <w:lang w:val="fr-FR"/>
        </w:rPr>
        <w:t>)</w:t>
      </w:r>
    </w:p>
    <w:p w14:paraId="62842186" w14:textId="77777777" w:rsidR="00866775" w:rsidRPr="00866775" w:rsidRDefault="00866775" w:rsidP="00E05CE9">
      <w:pPr>
        <w:pStyle w:val="HChG"/>
        <w:rPr>
          <w:lang w:val="fr-FR"/>
        </w:rPr>
      </w:pPr>
      <w:r w:rsidRPr="00866775">
        <w:rPr>
          <w:lang w:val="fr-FR"/>
        </w:rPr>
        <w:br w:type="page"/>
      </w:r>
      <w:bookmarkStart w:id="80" w:name="_Toc32481684"/>
      <w:r w:rsidRPr="00866775">
        <w:rPr>
          <w:lang w:val="fr-FR"/>
        </w:rPr>
        <w:t>Annexe III</w:t>
      </w:r>
      <w:bookmarkEnd w:id="80"/>
    </w:p>
    <w:p w14:paraId="0206F8A3" w14:textId="77777777" w:rsidR="00866775" w:rsidRPr="00866775" w:rsidRDefault="00866775" w:rsidP="00E05CE9">
      <w:pPr>
        <w:pStyle w:val="HChG"/>
        <w:rPr>
          <w:lang w:val="fr-FR"/>
        </w:rPr>
      </w:pPr>
      <w:r w:rsidRPr="00866775">
        <w:rPr>
          <w:lang w:val="fr-FR"/>
        </w:rPr>
        <w:tab/>
      </w:r>
      <w:r w:rsidRPr="00866775">
        <w:rPr>
          <w:lang w:val="fr-FR"/>
        </w:rPr>
        <w:tab/>
      </w:r>
      <w:bookmarkStart w:id="81" w:name="_Toc32481685"/>
      <w:r w:rsidRPr="00866775">
        <w:rPr>
          <w:lang w:val="fr-FR"/>
        </w:rPr>
        <w:t xml:space="preserve">Corrections au document ECE/TRANS/276 </w:t>
      </w:r>
      <w:r w:rsidR="00E05CE9">
        <w:rPr>
          <w:lang w:val="fr-FR"/>
        </w:rPr>
        <w:br/>
      </w:r>
      <w:r w:rsidRPr="00866775">
        <w:rPr>
          <w:lang w:val="fr-FR"/>
        </w:rPr>
        <w:t>(édition 2019 de l</w:t>
      </w:r>
      <w:r w:rsidR="003968B4">
        <w:rPr>
          <w:lang w:val="fr-FR"/>
        </w:rPr>
        <w:t>’</w:t>
      </w:r>
      <w:r w:rsidRPr="00866775">
        <w:rPr>
          <w:lang w:val="fr-FR"/>
        </w:rPr>
        <w:t>ADN)</w:t>
      </w:r>
      <w:bookmarkEnd w:id="81"/>
    </w:p>
    <w:p w14:paraId="607D285B" w14:textId="77777777" w:rsidR="00866775" w:rsidRPr="00866775" w:rsidRDefault="00866775" w:rsidP="00E05CE9">
      <w:pPr>
        <w:pStyle w:val="H4G"/>
        <w:rPr>
          <w:lang w:val="fr-FR"/>
        </w:rPr>
      </w:pPr>
      <w:r w:rsidRPr="00866775">
        <w:rPr>
          <w:lang w:val="fr-FR"/>
        </w:rPr>
        <w:tab/>
      </w:r>
      <w:r w:rsidRPr="00866775">
        <w:rPr>
          <w:lang w:val="fr-FR"/>
        </w:rPr>
        <w:tab/>
        <w:t>(Corrections ne nécessitant pas l</w:t>
      </w:r>
      <w:r w:rsidR="003968B4">
        <w:rPr>
          <w:lang w:val="fr-FR"/>
        </w:rPr>
        <w:t>’</w:t>
      </w:r>
      <w:r w:rsidRPr="00866775">
        <w:rPr>
          <w:lang w:val="fr-FR"/>
        </w:rPr>
        <w:t>acceptation des Parties contractantes</w:t>
      </w:r>
      <w:r w:rsidR="00E05CE9">
        <w:rPr>
          <w:lang w:val="fr-FR"/>
        </w:rPr>
        <w:t>.</w:t>
      </w:r>
      <w:r w:rsidRPr="00866775">
        <w:rPr>
          <w:lang w:val="fr-FR"/>
        </w:rPr>
        <w:t>)</w:t>
      </w:r>
    </w:p>
    <w:p w14:paraId="3C820C2B" w14:textId="77777777" w:rsidR="00866775" w:rsidRPr="00866775" w:rsidRDefault="00866775" w:rsidP="00E05CE9">
      <w:pPr>
        <w:pStyle w:val="H4G"/>
        <w:rPr>
          <w:lang w:val="fr-FR"/>
        </w:rPr>
      </w:pPr>
      <w:r w:rsidRPr="00866775">
        <w:rPr>
          <w:lang w:val="fr-FR"/>
        </w:rPr>
        <w:tab/>
      </w:r>
      <w:r w:rsidRPr="00866775">
        <w:rPr>
          <w:lang w:val="fr-FR"/>
        </w:rPr>
        <w:tab/>
        <w:t>(</w:t>
      </w:r>
      <w:r w:rsidR="00E05CE9" w:rsidRPr="00866775">
        <w:rPr>
          <w:lang w:val="fr-FR"/>
        </w:rPr>
        <w:t>V</w:t>
      </w:r>
      <w:r w:rsidRPr="00866775">
        <w:rPr>
          <w:lang w:val="fr-FR"/>
        </w:rPr>
        <w:t>oir le document ECE/TRANS/WP.15/AC.2/74/Add.1</w:t>
      </w:r>
      <w:r w:rsidR="00E05CE9">
        <w:rPr>
          <w:lang w:val="fr-FR"/>
        </w:rPr>
        <w:t>.</w:t>
      </w:r>
      <w:r w:rsidRPr="00866775">
        <w:rPr>
          <w:lang w:val="fr-FR"/>
        </w:rPr>
        <w:t>)</w:t>
      </w:r>
    </w:p>
    <w:p w14:paraId="6419A7AF" w14:textId="77777777" w:rsidR="00F9573C" w:rsidRPr="00E05CE9" w:rsidRDefault="00E05CE9" w:rsidP="00E05CE9">
      <w:pPr>
        <w:pStyle w:val="SingleTxtG"/>
        <w:spacing w:before="240" w:after="0"/>
        <w:jc w:val="center"/>
        <w:rPr>
          <w:u w:val="single"/>
        </w:rPr>
      </w:pPr>
      <w:r>
        <w:rPr>
          <w:u w:val="single"/>
          <w:lang w:val="fr-FR"/>
        </w:rPr>
        <w:tab/>
      </w:r>
      <w:r>
        <w:rPr>
          <w:u w:val="single"/>
          <w:lang w:val="fr-FR"/>
        </w:rPr>
        <w:tab/>
      </w:r>
      <w:r>
        <w:rPr>
          <w:u w:val="single"/>
          <w:lang w:val="fr-FR"/>
        </w:rPr>
        <w:tab/>
      </w:r>
    </w:p>
    <w:sectPr w:rsidR="00F9573C" w:rsidRPr="00E05CE9" w:rsidSect="00866775">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E6D1C" w14:textId="77777777" w:rsidR="00B13911" w:rsidRDefault="00B13911" w:rsidP="00F95C08">
      <w:pPr>
        <w:spacing w:line="240" w:lineRule="auto"/>
      </w:pPr>
    </w:p>
  </w:endnote>
  <w:endnote w:type="continuationSeparator" w:id="0">
    <w:p w14:paraId="37DD0872" w14:textId="77777777" w:rsidR="00B13911" w:rsidRPr="00AC3823" w:rsidRDefault="00B13911" w:rsidP="00AC3823">
      <w:pPr>
        <w:pStyle w:val="Footer"/>
      </w:pPr>
    </w:p>
  </w:endnote>
  <w:endnote w:type="continuationNotice" w:id="1">
    <w:p w14:paraId="69EC49E5" w14:textId="77777777" w:rsidR="00B13911" w:rsidRDefault="00B1391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DCB61" w14:textId="77777777" w:rsidR="00B13911" w:rsidRPr="00866775" w:rsidRDefault="00B13911" w:rsidP="00866775">
    <w:pPr>
      <w:pStyle w:val="Footer"/>
      <w:tabs>
        <w:tab w:val="right" w:pos="9638"/>
      </w:tabs>
    </w:pPr>
    <w:r w:rsidRPr="00866775">
      <w:rPr>
        <w:b/>
        <w:sz w:val="18"/>
      </w:rPr>
      <w:fldChar w:fldCharType="begin"/>
    </w:r>
    <w:r w:rsidRPr="00866775">
      <w:rPr>
        <w:b/>
        <w:sz w:val="18"/>
      </w:rPr>
      <w:instrText xml:space="preserve"> PAGE  \* MERGEFORMAT </w:instrText>
    </w:r>
    <w:r w:rsidRPr="00866775">
      <w:rPr>
        <w:b/>
        <w:sz w:val="18"/>
      </w:rPr>
      <w:fldChar w:fldCharType="separate"/>
    </w:r>
    <w:r w:rsidRPr="00866775">
      <w:rPr>
        <w:b/>
        <w:noProof/>
        <w:sz w:val="18"/>
      </w:rPr>
      <w:t>2</w:t>
    </w:r>
    <w:r w:rsidRPr="00866775">
      <w:rPr>
        <w:b/>
        <w:sz w:val="18"/>
      </w:rPr>
      <w:fldChar w:fldCharType="end"/>
    </w:r>
    <w:r>
      <w:rPr>
        <w:b/>
        <w:sz w:val="18"/>
      </w:rPr>
      <w:tab/>
    </w:r>
    <w:r>
      <w:t>GE.20-02208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5BD0B" w14:textId="77777777" w:rsidR="00B13911" w:rsidRPr="00866775" w:rsidRDefault="00B13911" w:rsidP="00866775">
    <w:pPr>
      <w:pStyle w:val="Footer"/>
      <w:tabs>
        <w:tab w:val="right" w:pos="9638"/>
      </w:tabs>
      <w:rPr>
        <w:b/>
        <w:sz w:val="18"/>
      </w:rPr>
    </w:pPr>
    <w:r>
      <w:t>GE.20-02208</w:t>
    </w:r>
    <w:r>
      <w:tab/>
    </w:r>
    <w:r w:rsidRPr="00866775">
      <w:rPr>
        <w:b/>
        <w:sz w:val="18"/>
      </w:rPr>
      <w:fldChar w:fldCharType="begin"/>
    </w:r>
    <w:r w:rsidRPr="00866775">
      <w:rPr>
        <w:b/>
        <w:sz w:val="18"/>
      </w:rPr>
      <w:instrText xml:space="preserve"> PAGE  \* MERGEFORMAT </w:instrText>
    </w:r>
    <w:r w:rsidRPr="00866775">
      <w:rPr>
        <w:b/>
        <w:sz w:val="18"/>
      </w:rPr>
      <w:fldChar w:fldCharType="separate"/>
    </w:r>
    <w:r w:rsidRPr="00866775">
      <w:rPr>
        <w:b/>
        <w:noProof/>
        <w:sz w:val="18"/>
      </w:rPr>
      <w:t>3</w:t>
    </w:r>
    <w:r w:rsidRPr="0086677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DA99A" w14:textId="77777777" w:rsidR="00B13911" w:rsidRPr="00866775" w:rsidRDefault="00B13911" w:rsidP="00866775">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3AF46672" wp14:editId="4D0AFDB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20-02208  (F)    190320    200320</w:t>
    </w:r>
    <w:r>
      <w:rPr>
        <w:sz w:val="20"/>
      </w:rPr>
      <w:br/>
    </w:r>
    <w:r w:rsidRPr="00866775">
      <w:rPr>
        <w:rFonts w:ascii="C39T30Lfz" w:hAnsi="C39T30Lfz"/>
        <w:sz w:val="56"/>
      </w:rPr>
      <w:t></w:t>
    </w:r>
    <w:r w:rsidRPr="00866775">
      <w:rPr>
        <w:rFonts w:ascii="C39T30Lfz" w:hAnsi="C39T30Lfz"/>
        <w:sz w:val="56"/>
      </w:rPr>
      <w:t></w:t>
    </w:r>
    <w:r w:rsidRPr="00866775">
      <w:rPr>
        <w:rFonts w:ascii="C39T30Lfz" w:hAnsi="C39T30Lfz"/>
        <w:sz w:val="56"/>
      </w:rPr>
      <w:t></w:t>
    </w:r>
    <w:r w:rsidRPr="00866775">
      <w:rPr>
        <w:rFonts w:ascii="C39T30Lfz" w:hAnsi="C39T30Lfz"/>
        <w:sz w:val="56"/>
      </w:rPr>
      <w:t></w:t>
    </w:r>
    <w:r w:rsidRPr="00866775">
      <w:rPr>
        <w:rFonts w:ascii="C39T30Lfz" w:hAnsi="C39T30Lfz"/>
        <w:sz w:val="56"/>
      </w:rPr>
      <w:t></w:t>
    </w:r>
    <w:r w:rsidRPr="00866775">
      <w:rPr>
        <w:rFonts w:ascii="C39T30Lfz" w:hAnsi="C39T30Lfz"/>
        <w:sz w:val="56"/>
      </w:rPr>
      <w:t></w:t>
    </w:r>
    <w:r w:rsidRPr="00866775">
      <w:rPr>
        <w:rFonts w:ascii="C39T30Lfz" w:hAnsi="C39T30Lfz"/>
        <w:sz w:val="56"/>
      </w:rPr>
      <w:t></w:t>
    </w:r>
    <w:r w:rsidRPr="00866775">
      <w:rPr>
        <w:rFonts w:ascii="C39T30Lfz" w:hAnsi="C39T30Lfz"/>
        <w:sz w:val="56"/>
      </w:rPr>
      <w:t></w:t>
    </w:r>
    <w:r w:rsidRPr="00866775">
      <w:rPr>
        <w:rFonts w:ascii="C39T30Lfz" w:hAnsi="C39T30Lfz"/>
        <w:sz w:val="56"/>
      </w:rPr>
      <w:t></w:t>
    </w:r>
    <w:r>
      <w:rPr>
        <w:noProof/>
        <w:sz w:val="20"/>
      </w:rPr>
      <w:drawing>
        <wp:anchor distT="0" distB="0" distL="114300" distR="114300" simplePos="0" relativeHeight="251658240" behindDoc="0" locked="0" layoutInCell="1" allowOverlap="1" wp14:anchorId="39B3B783" wp14:editId="3E93DD4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2/7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7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496CF" w14:textId="77777777" w:rsidR="00B13911" w:rsidRPr="00AC3823" w:rsidRDefault="00B13911" w:rsidP="00AC3823">
      <w:pPr>
        <w:pStyle w:val="Footer"/>
        <w:tabs>
          <w:tab w:val="right" w:pos="2155"/>
        </w:tabs>
        <w:spacing w:after="80" w:line="240" w:lineRule="atLeast"/>
        <w:ind w:left="680"/>
        <w:rPr>
          <w:u w:val="single"/>
        </w:rPr>
      </w:pPr>
      <w:r>
        <w:rPr>
          <w:u w:val="single"/>
        </w:rPr>
        <w:tab/>
      </w:r>
    </w:p>
  </w:footnote>
  <w:footnote w:type="continuationSeparator" w:id="0">
    <w:p w14:paraId="64D71F6B" w14:textId="77777777" w:rsidR="00B13911" w:rsidRPr="00AC3823" w:rsidRDefault="00B13911" w:rsidP="00AC3823">
      <w:pPr>
        <w:pStyle w:val="Footer"/>
        <w:tabs>
          <w:tab w:val="right" w:pos="2155"/>
        </w:tabs>
        <w:spacing w:after="80" w:line="240" w:lineRule="atLeast"/>
        <w:ind w:left="680"/>
        <w:rPr>
          <w:u w:val="single"/>
        </w:rPr>
      </w:pPr>
      <w:r>
        <w:rPr>
          <w:u w:val="single"/>
        </w:rPr>
        <w:tab/>
      </w:r>
    </w:p>
  </w:footnote>
  <w:footnote w:type="continuationNotice" w:id="1">
    <w:p w14:paraId="62B0F29A" w14:textId="77777777" w:rsidR="00B13911" w:rsidRPr="00AC3823" w:rsidRDefault="00B13911">
      <w:pPr>
        <w:spacing w:line="240" w:lineRule="auto"/>
        <w:rPr>
          <w:sz w:val="2"/>
          <w:szCs w:val="2"/>
        </w:rPr>
      </w:pPr>
    </w:p>
  </w:footnote>
  <w:footnote w:id="2">
    <w:p w14:paraId="499BD716" w14:textId="77777777" w:rsidR="00B13911" w:rsidRPr="00396C17" w:rsidRDefault="00B13911" w:rsidP="00866775">
      <w:pPr>
        <w:pStyle w:val="FootnoteText"/>
        <w:rPr>
          <w:lang w:val="fr-FR"/>
        </w:rPr>
      </w:pPr>
      <w:r>
        <w:tab/>
      </w:r>
      <w:r w:rsidRPr="00866775">
        <w:sym w:font="Symbol" w:char="F02A"/>
      </w:r>
      <w:r w:rsidRPr="00866775">
        <w:t xml:space="preserve"> </w:t>
      </w:r>
      <w:r w:rsidRPr="00866775">
        <w:tab/>
      </w:r>
      <w:r w:rsidRPr="00396C17">
        <w:rPr>
          <w:lang w:val="fr-FR"/>
        </w:rPr>
        <w:t>Diffusé en allemand par la Commission centrale pour la navigation du Rhin sous la cote CCNR/ZKR/ADN/WP.15/AC.2/74.</w:t>
      </w:r>
    </w:p>
  </w:footnote>
  <w:footnote w:id="3">
    <w:p w14:paraId="7A9743FA" w14:textId="70544008" w:rsidR="00B13911" w:rsidRPr="00C40495" w:rsidRDefault="00B13911" w:rsidP="00866775">
      <w:pPr>
        <w:pStyle w:val="FootnoteText"/>
        <w:rPr>
          <w:lang w:val="fr-FR"/>
        </w:rPr>
      </w:pPr>
      <w:r w:rsidRPr="00396C17">
        <w:rPr>
          <w:lang w:val="fr-FR"/>
        </w:rPr>
        <w:tab/>
      </w:r>
      <w:r w:rsidRPr="00735C48">
        <w:rPr>
          <w:rStyle w:val="FootnoteReference"/>
        </w:rPr>
        <w:footnoteRef/>
      </w:r>
      <w:r>
        <w:rPr>
          <w:lang w:val="fr-FR"/>
        </w:rPr>
        <w:tab/>
        <w:t>Comité européen pour l’élaboration de standards dans le domaine de la navigation intérieure − CESNI (</w:t>
      </w:r>
      <w:hyperlink r:id="rId1" w:history="1">
        <w:r w:rsidRPr="00351875">
          <w:rPr>
            <w:rStyle w:val="Hyperlink"/>
            <w:lang w:val="fr-FR"/>
          </w:rPr>
          <w:t>www.cesni.eu</w:t>
        </w:r>
      </w:hyperlink>
      <w:r>
        <w:rPr>
          <w:lang w:val="fr-FR"/>
        </w:rPr>
        <w:t>).</w:t>
      </w:r>
    </w:p>
  </w:footnote>
  <w:footnote w:id="4">
    <w:p w14:paraId="1817B79F" w14:textId="6B2965C5" w:rsidR="00B13911" w:rsidRPr="00C40495" w:rsidRDefault="00B13911" w:rsidP="00866775">
      <w:pPr>
        <w:pStyle w:val="FootnoteText"/>
        <w:rPr>
          <w:lang w:val="fr-FR"/>
        </w:rPr>
      </w:pPr>
      <w:r w:rsidRPr="00103509">
        <w:rPr>
          <w:lang w:val="fr-FR"/>
        </w:rPr>
        <w:tab/>
      </w:r>
      <w:r w:rsidRPr="00735C48">
        <w:rPr>
          <w:rStyle w:val="FootnoteReference"/>
        </w:rPr>
        <w:footnoteRef/>
      </w:r>
      <w:r>
        <w:rPr>
          <w:lang w:val="fr-FR"/>
        </w:rPr>
        <w:tab/>
        <w:t>Standard européen établissant les prescriptions techniques des bateaux de navigation intérieure (ES</w:t>
      </w:r>
      <w:r>
        <w:rPr>
          <w:lang w:val="fr-FR"/>
        </w:rPr>
        <w:noBreakHyphen/>
        <w:t xml:space="preserve">TRIN, </w:t>
      </w:r>
      <w:hyperlink r:id="rId2" w:history="1">
        <w:r w:rsidRPr="00351875">
          <w:rPr>
            <w:rStyle w:val="Hyperlink"/>
            <w:lang w:val="fr-FR"/>
          </w:rPr>
          <w:t>www.cesni.eu/en/types/technical-requirements/</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1287B" w14:textId="3C17D826" w:rsidR="00B13911" w:rsidRPr="00866775" w:rsidRDefault="004B29BA">
    <w:pPr>
      <w:pStyle w:val="Header"/>
    </w:pPr>
    <w:r>
      <w:fldChar w:fldCharType="begin"/>
    </w:r>
    <w:r>
      <w:instrText xml:space="preserve"> TITLE  \* MERGEFORMAT </w:instrText>
    </w:r>
    <w:r>
      <w:fldChar w:fldCharType="separate"/>
    </w:r>
    <w:r w:rsidR="00480BEB">
      <w:t>ECE/TRANS/WP.15/AC.2/74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CC0E7" w14:textId="1FBDC4C2" w:rsidR="00B13911" w:rsidRPr="00866775" w:rsidRDefault="004B29BA" w:rsidP="00866775">
    <w:pPr>
      <w:pStyle w:val="Header"/>
      <w:jc w:val="right"/>
    </w:pPr>
    <w:r>
      <w:fldChar w:fldCharType="begin"/>
    </w:r>
    <w:r>
      <w:instrText xml:space="preserve"> TITLE  \* MERGEFORMAT </w:instrText>
    </w:r>
    <w:r>
      <w:fldChar w:fldCharType="separate"/>
    </w:r>
    <w:r w:rsidR="00480BEB">
      <w:t>ECE/TRANS/WP.15/AC.2/74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1B30BE6"/>
    <w:multiLevelType w:val="hybridMultilevel"/>
    <w:tmpl w:val="05A03926"/>
    <w:lvl w:ilvl="0" w:tplc="54D25908">
      <w:start w:val="1"/>
      <w:numFmt w:val="decimal"/>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7" w15:restartNumberingAfterBreak="0">
    <w:nsid w:val="555C7A4A"/>
    <w:multiLevelType w:val="hybridMultilevel"/>
    <w:tmpl w:val="F1C81AF8"/>
    <w:lvl w:ilvl="0" w:tplc="3618B688">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69D6AE4"/>
    <w:multiLevelType w:val="hybridMultilevel"/>
    <w:tmpl w:val="A48405EC"/>
    <w:lvl w:ilvl="0" w:tplc="F4E6D6D0">
      <w:start w:val="1"/>
      <w:numFmt w:val="decimal"/>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1"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6DC84FA6"/>
    <w:multiLevelType w:val="hybridMultilevel"/>
    <w:tmpl w:val="C97AE4DE"/>
    <w:lvl w:ilvl="0" w:tplc="DDFC9348">
      <w:start w:val="1"/>
      <w:numFmt w:val="upperLetter"/>
      <w:lvlText w:val="%1."/>
      <w:lvlJc w:val="left"/>
      <w:pPr>
        <w:ind w:left="1500" w:hanging="360"/>
      </w:pPr>
      <w:rPr>
        <w:rFonts w:ascii="Times New Roman" w:eastAsia="Times New Roman" w:hAnsi="Times New Roman" w:cs="Times New Roman"/>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1"/>
  </w:num>
  <w:num w:numId="15">
    <w:abstractNumId w:val="15"/>
  </w:num>
  <w:num w:numId="16">
    <w:abstractNumId w:val="11"/>
  </w:num>
  <w:num w:numId="17">
    <w:abstractNumId w:val="14"/>
  </w:num>
  <w:num w:numId="18">
    <w:abstractNumId w:val="13"/>
  </w:num>
  <w:num w:numId="19">
    <w:abstractNumId w:val="10"/>
  </w:num>
  <w:num w:numId="20">
    <w:abstractNumId w:val="18"/>
  </w:num>
  <w:num w:numId="21">
    <w:abstractNumId w:val="19"/>
  </w:num>
  <w:num w:numId="22">
    <w:abstractNumId w:val="23"/>
  </w:num>
  <w:num w:numId="23">
    <w:abstractNumId w:val="12"/>
  </w:num>
  <w:num w:numId="24">
    <w:abstractNumId w:val="22"/>
  </w:num>
  <w:num w:numId="25">
    <w:abstractNumId w:val="17"/>
  </w:num>
  <w:num w:numId="26">
    <w:abstractNumId w:val="1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23A"/>
    <w:rsid w:val="00002DB3"/>
    <w:rsid w:val="00017F94"/>
    <w:rsid w:val="00023842"/>
    <w:rsid w:val="000334F9"/>
    <w:rsid w:val="00045FEB"/>
    <w:rsid w:val="0007796D"/>
    <w:rsid w:val="000B7790"/>
    <w:rsid w:val="00111F2F"/>
    <w:rsid w:val="0014365E"/>
    <w:rsid w:val="00143C66"/>
    <w:rsid w:val="00176178"/>
    <w:rsid w:val="001A4465"/>
    <w:rsid w:val="001F525A"/>
    <w:rsid w:val="0021775F"/>
    <w:rsid w:val="00223272"/>
    <w:rsid w:val="002320A9"/>
    <w:rsid w:val="0024779E"/>
    <w:rsid w:val="00257168"/>
    <w:rsid w:val="002744B8"/>
    <w:rsid w:val="002832AC"/>
    <w:rsid w:val="002D7C93"/>
    <w:rsid w:val="00305801"/>
    <w:rsid w:val="003916DE"/>
    <w:rsid w:val="003968B4"/>
    <w:rsid w:val="003C2BA9"/>
    <w:rsid w:val="00421996"/>
    <w:rsid w:val="00441C3B"/>
    <w:rsid w:val="00446FE5"/>
    <w:rsid w:val="00452396"/>
    <w:rsid w:val="00465DCE"/>
    <w:rsid w:val="00480BEB"/>
    <w:rsid w:val="004837D8"/>
    <w:rsid w:val="004B29BA"/>
    <w:rsid w:val="004E2EED"/>
    <w:rsid w:val="004E468C"/>
    <w:rsid w:val="004F6C07"/>
    <w:rsid w:val="005403D6"/>
    <w:rsid w:val="005505B7"/>
    <w:rsid w:val="005523B9"/>
    <w:rsid w:val="00573BE5"/>
    <w:rsid w:val="00586ED3"/>
    <w:rsid w:val="00596AA9"/>
    <w:rsid w:val="00620591"/>
    <w:rsid w:val="0071601D"/>
    <w:rsid w:val="007A62E6"/>
    <w:rsid w:val="007F20FA"/>
    <w:rsid w:val="0080684C"/>
    <w:rsid w:val="00866775"/>
    <w:rsid w:val="00871C75"/>
    <w:rsid w:val="008776DC"/>
    <w:rsid w:val="009446C0"/>
    <w:rsid w:val="009705C8"/>
    <w:rsid w:val="009738BA"/>
    <w:rsid w:val="00990E3F"/>
    <w:rsid w:val="009910F8"/>
    <w:rsid w:val="009C1CF4"/>
    <w:rsid w:val="009D0112"/>
    <w:rsid w:val="009F6B74"/>
    <w:rsid w:val="00A039A0"/>
    <w:rsid w:val="00A3029F"/>
    <w:rsid w:val="00A30353"/>
    <w:rsid w:val="00AC3823"/>
    <w:rsid w:val="00AD037E"/>
    <w:rsid w:val="00AE323C"/>
    <w:rsid w:val="00AF0CB5"/>
    <w:rsid w:val="00B00181"/>
    <w:rsid w:val="00B00B0D"/>
    <w:rsid w:val="00B13911"/>
    <w:rsid w:val="00B45F2E"/>
    <w:rsid w:val="00B765F7"/>
    <w:rsid w:val="00BA0CA9"/>
    <w:rsid w:val="00C02897"/>
    <w:rsid w:val="00C6423A"/>
    <w:rsid w:val="00C65463"/>
    <w:rsid w:val="00C97039"/>
    <w:rsid w:val="00D3439C"/>
    <w:rsid w:val="00DB1831"/>
    <w:rsid w:val="00DD3BFD"/>
    <w:rsid w:val="00DF6678"/>
    <w:rsid w:val="00E0299A"/>
    <w:rsid w:val="00E05CE9"/>
    <w:rsid w:val="00E83E8F"/>
    <w:rsid w:val="00E85C74"/>
    <w:rsid w:val="00EA6547"/>
    <w:rsid w:val="00EF2E22"/>
    <w:rsid w:val="00F35BAF"/>
    <w:rsid w:val="00F445E3"/>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390A32"/>
  <w15:docId w15:val="{76A5D4E4-DFF8-4BC6-8679-FA95AF0C2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paragraph" w:customStyle="1" w:styleId="ParaNoG">
    <w:name w:val="_ParaNo._G"/>
    <w:basedOn w:val="SingleTxtG"/>
    <w:rsid w:val="00866775"/>
    <w:pPr>
      <w:numPr>
        <w:numId w:val="19"/>
      </w:numPr>
      <w:kinsoku/>
      <w:overflowPunct/>
      <w:autoSpaceDE/>
      <w:autoSpaceDN/>
      <w:adjustRightInd/>
      <w:snapToGrid/>
    </w:pPr>
    <w:rPr>
      <w:rFonts w:eastAsia="SimSun"/>
      <w:lang w:val="en-GB" w:eastAsia="zh-CN"/>
    </w:rPr>
  </w:style>
  <w:style w:type="numbering" w:styleId="111111">
    <w:name w:val="Outline List 2"/>
    <w:basedOn w:val="NoList"/>
    <w:semiHidden/>
    <w:rsid w:val="00866775"/>
    <w:pPr>
      <w:numPr>
        <w:numId w:val="21"/>
      </w:numPr>
    </w:pPr>
  </w:style>
  <w:style w:type="numbering" w:styleId="1ai">
    <w:name w:val="Outline List 1"/>
    <w:basedOn w:val="NoList"/>
    <w:semiHidden/>
    <w:rsid w:val="00866775"/>
    <w:pPr>
      <w:numPr>
        <w:numId w:val="22"/>
      </w:numPr>
    </w:pPr>
  </w:style>
  <w:style w:type="character" w:styleId="BookTitle">
    <w:name w:val="Book Title"/>
    <w:basedOn w:val="DefaultParagraphFont"/>
    <w:uiPriority w:val="33"/>
    <w:semiHidden/>
    <w:rsid w:val="00866775"/>
    <w:rPr>
      <w:b/>
      <w:bCs/>
      <w:smallCaps/>
      <w:spacing w:val="5"/>
    </w:rPr>
  </w:style>
  <w:style w:type="character" w:customStyle="1" w:styleId="HChGChar">
    <w:name w:val="_ H _Ch_G Char"/>
    <w:link w:val="HChG"/>
    <w:rsid w:val="00866775"/>
    <w:rPr>
      <w:rFonts w:ascii="Times New Roman" w:eastAsiaTheme="minorHAnsi" w:hAnsi="Times New Roman" w:cs="Times New Roman"/>
      <w:b/>
      <w:sz w:val="28"/>
      <w:szCs w:val="20"/>
      <w:lang w:eastAsia="en-US"/>
    </w:rPr>
  </w:style>
  <w:style w:type="character" w:styleId="CommentReference">
    <w:name w:val="annotation reference"/>
    <w:basedOn w:val="DefaultParagraphFont"/>
    <w:uiPriority w:val="99"/>
    <w:semiHidden/>
    <w:unhideWhenUsed/>
    <w:rsid w:val="00866775"/>
    <w:rPr>
      <w:sz w:val="16"/>
      <w:szCs w:val="16"/>
    </w:rPr>
  </w:style>
  <w:style w:type="paragraph" w:styleId="CommentText">
    <w:name w:val="annotation text"/>
    <w:basedOn w:val="Normal"/>
    <w:link w:val="CommentTextChar"/>
    <w:uiPriority w:val="99"/>
    <w:unhideWhenUsed/>
    <w:rsid w:val="00866775"/>
    <w:pPr>
      <w:kinsoku/>
      <w:overflowPunct/>
      <w:autoSpaceDE/>
      <w:autoSpaceDN/>
      <w:adjustRightInd/>
      <w:snapToGrid/>
      <w:spacing w:line="240" w:lineRule="auto"/>
    </w:pPr>
    <w:rPr>
      <w:rFonts w:eastAsia="Times New Roman"/>
      <w:lang w:val="en-GB"/>
    </w:rPr>
  </w:style>
  <w:style w:type="character" w:customStyle="1" w:styleId="CommentTextChar">
    <w:name w:val="Comment Text Char"/>
    <w:basedOn w:val="DefaultParagraphFont"/>
    <w:link w:val="CommentText"/>
    <w:uiPriority w:val="99"/>
    <w:rsid w:val="00866775"/>
    <w:rPr>
      <w:rFonts w:ascii="Times New Roman"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866775"/>
    <w:rPr>
      <w:b/>
      <w:bCs/>
    </w:rPr>
  </w:style>
  <w:style w:type="character" w:customStyle="1" w:styleId="CommentSubjectChar">
    <w:name w:val="Comment Subject Char"/>
    <w:basedOn w:val="CommentTextChar"/>
    <w:link w:val="CommentSubject"/>
    <w:uiPriority w:val="99"/>
    <w:semiHidden/>
    <w:rsid w:val="00866775"/>
    <w:rPr>
      <w:rFonts w:ascii="Times New Roman" w:hAnsi="Times New Roman" w:cs="Times New Roman"/>
      <w:b/>
      <w:bCs/>
      <w:sz w:val="20"/>
      <w:szCs w:val="20"/>
      <w:lang w:val="en-GB" w:eastAsia="en-US"/>
    </w:rPr>
  </w:style>
  <w:style w:type="character" w:customStyle="1" w:styleId="SingleTxtGChar">
    <w:name w:val="_ Single Txt_G Char"/>
    <w:basedOn w:val="DefaultParagraphFont"/>
    <w:link w:val="SingleTxtG"/>
    <w:qFormat/>
    <w:rsid w:val="00866775"/>
    <w:rPr>
      <w:rFonts w:ascii="Times New Roman" w:eastAsiaTheme="minorHAnsi" w:hAnsi="Times New Roman" w:cs="Times New Roman"/>
      <w:sz w:val="20"/>
      <w:szCs w:val="20"/>
      <w:lang w:eastAsia="en-US"/>
    </w:rPr>
  </w:style>
  <w:style w:type="paragraph" w:styleId="Revision">
    <w:name w:val="Revision"/>
    <w:hidden/>
    <w:uiPriority w:val="99"/>
    <w:semiHidden/>
    <w:rsid w:val="00866775"/>
    <w:pPr>
      <w:spacing w:after="0" w:line="240" w:lineRule="auto"/>
    </w:pPr>
    <w:rPr>
      <w:rFonts w:ascii="Times New Roman" w:hAnsi="Times New Roman" w:cs="Times New Roman"/>
      <w:sz w:val="20"/>
      <w:szCs w:val="20"/>
      <w:lang w:val="en-GB" w:eastAsia="en-US"/>
    </w:rPr>
  </w:style>
  <w:style w:type="paragraph" w:styleId="TOC1">
    <w:name w:val="toc 1"/>
    <w:basedOn w:val="Normal"/>
    <w:next w:val="Normal"/>
    <w:autoRedefine/>
    <w:uiPriority w:val="39"/>
    <w:unhideWhenUsed/>
    <w:rsid w:val="00866775"/>
    <w:pPr>
      <w:kinsoku/>
      <w:overflowPunct/>
      <w:autoSpaceDE/>
      <w:autoSpaceDN/>
      <w:adjustRightInd/>
      <w:snapToGrid/>
      <w:spacing w:after="100"/>
    </w:pPr>
    <w:rPr>
      <w:rFonts w:eastAsia="Times New Roman"/>
      <w:lang w:val="en-GB"/>
    </w:rPr>
  </w:style>
  <w:style w:type="paragraph" w:styleId="TOC2">
    <w:name w:val="toc 2"/>
    <w:basedOn w:val="Normal"/>
    <w:next w:val="Normal"/>
    <w:autoRedefine/>
    <w:uiPriority w:val="39"/>
    <w:unhideWhenUsed/>
    <w:rsid w:val="00866775"/>
    <w:pPr>
      <w:kinsoku/>
      <w:overflowPunct/>
      <w:autoSpaceDE/>
      <w:autoSpaceDN/>
      <w:adjustRightInd/>
      <w:snapToGrid/>
      <w:spacing w:after="100"/>
      <w:ind w:left="200"/>
    </w:pPr>
    <w:rPr>
      <w:rFonts w:eastAsia="Times New Roman"/>
      <w:lang w:val="en-GB"/>
    </w:rPr>
  </w:style>
  <w:style w:type="paragraph" w:styleId="TOC3">
    <w:name w:val="toc 3"/>
    <w:basedOn w:val="Normal"/>
    <w:next w:val="Normal"/>
    <w:autoRedefine/>
    <w:uiPriority w:val="39"/>
    <w:unhideWhenUsed/>
    <w:rsid w:val="00866775"/>
    <w:pPr>
      <w:kinsoku/>
      <w:overflowPunct/>
      <w:autoSpaceDE/>
      <w:autoSpaceDN/>
      <w:adjustRightInd/>
      <w:snapToGrid/>
      <w:spacing w:after="100"/>
      <w:ind w:left="400"/>
    </w:pPr>
    <w:rPr>
      <w:rFonts w:eastAsia="Times New Roman"/>
      <w:lang w:val="en-GB"/>
    </w:rPr>
  </w:style>
  <w:style w:type="character" w:customStyle="1" w:styleId="H1GChar">
    <w:name w:val="_ H_1_G Char"/>
    <w:link w:val="H1G"/>
    <w:rsid w:val="00866775"/>
    <w:rPr>
      <w:rFonts w:ascii="Times New Roman" w:eastAsiaTheme="minorHAnsi" w:hAnsi="Times New Roman" w:cs="Times New Roman"/>
      <w:b/>
      <w:sz w:val="24"/>
      <w:szCs w:val="20"/>
      <w:lang w:eastAsia="en-US"/>
    </w:rPr>
  </w:style>
  <w:style w:type="character" w:customStyle="1" w:styleId="H23GChar">
    <w:name w:val="_ H_2/3_G Char"/>
    <w:link w:val="H23G"/>
    <w:rsid w:val="00866775"/>
    <w:rPr>
      <w:rFonts w:ascii="Times New Roman" w:eastAsiaTheme="minorHAnsi" w:hAnsi="Times New Roman" w:cs="Times New Roman"/>
      <w:b/>
      <w:sz w:val="20"/>
      <w:szCs w:val="20"/>
      <w:lang w:eastAsia="en-US"/>
    </w:rPr>
  </w:style>
  <w:style w:type="character" w:customStyle="1" w:styleId="Mentionnonrsolue1">
    <w:name w:val="Mention non résolue1"/>
    <w:basedOn w:val="DefaultParagraphFont"/>
    <w:uiPriority w:val="99"/>
    <w:semiHidden/>
    <w:unhideWhenUsed/>
    <w:rsid w:val="00866775"/>
    <w:rPr>
      <w:color w:val="605E5C"/>
      <w:shd w:val="clear" w:color="auto" w:fill="E1DFDD"/>
    </w:rPr>
  </w:style>
  <w:style w:type="character" w:styleId="UnresolvedMention">
    <w:name w:val="Unresolved Mention"/>
    <w:basedOn w:val="DefaultParagraphFont"/>
    <w:uiPriority w:val="99"/>
    <w:semiHidden/>
    <w:unhideWhenUsed/>
    <w:rsid w:val="00866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easme/en/life"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cesni.eu/en/types/technical-requirements/" TargetMode="External"/><Relationship Id="rId1" Type="http://schemas.openxmlformats.org/officeDocument/2006/relationships/hyperlink" Target="http://www.cesn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452B2-A6AC-4C93-AD8C-95436EBF7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5146</Words>
  <Characters>29336</Characters>
  <Application>Microsoft Office Word</Application>
  <DocSecurity>0</DocSecurity>
  <Lines>244</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ECE/TRANS/WP.15/AC.2/74</vt:lpstr>
      <vt:lpstr>ECE/TRANS/WP.15/AC.2/74</vt:lpstr>
    </vt:vector>
  </TitlesOfParts>
  <Company>DCM</Company>
  <LinksUpToDate>false</LinksUpToDate>
  <CharactersWithSpaces>34414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ECE/TRANS/WP.15/AC.2/74</dc:title>
  <dc:subject/>
  <dc:creator>Edith BOURION</dc:creator>
  <cp:keywords/>
  <cp:lastModifiedBy>Lucille</cp:lastModifiedBy>
  <cp:revision>2</cp:revision>
  <cp:lastPrinted>2020-03-20T10:27:00Z</cp:lastPrinted>
  <dcterms:created xsi:type="dcterms:W3CDTF">2020-03-20T15:18:00Z</dcterms:created>
  <dcterms:modified xsi:type="dcterms:W3CDTF">2020-03-20T15:18:00Z</dcterms:modified>
</cp:coreProperties>
</file>