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D037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D0371" w:rsidP="003D0371">
            <w:pPr>
              <w:jc w:val="right"/>
            </w:pPr>
            <w:r w:rsidRPr="003D0371">
              <w:rPr>
                <w:sz w:val="40"/>
              </w:rPr>
              <w:t>ECE</w:t>
            </w:r>
            <w:r>
              <w:t>/TRANS/WP.15/AC.2/2020/36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D0371" w:rsidP="00C97039">
            <w:pPr>
              <w:spacing w:before="240"/>
            </w:pPr>
            <w:r>
              <w:t>Distr. générale</w:t>
            </w:r>
          </w:p>
          <w:p w:rsidR="003D0371" w:rsidRDefault="003D0371" w:rsidP="003D0371">
            <w:pPr>
              <w:spacing w:line="240" w:lineRule="exact"/>
            </w:pPr>
            <w:r>
              <w:t>5 juin 2020</w:t>
            </w:r>
          </w:p>
          <w:p w:rsidR="003D0371" w:rsidRDefault="003D0371" w:rsidP="003D0371">
            <w:pPr>
              <w:spacing w:line="240" w:lineRule="exact"/>
            </w:pPr>
            <w:r>
              <w:t>Français</w:t>
            </w:r>
          </w:p>
          <w:p w:rsidR="003D0371" w:rsidRPr="00DB58B5" w:rsidRDefault="003D0371" w:rsidP="003D037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C266F">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D0371" w:rsidRPr="00F70A83" w:rsidRDefault="003D0371" w:rsidP="003D0371">
      <w:pPr>
        <w:spacing w:before="120"/>
        <w:ind w:right="3402"/>
        <w:rPr>
          <w:b/>
          <w:sz w:val="24"/>
          <w:szCs w:val="24"/>
        </w:rPr>
      </w:pPr>
      <w:r w:rsidRPr="00787B72">
        <w:rPr>
          <w:b/>
          <w:bCs/>
          <w:sz w:val="24"/>
          <w:szCs w:val="24"/>
          <w:lang w:val="fr-FR"/>
        </w:rPr>
        <w:t>Groupe de travail des transports de marchandises dangereuses</w:t>
      </w:r>
    </w:p>
    <w:p w:rsidR="003D0371" w:rsidRPr="00722725" w:rsidRDefault="003D0371" w:rsidP="003D0371">
      <w:pPr>
        <w:spacing w:before="120"/>
        <w:ind w:right="3402"/>
        <w:rPr>
          <w:b/>
        </w:rPr>
      </w:pPr>
      <w:r>
        <w:rPr>
          <w:b/>
          <w:bCs/>
          <w:lang w:val="fr-FR"/>
        </w:rPr>
        <w:t>Réunion commune d</w:t>
      </w:r>
      <w:r w:rsidR="00DC266F">
        <w:rPr>
          <w:b/>
          <w:bCs/>
          <w:lang w:val="fr-FR"/>
        </w:rPr>
        <w:t>’</w:t>
      </w:r>
      <w:r>
        <w:rPr>
          <w:b/>
          <w:bCs/>
          <w:lang w:val="fr-FR"/>
        </w:rPr>
        <w:t>experts du Règlement annexé à l</w:t>
      </w:r>
      <w:r w:rsidR="00DC266F">
        <w:rPr>
          <w:b/>
          <w:bCs/>
          <w:lang w:val="fr-FR"/>
        </w:rPr>
        <w:t>’</w:t>
      </w:r>
      <w:r>
        <w:rPr>
          <w:b/>
          <w:bCs/>
          <w:lang w:val="fr-FR"/>
        </w:rPr>
        <w:t>Accord européen relatif au transport international des marchandises dangereuses par voies de navigation intérieures (ADN) (Comité de sécurité de l</w:t>
      </w:r>
      <w:r w:rsidR="00DC266F">
        <w:rPr>
          <w:b/>
          <w:bCs/>
          <w:lang w:val="fr-FR"/>
        </w:rPr>
        <w:t>’</w:t>
      </w:r>
      <w:r>
        <w:rPr>
          <w:b/>
          <w:bCs/>
          <w:lang w:val="fr-FR"/>
        </w:rPr>
        <w:t>ADN</w:t>
      </w:r>
      <w:r>
        <w:rPr>
          <w:lang w:val="fr-FR"/>
        </w:rPr>
        <w:t>)</w:t>
      </w:r>
    </w:p>
    <w:p w:rsidR="003D0371" w:rsidRPr="00722725" w:rsidRDefault="003D0371" w:rsidP="003D0371">
      <w:pPr>
        <w:spacing w:before="120"/>
        <w:ind w:right="3402"/>
        <w:rPr>
          <w:b/>
        </w:rPr>
      </w:pPr>
      <w:r>
        <w:rPr>
          <w:b/>
          <w:bCs/>
          <w:lang w:val="fr-FR"/>
        </w:rPr>
        <w:t>Trente-septième session</w:t>
      </w:r>
    </w:p>
    <w:p w:rsidR="003D0371" w:rsidRPr="00722725" w:rsidRDefault="003D0371" w:rsidP="003D0371">
      <w:pPr>
        <w:ind w:right="3402"/>
      </w:pPr>
      <w:r>
        <w:rPr>
          <w:lang w:val="fr-FR"/>
        </w:rPr>
        <w:t>Genève, 24-28 août 2020</w:t>
      </w:r>
    </w:p>
    <w:p w:rsidR="003D0371" w:rsidRPr="00722725" w:rsidRDefault="003D0371" w:rsidP="003D0371">
      <w:pPr>
        <w:ind w:right="3402"/>
      </w:pPr>
      <w:r>
        <w:rPr>
          <w:lang w:val="fr-FR"/>
        </w:rPr>
        <w:t>Point 4 b) de l</w:t>
      </w:r>
      <w:r w:rsidR="00DC266F">
        <w:rPr>
          <w:lang w:val="fr-FR"/>
        </w:rPr>
        <w:t>’</w:t>
      </w:r>
      <w:r>
        <w:rPr>
          <w:lang w:val="fr-FR"/>
        </w:rPr>
        <w:t>ordre du jour provisoire</w:t>
      </w:r>
    </w:p>
    <w:p w:rsidR="003D0371" w:rsidRPr="00722725" w:rsidRDefault="003D0371" w:rsidP="003D0371">
      <w:pPr>
        <w:ind w:right="3402"/>
        <w:rPr>
          <w:b/>
        </w:rPr>
      </w:pPr>
      <w:r>
        <w:rPr>
          <w:b/>
          <w:bCs/>
          <w:lang w:val="fr-FR"/>
        </w:rPr>
        <w:t>Propositions d</w:t>
      </w:r>
      <w:r w:rsidR="00DC266F">
        <w:rPr>
          <w:b/>
          <w:bCs/>
          <w:lang w:val="fr-FR"/>
        </w:rPr>
        <w:t>’</w:t>
      </w:r>
      <w:r>
        <w:rPr>
          <w:b/>
          <w:bCs/>
          <w:lang w:val="fr-FR"/>
        </w:rPr>
        <w:t>amendements au Règlement annexé à l</w:t>
      </w:r>
      <w:r w:rsidR="00DC266F">
        <w:rPr>
          <w:b/>
          <w:bCs/>
          <w:lang w:val="fr-FR"/>
        </w:rPr>
        <w:t>’</w:t>
      </w:r>
      <w:r>
        <w:rPr>
          <w:b/>
          <w:bCs/>
          <w:lang w:val="fr-FR"/>
        </w:rPr>
        <w:t>ADN :</w:t>
      </w:r>
      <w:r w:rsidR="00DC266F">
        <w:rPr>
          <w:b/>
          <w:bCs/>
          <w:lang w:val="fr-FR"/>
        </w:rPr>
        <w:br/>
      </w:r>
      <w:r>
        <w:rPr>
          <w:b/>
          <w:bCs/>
          <w:lang w:val="fr-FR"/>
        </w:rPr>
        <w:t>Autres propositions</w:t>
      </w:r>
    </w:p>
    <w:p w:rsidR="003D0371" w:rsidRPr="00722725" w:rsidRDefault="003D0371" w:rsidP="003D0371">
      <w:pPr>
        <w:pStyle w:val="HChG"/>
        <w:keepNext w:val="0"/>
        <w:keepLines w:val="0"/>
      </w:pPr>
      <w:r>
        <w:rPr>
          <w:lang w:val="fr-FR"/>
        </w:rPr>
        <w:tab/>
      </w:r>
      <w:r>
        <w:rPr>
          <w:lang w:val="fr-FR"/>
        </w:rPr>
        <w:tab/>
      </w:r>
      <w:r>
        <w:rPr>
          <w:bCs/>
          <w:lang w:val="fr-FR"/>
        </w:rPr>
        <w:t>Soupape basse pression à ressort</w:t>
      </w:r>
    </w:p>
    <w:p w:rsidR="003D0371" w:rsidRDefault="003D0371" w:rsidP="00DC266F">
      <w:pPr>
        <w:pStyle w:val="H1G"/>
        <w:rPr>
          <w:b w:val="0"/>
          <w:bCs/>
        </w:rPr>
      </w:pPr>
      <w:r>
        <w:rPr>
          <w:lang w:val="fr-FR"/>
        </w:rPr>
        <w:tab/>
      </w:r>
      <w:r>
        <w:rPr>
          <w:lang w:val="fr-FR"/>
        </w:rPr>
        <w:tab/>
        <w:t>Communication du Gouvernement des Pays-Bas</w:t>
      </w:r>
      <w:r w:rsidRPr="00DC266F">
        <w:rPr>
          <w:b w:val="0"/>
          <w:bCs/>
        </w:rPr>
        <w:footnoteReference w:customMarkFollows="1" w:id="2"/>
        <w:t>*</w:t>
      </w:r>
      <w:r w:rsidRPr="00DC266F">
        <w:rPr>
          <w:b w:val="0"/>
          <w:bCs/>
          <w:vertAlign w:val="superscript"/>
        </w:rPr>
        <w:t>,</w:t>
      </w:r>
      <w:r w:rsidR="00DC266F" w:rsidRPr="00DC266F">
        <w:rPr>
          <w:b w:val="0"/>
          <w:bCs/>
          <w:vertAlign w:val="superscript"/>
        </w:rPr>
        <w:t xml:space="preserve"> </w:t>
      </w:r>
      <w:r w:rsidRPr="00DC266F">
        <w:rPr>
          <w:b w:val="0"/>
          <w:bCs/>
        </w:rPr>
        <w:footnoteReference w:customMarkFollows="1" w:id="3"/>
        <w:t>**</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37"/>
      </w:tblGrid>
      <w:tr w:rsidR="003D0371" w:rsidTr="000C19D9">
        <w:trPr>
          <w:jc w:val="center"/>
        </w:trPr>
        <w:tc>
          <w:tcPr>
            <w:tcW w:w="9637" w:type="dxa"/>
            <w:shd w:val="clear" w:color="auto" w:fill="auto"/>
          </w:tcPr>
          <w:p w:rsidR="003D0371" w:rsidRPr="00F852A5" w:rsidRDefault="003D0371" w:rsidP="000C19D9">
            <w:pPr>
              <w:spacing w:before="240" w:after="120"/>
              <w:ind w:left="255"/>
              <w:rPr>
                <w:i/>
                <w:sz w:val="24"/>
                <w:szCs w:val="24"/>
              </w:rPr>
            </w:pPr>
            <w:r w:rsidRPr="00F852A5">
              <w:rPr>
                <w:i/>
                <w:iCs/>
                <w:sz w:val="24"/>
                <w:szCs w:val="24"/>
                <w:lang w:val="fr-FR"/>
              </w:rPr>
              <w:t>Résumé</w:t>
            </w:r>
          </w:p>
        </w:tc>
      </w:tr>
      <w:tr w:rsidR="003D0371" w:rsidRPr="00722725" w:rsidTr="000C19D9">
        <w:trPr>
          <w:jc w:val="center"/>
        </w:trPr>
        <w:tc>
          <w:tcPr>
            <w:tcW w:w="9637" w:type="dxa"/>
            <w:shd w:val="clear" w:color="auto" w:fill="auto"/>
          </w:tcPr>
          <w:p w:rsidR="003D0371" w:rsidRPr="00722725" w:rsidRDefault="003D0371" w:rsidP="00DC266F">
            <w:pPr>
              <w:pStyle w:val="SingleTxtG"/>
              <w:ind w:left="2259" w:hanging="1984"/>
            </w:pPr>
            <w:r>
              <w:rPr>
                <w:b/>
                <w:bCs/>
                <w:lang w:val="fr-FR"/>
              </w:rPr>
              <w:t>Résumé analytique :</w:t>
            </w:r>
            <w:r>
              <w:rPr>
                <w:lang w:val="fr-FR"/>
              </w:rPr>
              <w:tab/>
              <w:t>Les soupapes basse pression qui empêchent l</w:t>
            </w:r>
            <w:r w:rsidR="00DC266F">
              <w:rPr>
                <w:lang w:val="fr-FR"/>
              </w:rPr>
              <w:t>’</w:t>
            </w:r>
            <w:r>
              <w:rPr>
                <w:lang w:val="fr-FR"/>
              </w:rPr>
              <w:t>activation de la soupape à dépression ne peuvent être que des soupapes à contrepoids.</w:t>
            </w:r>
          </w:p>
        </w:tc>
      </w:tr>
      <w:tr w:rsidR="00DC266F" w:rsidRPr="00DC266F" w:rsidTr="000C19D9">
        <w:trPr>
          <w:jc w:val="center"/>
        </w:trPr>
        <w:tc>
          <w:tcPr>
            <w:tcW w:w="9637" w:type="dxa"/>
            <w:shd w:val="clear" w:color="auto" w:fill="auto"/>
          </w:tcPr>
          <w:p w:rsidR="00DC266F" w:rsidRPr="00DC266F" w:rsidRDefault="00DC266F" w:rsidP="000C19D9">
            <w:pPr>
              <w:pStyle w:val="SingleTxtG"/>
              <w:ind w:left="2259" w:hanging="1984"/>
              <w:rPr>
                <w:lang w:val="fr-FR"/>
              </w:rPr>
            </w:pPr>
            <w:r>
              <w:rPr>
                <w:b/>
                <w:bCs/>
                <w:lang w:val="fr-FR"/>
              </w:rPr>
              <w:t>Mesures à prendre :</w:t>
            </w:r>
            <w:r>
              <w:rPr>
                <w:lang w:val="fr-FR"/>
              </w:rPr>
              <w:tab/>
              <w:t>Le Comité de sécurité est invité à adopter les amendements proposés au paragraphe 4 et à examiner la nécessité de modifier la section 9.3.X.62.</w:t>
            </w:r>
          </w:p>
        </w:tc>
      </w:tr>
      <w:tr w:rsidR="003D0371" w:rsidRPr="00722725" w:rsidTr="000C19D9">
        <w:trPr>
          <w:jc w:val="center"/>
        </w:trPr>
        <w:tc>
          <w:tcPr>
            <w:tcW w:w="9637" w:type="dxa"/>
            <w:shd w:val="clear" w:color="auto" w:fill="auto"/>
          </w:tcPr>
          <w:p w:rsidR="003D0371" w:rsidRPr="00722725" w:rsidRDefault="003D0371" w:rsidP="000C19D9"/>
        </w:tc>
      </w:tr>
    </w:tbl>
    <w:p w:rsidR="003D0371" w:rsidRPr="00722725" w:rsidRDefault="003D0371" w:rsidP="003D0371">
      <w:pPr>
        <w:pStyle w:val="HChG"/>
      </w:pPr>
      <w:r>
        <w:rPr>
          <w:lang w:val="fr-FR"/>
        </w:rPr>
        <w:tab/>
      </w:r>
      <w:r>
        <w:rPr>
          <w:lang w:val="fr-FR"/>
        </w:rPr>
        <w:tab/>
      </w:r>
      <w:r>
        <w:rPr>
          <w:bCs/>
          <w:lang w:val="fr-FR"/>
        </w:rPr>
        <w:t>Introduction</w:t>
      </w:r>
    </w:p>
    <w:p w:rsidR="003D0371" w:rsidRDefault="003D0371" w:rsidP="003D0371">
      <w:pPr>
        <w:pStyle w:val="SingleTxtG"/>
        <w:rPr>
          <w:lang w:val="fr-FR"/>
        </w:rPr>
      </w:pPr>
      <w:r>
        <w:rPr>
          <w:lang w:val="fr-FR"/>
        </w:rPr>
        <w:t>1.</w:t>
      </w:r>
      <w:r>
        <w:rPr>
          <w:lang w:val="fr-FR"/>
        </w:rPr>
        <w:tab/>
        <w:t>Lors de la trente et unième session du Comité de sécurité de l</w:t>
      </w:r>
      <w:r w:rsidR="00DC266F">
        <w:rPr>
          <w:lang w:val="fr-FR"/>
        </w:rPr>
        <w:t>’</w:t>
      </w:r>
      <w:r>
        <w:rPr>
          <w:lang w:val="fr-FR"/>
        </w:rPr>
        <w:t>ADN, les amendements à l</w:t>
      </w:r>
      <w:r w:rsidR="00DC266F">
        <w:rPr>
          <w:lang w:val="fr-FR"/>
        </w:rPr>
        <w:t>’</w:t>
      </w:r>
      <w:r>
        <w:rPr>
          <w:lang w:val="fr-FR"/>
        </w:rPr>
        <w:t>ADN proposés par le groupe de travail informel du dégazage ont été acceptés. Une partie de ces amendements concernait une innovation : la soupape basse pression à ressort. Cette soupape, dont le but est d</w:t>
      </w:r>
      <w:r w:rsidR="00DC266F">
        <w:rPr>
          <w:lang w:val="fr-FR"/>
        </w:rPr>
        <w:t>’</w:t>
      </w:r>
      <w:r>
        <w:rPr>
          <w:lang w:val="fr-FR"/>
        </w:rPr>
        <w:t>offrir un moyen sûr d</w:t>
      </w:r>
      <w:r w:rsidR="00DC266F">
        <w:rPr>
          <w:lang w:val="fr-FR"/>
        </w:rPr>
        <w:t>’</w:t>
      </w:r>
      <w:r>
        <w:rPr>
          <w:lang w:val="fr-FR"/>
        </w:rPr>
        <w:t>empêcher le dépassement du vide maximal autorisé dans les citernes à cargaison, a deux fonctions principales : d</w:t>
      </w:r>
      <w:r w:rsidR="00DC266F">
        <w:rPr>
          <w:lang w:val="fr-FR"/>
        </w:rPr>
        <w:t>’</w:t>
      </w:r>
      <w:r>
        <w:rPr>
          <w:lang w:val="fr-FR"/>
        </w:rPr>
        <w:t>abord, fermer automatiquement l</w:t>
      </w:r>
      <w:r w:rsidR="00DC266F">
        <w:rPr>
          <w:lang w:val="fr-FR"/>
        </w:rPr>
        <w:t>’</w:t>
      </w:r>
      <w:r>
        <w:rPr>
          <w:lang w:val="fr-FR"/>
        </w:rPr>
        <w:t>ouverture vers l</w:t>
      </w:r>
      <w:r w:rsidR="00DC266F">
        <w:rPr>
          <w:lang w:val="fr-FR"/>
        </w:rPr>
        <w:t>’</w:t>
      </w:r>
      <w:r>
        <w:rPr>
          <w:lang w:val="fr-FR"/>
        </w:rPr>
        <w:t>atmosphère en cas de perte de puissance d</w:t>
      </w:r>
      <w:r w:rsidR="00DC266F">
        <w:rPr>
          <w:lang w:val="fr-FR"/>
        </w:rPr>
        <w:t>’</w:t>
      </w:r>
      <w:r>
        <w:rPr>
          <w:lang w:val="fr-FR"/>
        </w:rPr>
        <w:t xml:space="preserve">aspiration au niveau de la station de réception ; et, deuxièmement, </w:t>
      </w:r>
      <w:r>
        <w:rPr>
          <w:lang w:val="fr-FR"/>
        </w:rPr>
        <w:lastRenderedPageBreak/>
        <w:t xml:space="preserve">empêcher </w:t>
      </w:r>
      <w:r w:rsidRPr="00787B72">
        <w:rPr>
          <w:lang w:val="fr-FR"/>
        </w:rPr>
        <w:t>l</w:t>
      </w:r>
      <w:r w:rsidR="00DC266F">
        <w:rPr>
          <w:lang w:val="fr-FR"/>
        </w:rPr>
        <w:t>’</w:t>
      </w:r>
      <w:r w:rsidRPr="00787B72">
        <w:rPr>
          <w:lang w:val="fr-FR"/>
        </w:rPr>
        <w:t xml:space="preserve">activation </w:t>
      </w:r>
      <w:r>
        <w:rPr>
          <w:lang w:val="fr-FR"/>
        </w:rPr>
        <w:t>de la soupape à dépression dans des conditions normales de fonctionnement. La soupape à dépression est un dispositif de sécurité qui ne doit pas être utilisé dans les opérations de dégazage ordinaires.</w:t>
      </w:r>
    </w:p>
    <w:p w:rsidR="003D0371" w:rsidRDefault="003D0371" w:rsidP="003D0371">
      <w:pPr>
        <w:pStyle w:val="SingleTxtG"/>
        <w:rPr>
          <w:lang w:val="fr-FR"/>
        </w:rPr>
      </w:pPr>
      <w:r>
        <w:rPr>
          <w:lang w:val="fr-FR"/>
        </w:rPr>
        <w:t>2.</w:t>
      </w:r>
      <w:r>
        <w:rPr>
          <w:lang w:val="fr-FR"/>
        </w:rPr>
        <w:tab/>
        <w:t>Les spécifications techniques de cette soupape sont exposées à la section 9.3.X.62. Dans cette section, elle est décrite comme une « soupape basse pression à ressort » qui doit être montée de manière que, dans des conditions normales de fonctionnement, la soupape à dépression ne soit pas activée. Toutefois, les représentants du secteur de la navigation intérieure ont attiré l</w:t>
      </w:r>
      <w:r w:rsidR="00DC266F">
        <w:rPr>
          <w:lang w:val="fr-FR"/>
        </w:rPr>
        <w:t>’</w:t>
      </w:r>
      <w:r>
        <w:rPr>
          <w:lang w:val="fr-FR"/>
        </w:rPr>
        <w:t>attention du Comité de sécurité sur le fait qu</w:t>
      </w:r>
      <w:r w:rsidR="00DC266F">
        <w:rPr>
          <w:lang w:val="fr-FR"/>
        </w:rPr>
        <w:t>’</w:t>
      </w:r>
      <w:r>
        <w:rPr>
          <w:lang w:val="fr-FR"/>
        </w:rPr>
        <w:t>il n</w:t>
      </w:r>
      <w:r w:rsidR="00DC266F">
        <w:rPr>
          <w:lang w:val="fr-FR"/>
        </w:rPr>
        <w:t>’</w:t>
      </w:r>
      <w:r>
        <w:rPr>
          <w:lang w:val="fr-FR"/>
        </w:rPr>
        <w:t>existe pas de soupapes basse pression à ressort empêchant l</w:t>
      </w:r>
      <w:r w:rsidR="00DC266F">
        <w:rPr>
          <w:lang w:val="fr-FR"/>
        </w:rPr>
        <w:t>’</w:t>
      </w:r>
      <w:r>
        <w:rPr>
          <w:lang w:val="fr-FR"/>
        </w:rPr>
        <w:t>activation d</w:t>
      </w:r>
      <w:r w:rsidR="00DC266F">
        <w:rPr>
          <w:lang w:val="fr-FR"/>
        </w:rPr>
        <w:t>’</w:t>
      </w:r>
      <w:r>
        <w:rPr>
          <w:lang w:val="fr-FR"/>
        </w:rPr>
        <w:t>une soupape à dépression.</w:t>
      </w:r>
    </w:p>
    <w:p w:rsidR="003D0371" w:rsidRPr="00722725" w:rsidRDefault="003D0371" w:rsidP="003D0371">
      <w:pPr>
        <w:pStyle w:val="SingleTxtG"/>
      </w:pPr>
      <w:r>
        <w:rPr>
          <w:lang w:val="fr-FR"/>
        </w:rPr>
        <w:t>3.</w:t>
      </w:r>
      <w:r>
        <w:rPr>
          <w:lang w:val="fr-FR"/>
        </w:rPr>
        <w:tab/>
        <w:t>Une soupape peut être soit à ressort, soit à contrepoids. Pour satisfaire à la spécification de l</w:t>
      </w:r>
      <w:r w:rsidR="00DC266F">
        <w:rPr>
          <w:lang w:val="fr-FR"/>
        </w:rPr>
        <w:t>’</w:t>
      </w:r>
      <w:r>
        <w:rPr>
          <w:lang w:val="fr-FR"/>
        </w:rPr>
        <w:t>ADN selon laquelle la soupape basse pression doit empêcher l</w:t>
      </w:r>
      <w:r w:rsidR="00DC266F">
        <w:rPr>
          <w:lang w:val="fr-FR"/>
        </w:rPr>
        <w:t>’</w:t>
      </w:r>
      <w:r>
        <w:rPr>
          <w:lang w:val="fr-FR"/>
        </w:rPr>
        <w:t>activation de la soupape à dépression, seule une soupape à contrepoids peut être montée. Par conséquent, la délégation néerlandaise propose de supprimer l</w:t>
      </w:r>
      <w:r w:rsidR="00DC266F">
        <w:rPr>
          <w:lang w:val="fr-FR"/>
        </w:rPr>
        <w:t>’</w:t>
      </w:r>
      <w:r>
        <w:rPr>
          <w:lang w:val="fr-FR"/>
        </w:rPr>
        <w:t>expression « à ressort » associée à l</w:t>
      </w:r>
      <w:r w:rsidR="00DC266F">
        <w:rPr>
          <w:lang w:val="fr-FR"/>
        </w:rPr>
        <w:t>’</w:t>
      </w:r>
      <w:r>
        <w:rPr>
          <w:lang w:val="fr-FR"/>
        </w:rPr>
        <w:t>expression « soupape basse pression ».</w:t>
      </w:r>
    </w:p>
    <w:p w:rsidR="003D0371" w:rsidRPr="00722725" w:rsidRDefault="003D0371" w:rsidP="00DC266F">
      <w:pPr>
        <w:pStyle w:val="HChG"/>
      </w:pPr>
      <w:r>
        <w:rPr>
          <w:lang w:val="fr-FR"/>
        </w:rPr>
        <w:tab/>
      </w:r>
      <w:r>
        <w:rPr>
          <w:lang w:val="fr-FR"/>
        </w:rPr>
        <w:tab/>
        <w:t>Amendements</w:t>
      </w:r>
    </w:p>
    <w:p w:rsidR="003D0371" w:rsidRPr="00722725" w:rsidRDefault="003D0371" w:rsidP="003D0371">
      <w:pPr>
        <w:pStyle w:val="SingleTxtG"/>
      </w:pPr>
      <w:r>
        <w:rPr>
          <w:lang w:val="fr-FR"/>
        </w:rPr>
        <w:t>4.</w:t>
      </w:r>
      <w:r>
        <w:rPr>
          <w:lang w:val="fr-FR"/>
        </w:rPr>
        <w:tab/>
        <w:t>Les amendements proposés figurent en caractères gras et soulignés pour les ajouts, et biffés pour les suppressions :</w:t>
      </w:r>
    </w:p>
    <w:p w:rsidR="003D0371" w:rsidRPr="00722725" w:rsidRDefault="003D0371" w:rsidP="003D0371">
      <w:pPr>
        <w:pStyle w:val="H23G"/>
      </w:pPr>
      <w:bookmarkStart w:id="1" w:name="_Hlk40710946"/>
      <w:r>
        <w:rPr>
          <w:lang w:val="fr-FR"/>
        </w:rPr>
        <w:tab/>
      </w:r>
      <w:r>
        <w:rPr>
          <w:lang w:val="fr-FR"/>
        </w:rPr>
        <w:tab/>
        <w:t>7.2.3.7.2.3</w:t>
      </w:r>
    </w:p>
    <w:p w:rsidR="003D0371" w:rsidRDefault="003D0371" w:rsidP="003D0371">
      <w:pPr>
        <w:pStyle w:val="SingleTxtG"/>
        <w:rPr>
          <w:lang w:val="fr-FR"/>
        </w:rPr>
      </w:pPr>
      <w:r>
        <w:rPr>
          <w:lang w:val="fr-FR"/>
        </w:rPr>
        <w:t>«</w:t>
      </w:r>
      <w:r w:rsidR="00DC266F">
        <w:rPr>
          <w:lang w:val="fr-FR"/>
        </w:rPr>
        <w:t> </w:t>
      </w:r>
      <w:r>
        <w:rPr>
          <w:lang w:val="fr-FR"/>
        </w:rPr>
        <w:t>Le dégazage dans une station de réception peut être effectué à l</w:t>
      </w:r>
      <w:r w:rsidR="00DC266F">
        <w:rPr>
          <w:lang w:val="fr-FR"/>
        </w:rPr>
        <w:t>’</w:t>
      </w:r>
      <w:r>
        <w:rPr>
          <w:lang w:val="fr-FR"/>
        </w:rPr>
        <w:t>aide de la tuyauterie de chargement et de déchargement ou de la conduite d</w:t>
      </w:r>
      <w:r w:rsidR="00DC266F">
        <w:rPr>
          <w:lang w:val="fr-FR"/>
        </w:rPr>
        <w:t>’</w:t>
      </w:r>
      <w:r>
        <w:rPr>
          <w:lang w:val="fr-FR"/>
        </w:rPr>
        <w:t>évacuation de gaz, pour évacuer les gaz et les vapeurs des citernes à cargaison, l</w:t>
      </w:r>
      <w:r w:rsidR="00DC266F">
        <w:rPr>
          <w:lang w:val="fr-FR"/>
        </w:rPr>
        <w:t>’</w:t>
      </w:r>
      <w:r>
        <w:rPr>
          <w:lang w:val="fr-FR"/>
        </w:rPr>
        <w:t>autre tuyauterie servant à prévenir tout dépassement de la surpression ou dépression maximale admissible des citernes.</w:t>
      </w:r>
    </w:p>
    <w:p w:rsidR="003D0371" w:rsidRPr="00F70A83" w:rsidRDefault="003D0371" w:rsidP="003D0371">
      <w:pPr>
        <w:pStyle w:val="SingleTxtG"/>
        <w:rPr>
          <w:spacing w:val="-2"/>
          <w:lang w:val="fr-FR"/>
        </w:rPr>
      </w:pPr>
      <w:r w:rsidRPr="00F70A83">
        <w:rPr>
          <w:spacing w:val="-2"/>
          <w:lang w:val="fr-FR"/>
        </w:rPr>
        <w:t>Les tuyauteries doivent faire partie d</w:t>
      </w:r>
      <w:r w:rsidR="00DC266F" w:rsidRPr="00F70A83">
        <w:rPr>
          <w:spacing w:val="-2"/>
          <w:lang w:val="fr-FR"/>
        </w:rPr>
        <w:t>’</w:t>
      </w:r>
      <w:r w:rsidRPr="00F70A83">
        <w:rPr>
          <w:spacing w:val="-2"/>
          <w:lang w:val="fr-FR"/>
        </w:rPr>
        <w:t>un système fermé, ou, si elles sont utilisées pour prévenir tout dépassement de la dépression maximale admissible dans les citernes à cargaison, être équipées d</w:t>
      </w:r>
      <w:r w:rsidR="00DC266F" w:rsidRPr="00F70A83">
        <w:rPr>
          <w:spacing w:val="-2"/>
          <w:lang w:val="fr-FR"/>
        </w:rPr>
        <w:t>’</w:t>
      </w:r>
      <w:r w:rsidRPr="00F70A83">
        <w:rPr>
          <w:spacing w:val="-2"/>
          <w:lang w:val="fr-FR"/>
        </w:rPr>
        <w:t xml:space="preserve">une soupape basse pression </w:t>
      </w:r>
      <w:r w:rsidRPr="00F70A83">
        <w:rPr>
          <w:strike/>
          <w:spacing w:val="-2"/>
          <w:lang w:val="fr-FR"/>
        </w:rPr>
        <w:t xml:space="preserve">à ressort </w:t>
      </w:r>
      <w:r w:rsidRPr="00F70A83">
        <w:rPr>
          <w:spacing w:val="-2"/>
          <w:lang w:val="fr-FR"/>
        </w:rPr>
        <w:t>fixe ou mobile munie d</w:t>
      </w:r>
      <w:r w:rsidR="00DC266F" w:rsidRPr="00F70A83">
        <w:rPr>
          <w:spacing w:val="-2"/>
          <w:lang w:val="fr-FR"/>
        </w:rPr>
        <w:t>’</w:t>
      </w:r>
      <w:r w:rsidRPr="00F70A83">
        <w:rPr>
          <w:spacing w:val="-2"/>
          <w:lang w:val="fr-FR"/>
        </w:rPr>
        <w:t>un coupe-flammes (groupe/sous-groupe d</w:t>
      </w:r>
      <w:r w:rsidR="00DC266F" w:rsidRPr="00F70A83">
        <w:rPr>
          <w:spacing w:val="-2"/>
          <w:lang w:val="fr-FR"/>
        </w:rPr>
        <w:t>’</w:t>
      </w:r>
      <w:r w:rsidRPr="00F70A83">
        <w:rPr>
          <w:spacing w:val="-2"/>
          <w:lang w:val="fr-FR"/>
        </w:rPr>
        <w:t>explosion conformément à la colonne (16) du tableau</w:t>
      </w:r>
      <w:r w:rsidR="00DC266F" w:rsidRPr="00F70A83">
        <w:rPr>
          <w:spacing w:val="-2"/>
          <w:lang w:val="fr-FR"/>
        </w:rPr>
        <w:t xml:space="preserve"> </w:t>
      </w:r>
      <w:r w:rsidRPr="00F70A83">
        <w:rPr>
          <w:spacing w:val="-2"/>
          <w:lang w:val="fr-FR"/>
        </w:rPr>
        <w:t>C du chapitre 3.2) si la protection contre les explosions est exigée (colonne (17) du tableau C du chapitre 3.2). Cette soupape basse pression doit être montée de manière que, dans des conditions normales d</w:t>
      </w:r>
      <w:r w:rsidR="00DC266F" w:rsidRPr="00F70A83">
        <w:rPr>
          <w:spacing w:val="-2"/>
          <w:lang w:val="fr-FR"/>
        </w:rPr>
        <w:t>’</w:t>
      </w:r>
      <w:r w:rsidRPr="00F70A83">
        <w:rPr>
          <w:spacing w:val="-2"/>
          <w:lang w:val="fr-FR"/>
        </w:rPr>
        <w:t>exploitation, la soupape de dépression ne soit pas activée. Une soupape fixe ou l</w:t>
      </w:r>
      <w:r w:rsidR="00DC266F" w:rsidRPr="00F70A83">
        <w:rPr>
          <w:spacing w:val="-2"/>
          <w:lang w:val="fr-FR"/>
        </w:rPr>
        <w:t>’</w:t>
      </w:r>
      <w:r w:rsidRPr="00F70A83">
        <w:rPr>
          <w:spacing w:val="-2"/>
          <w:lang w:val="fr-FR"/>
        </w:rPr>
        <w:t>orifice auquel est raccordé une soupape mobile doit rester obturé(e) par une bride borgne lorsque le bateau n</w:t>
      </w:r>
      <w:r w:rsidR="00DC266F" w:rsidRPr="00F70A83">
        <w:rPr>
          <w:spacing w:val="-2"/>
          <w:lang w:val="fr-FR"/>
        </w:rPr>
        <w:t>’</w:t>
      </w:r>
      <w:r w:rsidRPr="00F70A83">
        <w:rPr>
          <w:spacing w:val="-2"/>
          <w:lang w:val="fr-FR"/>
        </w:rPr>
        <w:t>est pas en cours de dégazage dans une station de</w:t>
      </w:r>
      <w:r w:rsidR="00DC266F" w:rsidRPr="00F70A83">
        <w:rPr>
          <w:spacing w:val="-2"/>
          <w:lang w:val="fr-FR"/>
        </w:rPr>
        <w:t> </w:t>
      </w:r>
      <w:r w:rsidRPr="00F70A83">
        <w:rPr>
          <w:spacing w:val="-2"/>
          <w:lang w:val="fr-FR"/>
        </w:rPr>
        <w:t>réception.</w:t>
      </w:r>
    </w:p>
    <w:p w:rsidR="003D0371" w:rsidRPr="00722725" w:rsidRDefault="003D0371" w:rsidP="003D0371">
      <w:pPr>
        <w:pStyle w:val="SingleTxtG"/>
      </w:pPr>
      <w:r>
        <w:rPr>
          <w:lang w:val="fr-FR"/>
        </w:rPr>
        <w:t>Toutes les tuyauteries entre le bateau dégazant et la station de réception doivent être équipées de coupe-flammes appropriés si la protection contre les explosions est exigée à la colonne</w:t>
      </w:r>
      <w:r w:rsidR="00DC266F">
        <w:rPr>
          <w:lang w:val="fr-FR"/>
        </w:rPr>
        <w:t xml:space="preserve"> </w:t>
      </w:r>
      <w:r>
        <w:rPr>
          <w:lang w:val="fr-FR"/>
        </w:rPr>
        <w:t>(17) du tableau</w:t>
      </w:r>
      <w:r w:rsidR="00DC266F">
        <w:rPr>
          <w:lang w:val="fr-FR"/>
        </w:rPr>
        <w:t xml:space="preserve"> </w:t>
      </w:r>
      <w:r>
        <w:rPr>
          <w:lang w:val="fr-FR"/>
        </w:rPr>
        <w:t>C du chapitre</w:t>
      </w:r>
      <w:r w:rsidR="00DC266F">
        <w:rPr>
          <w:lang w:val="fr-FR"/>
        </w:rPr>
        <w:t xml:space="preserve"> </w:t>
      </w:r>
      <w:r>
        <w:rPr>
          <w:lang w:val="fr-FR"/>
        </w:rPr>
        <w:t>3.2. Les prescriptions pour les tuyauteries à bord sont les suivantes : groupe d</w:t>
      </w:r>
      <w:r w:rsidR="00DC266F">
        <w:rPr>
          <w:lang w:val="fr-FR"/>
        </w:rPr>
        <w:t>’</w:t>
      </w:r>
      <w:r>
        <w:rPr>
          <w:lang w:val="fr-FR"/>
        </w:rPr>
        <w:t>explosion/sous-groupe selon la colonne (16) du tableau</w:t>
      </w:r>
      <w:r w:rsidR="00DC266F">
        <w:rPr>
          <w:lang w:val="fr-FR"/>
        </w:rPr>
        <w:t xml:space="preserve"> </w:t>
      </w:r>
      <w:r>
        <w:rPr>
          <w:lang w:val="fr-FR"/>
        </w:rPr>
        <w:t>C du chapitre 3.2.</w:t>
      </w:r>
      <w:bookmarkEnd w:id="1"/>
      <w:r>
        <w:rPr>
          <w:lang w:val="fr-FR"/>
        </w:rPr>
        <w:t> ».</w:t>
      </w:r>
    </w:p>
    <w:p w:rsidR="003D0371" w:rsidRDefault="003D0371" w:rsidP="003D0371">
      <w:pPr>
        <w:pStyle w:val="H23G"/>
        <w:rPr>
          <w:lang w:val="fr-FR"/>
        </w:rPr>
      </w:pPr>
      <w:r>
        <w:rPr>
          <w:lang w:val="fr-FR"/>
        </w:rPr>
        <w:tab/>
      </w:r>
      <w:r>
        <w:rPr>
          <w:lang w:val="fr-FR"/>
        </w:rPr>
        <w:tab/>
      </w:r>
      <w:r>
        <w:rPr>
          <w:bCs/>
          <w:lang w:val="fr-FR"/>
        </w:rPr>
        <w:t>8.6.4, question 6.2</w:t>
      </w:r>
    </w:p>
    <w:p w:rsidR="003D0371" w:rsidRPr="00722725" w:rsidRDefault="003D0371" w:rsidP="003D0371">
      <w:pPr>
        <w:pStyle w:val="SingleTxtG"/>
      </w:pPr>
      <w:r>
        <w:rPr>
          <w:lang w:val="fr-FR"/>
        </w:rPr>
        <w:t>« L</w:t>
      </w:r>
      <w:r w:rsidR="00DC266F">
        <w:rPr>
          <w:lang w:val="fr-FR"/>
        </w:rPr>
        <w:t>’</w:t>
      </w:r>
      <w:r>
        <w:rPr>
          <w:lang w:val="fr-FR"/>
        </w:rPr>
        <w:t>orifice d</w:t>
      </w:r>
      <w:r w:rsidR="00DC266F">
        <w:rPr>
          <w:lang w:val="fr-FR"/>
        </w:rPr>
        <w:t>’</w:t>
      </w:r>
      <w:r>
        <w:rPr>
          <w:lang w:val="fr-FR"/>
        </w:rPr>
        <w:t>aspiration d</w:t>
      </w:r>
      <w:r w:rsidR="00DC266F">
        <w:rPr>
          <w:lang w:val="fr-FR"/>
        </w:rPr>
        <w:t>’</w:t>
      </w:r>
      <w:r>
        <w:rPr>
          <w:lang w:val="fr-FR"/>
        </w:rPr>
        <w:t>air fait-il partie d</w:t>
      </w:r>
      <w:r w:rsidR="00DC266F">
        <w:rPr>
          <w:lang w:val="fr-FR"/>
        </w:rPr>
        <w:t>’</w:t>
      </w:r>
      <w:r>
        <w:rPr>
          <w:lang w:val="fr-FR"/>
        </w:rPr>
        <w:t>un système fermé ou est-il muni d</w:t>
      </w:r>
      <w:r w:rsidR="00DC266F">
        <w:rPr>
          <w:lang w:val="fr-FR"/>
        </w:rPr>
        <w:t>’</w:t>
      </w:r>
      <w:r>
        <w:rPr>
          <w:lang w:val="fr-FR"/>
        </w:rPr>
        <w:t xml:space="preserve">une soupape basse pression </w:t>
      </w:r>
      <w:r w:rsidRPr="00937DD4">
        <w:rPr>
          <w:strike/>
          <w:lang w:val="fr-FR"/>
        </w:rPr>
        <w:t>à ressort</w:t>
      </w:r>
      <w:r>
        <w:rPr>
          <w:lang w:val="fr-FR"/>
        </w:rPr>
        <w:t> ?</w:t>
      </w:r>
      <w:r w:rsidRPr="00722725">
        <w:t> </w:t>
      </w:r>
      <w:r>
        <w:rPr>
          <w:lang w:val="fr-FR"/>
        </w:rPr>
        <w:t>».</w:t>
      </w:r>
    </w:p>
    <w:p w:rsidR="003D0371" w:rsidRPr="00722725" w:rsidRDefault="003D0371" w:rsidP="00DC266F">
      <w:pPr>
        <w:pStyle w:val="H23G"/>
      </w:pPr>
      <w:bookmarkStart w:id="2" w:name="_Hlk40710968"/>
      <w:r>
        <w:rPr>
          <w:lang w:val="fr-FR"/>
        </w:rPr>
        <w:tab/>
      </w:r>
      <w:r>
        <w:rPr>
          <w:lang w:val="fr-FR"/>
        </w:rPr>
        <w:tab/>
        <w:t>9.3.X.62</w:t>
      </w:r>
    </w:p>
    <w:p w:rsidR="003D0371" w:rsidRDefault="003D0371" w:rsidP="003D0371">
      <w:pPr>
        <w:pStyle w:val="SingleTxtG"/>
        <w:rPr>
          <w:lang w:val="fr-FR"/>
        </w:rPr>
      </w:pPr>
      <w:r>
        <w:rPr>
          <w:lang w:val="fr-FR"/>
        </w:rPr>
        <w:t>«</w:t>
      </w:r>
      <w:r w:rsidR="00DC266F">
        <w:rPr>
          <w:lang w:val="fr-FR"/>
        </w:rPr>
        <w:t> </w:t>
      </w:r>
      <w:r>
        <w:rPr>
          <w:lang w:val="fr-FR"/>
        </w:rPr>
        <w:t xml:space="preserve">Une soupape basse pression </w:t>
      </w:r>
      <w:r w:rsidRPr="00937DD4">
        <w:rPr>
          <w:strike/>
          <w:lang w:val="fr-FR"/>
        </w:rPr>
        <w:t xml:space="preserve">à ressort </w:t>
      </w:r>
      <w:r>
        <w:rPr>
          <w:lang w:val="fr-FR"/>
        </w:rPr>
        <w:t>fixe ou mobile utilisée lors du dégazage dans une station de réception doit être raccordée à la tuyauterie d</w:t>
      </w:r>
      <w:r w:rsidR="00DC266F">
        <w:rPr>
          <w:lang w:val="fr-FR"/>
        </w:rPr>
        <w:t>’</w:t>
      </w:r>
      <w:r>
        <w:rPr>
          <w:lang w:val="fr-FR"/>
        </w:rPr>
        <w:t>aspiration d</w:t>
      </w:r>
      <w:r w:rsidR="00DC266F">
        <w:rPr>
          <w:lang w:val="fr-FR"/>
        </w:rPr>
        <w:t>’</w:t>
      </w:r>
      <w:r>
        <w:rPr>
          <w:lang w:val="fr-FR"/>
        </w:rPr>
        <w:t>air. Si la liste des matières du bateau selon le 1.16.1.2.5 contient des matières pour lesquelles la protection contre les explosions est exigée à la colonne (17) du tableau</w:t>
      </w:r>
      <w:r w:rsidR="00DC266F">
        <w:rPr>
          <w:lang w:val="fr-FR"/>
        </w:rPr>
        <w:t xml:space="preserve"> </w:t>
      </w:r>
      <w:r>
        <w:rPr>
          <w:lang w:val="fr-FR"/>
        </w:rPr>
        <w:t>C du chapitre</w:t>
      </w:r>
      <w:r w:rsidR="00DC266F">
        <w:rPr>
          <w:lang w:val="fr-FR"/>
        </w:rPr>
        <w:t xml:space="preserve"> </w:t>
      </w:r>
      <w:r>
        <w:rPr>
          <w:lang w:val="fr-FR"/>
        </w:rPr>
        <w:t>3.2, la soupape doit être munie d</w:t>
      </w:r>
      <w:r w:rsidR="00DC266F">
        <w:rPr>
          <w:lang w:val="fr-FR"/>
        </w:rPr>
        <w:t>’</w:t>
      </w:r>
      <w:r>
        <w:rPr>
          <w:lang w:val="fr-FR"/>
        </w:rPr>
        <w:t>un coupe-flammes résistant aux déflagrations. Lorsque le bateau n</w:t>
      </w:r>
      <w:r w:rsidR="00DC266F">
        <w:rPr>
          <w:lang w:val="fr-FR"/>
        </w:rPr>
        <w:t>’</w:t>
      </w:r>
      <w:r>
        <w:rPr>
          <w:lang w:val="fr-FR"/>
        </w:rPr>
        <w:t>est pas en cours de dégazage dans une station de réception, la soupape doit être obturée par une bride borgne. La soupape basse pression doit être montée de manière que, dans des conditions normales d</w:t>
      </w:r>
      <w:r w:rsidR="00DC266F">
        <w:rPr>
          <w:lang w:val="fr-FR"/>
        </w:rPr>
        <w:t>’</w:t>
      </w:r>
      <w:r>
        <w:rPr>
          <w:lang w:val="fr-FR"/>
        </w:rPr>
        <w:t>exploitation, la soupape de dépression ne soit pas activée.</w:t>
      </w:r>
    </w:p>
    <w:p w:rsidR="003D0371" w:rsidRPr="00722725" w:rsidRDefault="003D0371" w:rsidP="003D0371">
      <w:pPr>
        <w:pStyle w:val="SingleTxtG"/>
      </w:pPr>
      <w:r>
        <w:rPr>
          <w:i/>
          <w:iCs/>
          <w:lang w:val="fr-FR"/>
        </w:rPr>
        <w:t>NOTA : Le dégazage fait partie des conditions normales d</w:t>
      </w:r>
      <w:r w:rsidR="00DC266F">
        <w:rPr>
          <w:i/>
          <w:iCs/>
          <w:lang w:val="fr-FR"/>
        </w:rPr>
        <w:t>’</w:t>
      </w:r>
      <w:r>
        <w:rPr>
          <w:i/>
          <w:iCs/>
          <w:lang w:val="fr-FR"/>
        </w:rPr>
        <w:t>exploitation.</w:t>
      </w:r>
      <w:r w:rsidR="00DC266F">
        <w:rPr>
          <w:lang w:val="fr-FR"/>
        </w:rPr>
        <w:t> </w:t>
      </w:r>
      <w:r>
        <w:rPr>
          <w:lang w:val="fr-FR"/>
        </w:rPr>
        <w:t>».</w:t>
      </w:r>
    </w:p>
    <w:bookmarkEnd w:id="2"/>
    <w:p w:rsidR="003D0371" w:rsidRPr="00722725" w:rsidRDefault="003D0371" w:rsidP="003D0371">
      <w:pPr>
        <w:pStyle w:val="HChG"/>
      </w:pPr>
      <w:r>
        <w:rPr>
          <w:lang w:val="fr-FR"/>
        </w:rPr>
        <w:lastRenderedPageBreak/>
        <w:tab/>
      </w:r>
      <w:r>
        <w:rPr>
          <w:lang w:val="fr-FR"/>
        </w:rPr>
        <w:tab/>
        <w:t>Examen aux Pays-Bas</w:t>
      </w:r>
    </w:p>
    <w:p w:rsidR="003D0371" w:rsidRDefault="003D0371" w:rsidP="003D0371">
      <w:pPr>
        <w:pStyle w:val="SingleTxtG"/>
        <w:rPr>
          <w:lang w:val="fr-FR"/>
        </w:rPr>
      </w:pPr>
      <w:r>
        <w:rPr>
          <w:lang w:val="fr-FR"/>
        </w:rPr>
        <w:t>5.</w:t>
      </w:r>
      <w:r>
        <w:rPr>
          <w:lang w:val="fr-FR"/>
        </w:rPr>
        <w:tab/>
        <w:t>Après l</w:t>
      </w:r>
      <w:r w:rsidR="00DC266F">
        <w:rPr>
          <w:lang w:val="fr-FR"/>
        </w:rPr>
        <w:t>’</w:t>
      </w:r>
      <w:r>
        <w:rPr>
          <w:lang w:val="fr-FR"/>
        </w:rPr>
        <w:t>introduction de la soupape basse pression, la question de savoir si la soupape basse pression était obligatoire sur tous les bateaux a été débattue aux Pays-Bas, étant donné qu</w:t>
      </w:r>
      <w:r w:rsidR="00DC266F">
        <w:rPr>
          <w:lang w:val="fr-FR"/>
        </w:rPr>
        <w:t>’</w:t>
      </w:r>
      <w:r>
        <w:rPr>
          <w:lang w:val="fr-FR"/>
        </w:rPr>
        <w:t>elle était décrite au chapitre 9. Comme indiqué aux deux premiers paragraphes du point 7.2.3.7.2.3 et dans la question 6.2 de la liste de contrôle sur le dégazage des stations de réception, l</w:t>
      </w:r>
      <w:r w:rsidR="00DC266F">
        <w:rPr>
          <w:lang w:val="fr-FR"/>
        </w:rPr>
        <w:t>’</w:t>
      </w:r>
      <w:r>
        <w:rPr>
          <w:lang w:val="fr-FR"/>
        </w:rPr>
        <w:t>utilisation de la soupape basse pression pendant les opérations de dégazage d</w:t>
      </w:r>
      <w:r w:rsidR="00DC266F">
        <w:rPr>
          <w:lang w:val="fr-FR"/>
        </w:rPr>
        <w:t>’</w:t>
      </w:r>
      <w:r>
        <w:rPr>
          <w:lang w:val="fr-FR"/>
        </w:rPr>
        <w:t>une station de réception n</w:t>
      </w:r>
      <w:r w:rsidR="00DC266F">
        <w:rPr>
          <w:lang w:val="fr-FR"/>
        </w:rPr>
        <w:t>’</w:t>
      </w:r>
      <w:r>
        <w:rPr>
          <w:lang w:val="fr-FR"/>
        </w:rPr>
        <w:t>est pas obligatoire. Un système fermé, dans lequel le dépassement du vide maximal autorisé dans les citernes à cargaison est empêché par une admission d</w:t>
      </w:r>
      <w:r w:rsidR="00DC266F">
        <w:rPr>
          <w:lang w:val="fr-FR"/>
        </w:rPr>
        <w:t>’</w:t>
      </w:r>
      <w:r>
        <w:rPr>
          <w:lang w:val="fr-FR"/>
        </w:rPr>
        <w:t>air fournie par la station de réception, est une option équivalente, si ce n</w:t>
      </w:r>
      <w:r w:rsidR="00DC266F">
        <w:rPr>
          <w:lang w:val="fr-FR"/>
        </w:rPr>
        <w:t>’</w:t>
      </w:r>
      <w:r>
        <w:rPr>
          <w:lang w:val="fr-FR"/>
        </w:rPr>
        <w:t>est préférable, à l</w:t>
      </w:r>
      <w:r w:rsidR="00DC266F">
        <w:rPr>
          <w:lang w:val="fr-FR"/>
        </w:rPr>
        <w:t>’</w:t>
      </w:r>
      <w:r>
        <w:rPr>
          <w:lang w:val="fr-FR"/>
        </w:rPr>
        <w:t>utilisation d</w:t>
      </w:r>
      <w:r w:rsidR="00DC266F">
        <w:rPr>
          <w:lang w:val="fr-FR"/>
        </w:rPr>
        <w:t>’</w:t>
      </w:r>
      <w:r>
        <w:rPr>
          <w:lang w:val="fr-FR"/>
        </w:rPr>
        <w:t>une soupape basse pression.</w:t>
      </w:r>
    </w:p>
    <w:p w:rsidR="003D0371" w:rsidRPr="00722725" w:rsidRDefault="003D0371" w:rsidP="003D0371">
      <w:pPr>
        <w:pStyle w:val="SingleTxtG"/>
        <w:keepNext/>
      </w:pPr>
      <w:r>
        <w:rPr>
          <w:lang w:val="fr-FR"/>
        </w:rPr>
        <w:t>6.</w:t>
      </w:r>
      <w:r>
        <w:rPr>
          <w:lang w:val="fr-FR"/>
        </w:rPr>
        <w:tab/>
        <w:t>La délégation néerlandaise est d</w:t>
      </w:r>
      <w:r w:rsidR="00DC266F">
        <w:rPr>
          <w:lang w:val="fr-FR"/>
        </w:rPr>
        <w:t>’</w:t>
      </w:r>
      <w:r>
        <w:rPr>
          <w:lang w:val="fr-FR"/>
        </w:rPr>
        <w:t>avis que :</w:t>
      </w:r>
    </w:p>
    <w:p w:rsidR="003D0371" w:rsidRDefault="003D0371" w:rsidP="003D0371">
      <w:pPr>
        <w:pStyle w:val="SingleTxtG"/>
        <w:ind w:firstLine="567"/>
        <w:rPr>
          <w:lang w:val="fr-FR"/>
        </w:rPr>
      </w:pPr>
      <w:r>
        <w:rPr>
          <w:lang w:val="fr-FR"/>
        </w:rPr>
        <w:t>a)</w:t>
      </w:r>
      <w:r>
        <w:rPr>
          <w:lang w:val="fr-FR"/>
        </w:rPr>
        <w:tab/>
        <w:t>La soupape basse pression n</w:t>
      </w:r>
      <w:r w:rsidR="00DC266F">
        <w:rPr>
          <w:lang w:val="fr-FR"/>
        </w:rPr>
        <w:t>’</w:t>
      </w:r>
      <w:r>
        <w:rPr>
          <w:lang w:val="fr-FR"/>
        </w:rPr>
        <w:t>est pas un équipement obligatoire sur tous les bateaux ; et</w:t>
      </w:r>
    </w:p>
    <w:p w:rsidR="003D0371" w:rsidRDefault="003D0371" w:rsidP="003D0371">
      <w:pPr>
        <w:pStyle w:val="SingleTxtG"/>
        <w:ind w:firstLine="567"/>
        <w:rPr>
          <w:lang w:val="fr-FR"/>
        </w:rPr>
      </w:pPr>
      <w:r>
        <w:rPr>
          <w:lang w:val="fr-FR"/>
        </w:rPr>
        <w:t>b)</w:t>
      </w:r>
      <w:r>
        <w:rPr>
          <w:lang w:val="fr-FR"/>
        </w:rPr>
        <w:tab/>
        <w:t>Il est suffisamment clair dans l</w:t>
      </w:r>
      <w:r w:rsidR="00DC266F">
        <w:rPr>
          <w:lang w:val="fr-FR"/>
        </w:rPr>
        <w:t>’</w:t>
      </w:r>
      <w:r>
        <w:rPr>
          <w:lang w:val="fr-FR"/>
        </w:rPr>
        <w:t>ADN que la soupape basse pression n</w:t>
      </w:r>
      <w:r w:rsidR="00DC266F">
        <w:rPr>
          <w:lang w:val="fr-FR"/>
        </w:rPr>
        <w:t>’</w:t>
      </w:r>
      <w:r>
        <w:rPr>
          <w:lang w:val="fr-FR"/>
        </w:rPr>
        <w:t xml:space="preserve">est pas un équipement obligatoire sur </w:t>
      </w:r>
      <w:r w:rsidRPr="00231D06">
        <w:rPr>
          <w:lang w:val="fr-FR"/>
        </w:rPr>
        <w:t>tous les bateaux</w:t>
      </w:r>
      <w:r>
        <w:rPr>
          <w:lang w:val="fr-FR"/>
        </w:rPr>
        <w:t>.</w:t>
      </w:r>
    </w:p>
    <w:p w:rsidR="003D0371" w:rsidRPr="00722725" w:rsidRDefault="003D0371" w:rsidP="003D0371">
      <w:pPr>
        <w:pStyle w:val="SingleTxtG"/>
      </w:pPr>
      <w:r>
        <w:rPr>
          <w:lang w:val="fr-FR"/>
        </w:rPr>
        <w:t>7.</w:t>
      </w:r>
      <w:r>
        <w:rPr>
          <w:lang w:val="fr-FR"/>
        </w:rPr>
        <w:tab/>
        <w:t>Toutefois, la délégation néerlandaise entendrait avec intérêt les avis des autres délégations sur ces questions.</w:t>
      </w:r>
    </w:p>
    <w:p w:rsidR="003D0371" w:rsidRPr="00722725" w:rsidRDefault="003D0371" w:rsidP="003D0371">
      <w:pPr>
        <w:pStyle w:val="HChG"/>
      </w:pPr>
      <w:r>
        <w:rPr>
          <w:lang w:val="fr-FR"/>
        </w:rPr>
        <w:tab/>
      </w:r>
      <w:r>
        <w:rPr>
          <w:lang w:val="fr-FR"/>
        </w:rPr>
        <w:tab/>
        <w:t>Mesures à prendre</w:t>
      </w:r>
    </w:p>
    <w:p w:rsidR="003D0371" w:rsidRPr="00722725" w:rsidRDefault="003D0371" w:rsidP="003D0371">
      <w:pPr>
        <w:pStyle w:val="SingleTxtG"/>
      </w:pPr>
      <w:r>
        <w:rPr>
          <w:lang w:val="fr-FR"/>
        </w:rPr>
        <w:t>8.</w:t>
      </w:r>
      <w:r>
        <w:rPr>
          <w:lang w:val="fr-FR"/>
        </w:rPr>
        <w:tab/>
        <w:t>La délégation néerlandaise prie le Comité de sécurité de l</w:t>
      </w:r>
      <w:r w:rsidR="00DC266F">
        <w:rPr>
          <w:lang w:val="fr-FR"/>
        </w:rPr>
        <w:t>’</w:t>
      </w:r>
      <w:r>
        <w:rPr>
          <w:lang w:val="fr-FR"/>
        </w:rPr>
        <w:t>ADN d</w:t>
      </w:r>
      <w:r w:rsidR="00DC266F">
        <w:rPr>
          <w:lang w:val="fr-FR"/>
        </w:rPr>
        <w:t>’</w:t>
      </w:r>
      <w:r>
        <w:rPr>
          <w:lang w:val="fr-FR"/>
        </w:rPr>
        <w:t>examiner l</w:t>
      </w:r>
      <w:r w:rsidR="00DC266F">
        <w:rPr>
          <w:lang w:val="fr-FR"/>
        </w:rPr>
        <w:t>’</w:t>
      </w:r>
      <w:r>
        <w:rPr>
          <w:lang w:val="fr-FR"/>
        </w:rPr>
        <w:t>amendement proposé au paragraphe 4 et de prendre les mesures qu</w:t>
      </w:r>
      <w:r w:rsidR="00DC266F">
        <w:rPr>
          <w:lang w:val="fr-FR"/>
        </w:rPr>
        <w:t>’</w:t>
      </w:r>
      <w:r>
        <w:rPr>
          <w:lang w:val="fr-FR"/>
        </w:rPr>
        <w:t>il jugera appropriées. La délégation néerlandaise prie également le Comité de sécurité de l</w:t>
      </w:r>
      <w:r w:rsidR="00DC266F">
        <w:rPr>
          <w:lang w:val="fr-FR"/>
        </w:rPr>
        <w:t>’</w:t>
      </w:r>
      <w:r>
        <w:rPr>
          <w:lang w:val="fr-FR"/>
        </w:rPr>
        <w:t>ADN d</w:t>
      </w:r>
      <w:r w:rsidR="00DC266F">
        <w:rPr>
          <w:lang w:val="fr-FR"/>
        </w:rPr>
        <w:t>’</w:t>
      </w:r>
      <w:r>
        <w:rPr>
          <w:lang w:val="fr-FR"/>
        </w:rPr>
        <w:t>examiner les sujets abordés au paragraphe 6 et de prendre les mesures qu</w:t>
      </w:r>
      <w:r w:rsidR="00DC266F">
        <w:rPr>
          <w:lang w:val="fr-FR"/>
        </w:rPr>
        <w:t>’</w:t>
      </w:r>
      <w:r>
        <w:rPr>
          <w:lang w:val="fr-FR"/>
        </w:rPr>
        <w:t>il jugera appropriées.</w:t>
      </w:r>
    </w:p>
    <w:p w:rsidR="00F9573C" w:rsidRPr="003D0371" w:rsidRDefault="003D0371" w:rsidP="003D0371">
      <w:pPr>
        <w:pStyle w:val="SingleTxtG"/>
        <w:spacing w:before="240" w:after="0"/>
        <w:jc w:val="center"/>
        <w:rPr>
          <w:u w:val="single"/>
        </w:rPr>
      </w:pPr>
      <w:r>
        <w:rPr>
          <w:u w:val="single"/>
        </w:rPr>
        <w:tab/>
      </w:r>
      <w:r>
        <w:rPr>
          <w:u w:val="single"/>
        </w:rPr>
        <w:tab/>
      </w:r>
      <w:r>
        <w:rPr>
          <w:u w:val="single"/>
        </w:rPr>
        <w:tab/>
      </w:r>
    </w:p>
    <w:sectPr w:rsidR="00F9573C" w:rsidRPr="003D0371" w:rsidSect="003D03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ABE" w:rsidRDefault="00076ABE" w:rsidP="00F95C08">
      <w:pPr>
        <w:spacing w:line="240" w:lineRule="auto"/>
      </w:pPr>
    </w:p>
  </w:endnote>
  <w:endnote w:type="continuationSeparator" w:id="0">
    <w:p w:rsidR="00076ABE" w:rsidRPr="00AC3823" w:rsidRDefault="00076ABE" w:rsidP="00AC3823">
      <w:pPr>
        <w:pStyle w:val="Footer"/>
      </w:pPr>
    </w:p>
  </w:endnote>
  <w:endnote w:type="continuationNotice" w:id="1">
    <w:p w:rsidR="00076ABE" w:rsidRDefault="00076A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371" w:rsidRPr="003D0371" w:rsidRDefault="003D0371" w:rsidP="003D0371">
    <w:pPr>
      <w:pStyle w:val="Footer"/>
      <w:tabs>
        <w:tab w:val="right" w:pos="9638"/>
      </w:tabs>
    </w:pPr>
    <w:r w:rsidRPr="003D0371">
      <w:rPr>
        <w:b/>
        <w:sz w:val="18"/>
      </w:rPr>
      <w:fldChar w:fldCharType="begin"/>
    </w:r>
    <w:r w:rsidRPr="003D0371">
      <w:rPr>
        <w:b/>
        <w:sz w:val="18"/>
      </w:rPr>
      <w:instrText xml:space="preserve"> PAGE  \* MERGEFORMAT </w:instrText>
    </w:r>
    <w:r w:rsidRPr="003D0371">
      <w:rPr>
        <w:b/>
        <w:sz w:val="18"/>
      </w:rPr>
      <w:fldChar w:fldCharType="separate"/>
    </w:r>
    <w:r w:rsidRPr="003D0371">
      <w:rPr>
        <w:b/>
        <w:noProof/>
        <w:sz w:val="18"/>
      </w:rPr>
      <w:t>2</w:t>
    </w:r>
    <w:r w:rsidRPr="003D0371">
      <w:rPr>
        <w:b/>
        <w:sz w:val="18"/>
      </w:rPr>
      <w:fldChar w:fldCharType="end"/>
    </w:r>
    <w:r>
      <w:rPr>
        <w:b/>
        <w:sz w:val="18"/>
      </w:rPr>
      <w:tab/>
    </w:r>
    <w:r>
      <w:t>GE.20-07497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371" w:rsidRPr="003D0371" w:rsidRDefault="003D0371" w:rsidP="003D0371">
    <w:pPr>
      <w:pStyle w:val="Footer"/>
      <w:tabs>
        <w:tab w:val="right" w:pos="9638"/>
      </w:tabs>
      <w:rPr>
        <w:b/>
        <w:sz w:val="18"/>
      </w:rPr>
    </w:pPr>
    <w:r>
      <w:t>GE.20-07497</w:t>
    </w:r>
    <w:r>
      <w:tab/>
    </w:r>
    <w:r w:rsidRPr="003D0371">
      <w:rPr>
        <w:b/>
        <w:sz w:val="18"/>
      </w:rPr>
      <w:fldChar w:fldCharType="begin"/>
    </w:r>
    <w:r w:rsidRPr="003D0371">
      <w:rPr>
        <w:b/>
        <w:sz w:val="18"/>
      </w:rPr>
      <w:instrText xml:space="preserve"> PAGE  \* MERGEFORMAT </w:instrText>
    </w:r>
    <w:r w:rsidRPr="003D0371">
      <w:rPr>
        <w:b/>
        <w:sz w:val="18"/>
      </w:rPr>
      <w:fldChar w:fldCharType="separate"/>
    </w:r>
    <w:r w:rsidRPr="003D0371">
      <w:rPr>
        <w:b/>
        <w:noProof/>
        <w:sz w:val="18"/>
      </w:rPr>
      <w:t>3</w:t>
    </w:r>
    <w:r w:rsidRPr="003D03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D0371" w:rsidRDefault="003D0371" w:rsidP="003D037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20-07497  (F)    150620    160620</w:t>
    </w:r>
    <w:r>
      <w:rPr>
        <w:sz w:val="20"/>
      </w:rPr>
      <w:br/>
    </w:r>
    <w:r w:rsidRPr="003D0371">
      <w:rPr>
        <w:rFonts w:ascii="C39T30Lfz" w:hAnsi="C39T30Lfz"/>
        <w:sz w:val="56"/>
      </w:rPr>
      <w:t></w:t>
    </w:r>
    <w:r w:rsidRPr="003D0371">
      <w:rPr>
        <w:rFonts w:ascii="C39T30Lfz" w:hAnsi="C39T30Lfz"/>
        <w:sz w:val="56"/>
      </w:rPr>
      <w:t></w:t>
    </w:r>
    <w:r w:rsidRPr="003D0371">
      <w:rPr>
        <w:rFonts w:ascii="C39T30Lfz" w:hAnsi="C39T30Lfz"/>
        <w:sz w:val="56"/>
      </w:rPr>
      <w:t></w:t>
    </w:r>
    <w:r w:rsidRPr="003D0371">
      <w:rPr>
        <w:rFonts w:ascii="C39T30Lfz" w:hAnsi="C39T30Lfz"/>
        <w:sz w:val="56"/>
      </w:rPr>
      <w:t></w:t>
    </w:r>
    <w:r w:rsidRPr="003D0371">
      <w:rPr>
        <w:rFonts w:ascii="C39T30Lfz" w:hAnsi="C39T30Lfz"/>
        <w:sz w:val="56"/>
      </w:rPr>
      <w:t></w:t>
    </w:r>
    <w:r w:rsidRPr="003D0371">
      <w:rPr>
        <w:rFonts w:ascii="C39T30Lfz" w:hAnsi="C39T30Lfz"/>
        <w:sz w:val="56"/>
      </w:rPr>
      <w:t></w:t>
    </w:r>
    <w:r w:rsidRPr="003D0371">
      <w:rPr>
        <w:rFonts w:ascii="C39T30Lfz" w:hAnsi="C39T30Lfz"/>
        <w:sz w:val="56"/>
      </w:rPr>
      <w:t></w:t>
    </w:r>
    <w:r w:rsidRPr="003D0371">
      <w:rPr>
        <w:rFonts w:ascii="C39T30Lfz" w:hAnsi="C39T30Lfz"/>
        <w:sz w:val="56"/>
      </w:rPr>
      <w:t></w:t>
    </w:r>
    <w:r w:rsidRPr="003D0371">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ABE" w:rsidRPr="00AC3823" w:rsidRDefault="00076ABE" w:rsidP="00AC3823">
      <w:pPr>
        <w:pStyle w:val="Footer"/>
        <w:tabs>
          <w:tab w:val="right" w:pos="2155"/>
        </w:tabs>
        <w:spacing w:after="80" w:line="240" w:lineRule="atLeast"/>
        <w:ind w:left="680"/>
        <w:rPr>
          <w:u w:val="single"/>
        </w:rPr>
      </w:pPr>
      <w:r>
        <w:rPr>
          <w:u w:val="single"/>
        </w:rPr>
        <w:tab/>
      </w:r>
    </w:p>
  </w:footnote>
  <w:footnote w:type="continuationSeparator" w:id="0">
    <w:p w:rsidR="00076ABE" w:rsidRPr="00AC3823" w:rsidRDefault="00076ABE" w:rsidP="00AC3823">
      <w:pPr>
        <w:pStyle w:val="Footer"/>
        <w:tabs>
          <w:tab w:val="right" w:pos="2155"/>
        </w:tabs>
        <w:spacing w:after="80" w:line="240" w:lineRule="atLeast"/>
        <w:ind w:left="680"/>
        <w:rPr>
          <w:u w:val="single"/>
        </w:rPr>
      </w:pPr>
      <w:r>
        <w:rPr>
          <w:u w:val="single"/>
        </w:rPr>
        <w:tab/>
      </w:r>
    </w:p>
  </w:footnote>
  <w:footnote w:type="continuationNotice" w:id="1">
    <w:p w:rsidR="00076ABE" w:rsidRPr="00AC3823" w:rsidRDefault="00076ABE">
      <w:pPr>
        <w:spacing w:line="240" w:lineRule="auto"/>
        <w:rPr>
          <w:sz w:val="2"/>
          <w:szCs w:val="2"/>
        </w:rPr>
      </w:pPr>
    </w:p>
  </w:footnote>
  <w:footnote w:id="2">
    <w:p w:rsidR="003D0371" w:rsidRPr="00722725" w:rsidRDefault="003D0371" w:rsidP="003D0371">
      <w:pPr>
        <w:pStyle w:val="FootnoteText"/>
      </w:pPr>
      <w:r w:rsidRPr="00DC266F">
        <w:rPr>
          <w:sz w:val="20"/>
          <w:lang w:val="fr-FR"/>
        </w:rPr>
        <w:tab/>
        <w:t>*</w:t>
      </w:r>
      <w:r w:rsidRPr="00DC266F">
        <w:rPr>
          <w:sz w:val="20"/>
          <w:lang w:val="fr-FR"/>
        </w:rPr>
        <w:tab/>
      </w:r>
      <w:r>
        <w:rPr>
          <w:lang w:val="fr-FR"/>
        </w:rPr>
        <w:t>Diffusée en allemand par la Commission centrale pour la navigation du Rhin sous la cote CCNR/ZKR/ADN/WP.15/AC.2/2020/36.</w:t>
      </w:r>
    </w:p>
  </w:footnote>
  <w:footnote w:id="3">
    <w:p w:rsidR="003D0371" w:rsidRPr="004D45CD" w:rsidRDefault="003D0371" w:rsidP="003D0371">
      <w:pPr>
        <w:pStyle w:val="FootnoteText"/>
        <w:widowControl w:val="0"/>
      </w:pPr>
      <w:r w:rsidRPr="00DC266F">
        <w:rPr>
          <w:sz w:val="20"/>
          <w:lang w:val="fr-FR"/>
        </w:rPr>
        <w:tab/>
        <w:t>**</w:t>
      </w:r>
      <w:r w:rsidRPr="00DC266F">
        <w:rPr>
          <w:sz w:val="20"/>
          <w:lang w:val="fr-FR"/>
        </w:rPr>
        <w:tab/>
      </w:r>
      <w:r>
        <w:rPr>
          <w:lang w:val="fr-FR"/>
        </w:rPr>
        <w:t>Conformément au programme de travail du Comité des transports intérieurs pour 2020, tel qu'il figure dans le projet de budget-programme pour 2020 (A/74/6 (partie V, sect.</w:t>
      </w:r>
      <w:r w:rsidR="00DC266F">
        <w:rPr>
          <w:lang w:val="fr-FR"/>
        </w:rPr>
        <w:t> </w:t>
      </w:r>
      <w:r>
        <w:rPr>
          <w:lang w:val="fr-FR"/>
        </w:rPr>
        <w:t>20), par.</w:t>
      </w:r>
      <w:r w:rsidR="00DC266F">
        <w:rPr>
          <w:lang w:val="fr-FR"/>
        </w:rPr>
        <w:t> </w:t>
      </w:r>
      <w:r>
        <w:rPr>
          <w:lang w:val="fr-FR"/>
        </w:rPr>
        <w:t>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371" w:rsidRPr="003D0371" w:rsidRDefault="001C15C7">
    <w:pPr>
      <w:pStyle w:val="Header"/>
    </w:pPr>
    <w:r>
      <w:fldChar w:fldCharType="begin"/>
    </w:r>
    <w:r>
      <w:instrText xml:space="preserve"> TITLE  \* MERGEFORMAT </w:instrText>
    </w:r>
    <w:r>
      <w:fldChar w:fldCharType="separate"/>
    </w:r>
    <w:r w:rsidR="003D0371">
      <w:t>ECE/TRANS/WP.15/AC.2/2020/36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371" w:rsidRPr="003D0371" w:rsidRDefault="001C15C7" w:rsidP="003D0371">
    <w:pPr>
      <w:pStyle w:val="Header"/>
      <w:jc w:val="right"/>
    </w:pPr>
    <w:r>
      <w:fldChar w:fldCharType="begin"/>
    </w:r>
    <w:r>
      <w:instrText xml:space="preserve"> TITLE  \* MERGEFORMAT </w:instrText>
    </w:r>
    <w:r>
      <w:fldChar w:fldCharType="separate"/>
    </w:r>
    <w:r w:rsidR="003D0371">
      <w:t>ECE/TRANS/WP.15/AC.2/2020/36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BE"/>
    <w:rsid w:val="00017F94"/>
    <w:rsid w:val="00023842"/>
    <w:rsid w:val="000334F9"/>
    <w:rsid w:val="00045FEB"/>
    <w:rsid w:val="00076ABE"/>
    <w:rsid w:val="0007796D"/>
    <w:rsid w:val="000B7790"/>
    <w:rsid w:val="00111F2F"/>
    <w:rsid w:val="0014365E"/>
    <w:rsid w:val="00143C66"/>
    <w:rsid w:val="00176178"/>
    <w:rsid w:val="001C15C7"/>
    <w:rsid w:val="001F525A"/>
    <w:rsid w:val="00223272"/>
    <w:rsid w:val="0024779E"/>
    <w:rsid w:val="00257168"/>
    <w:rsid w:val="002744B8"/>
    <w:rsid w:val="002832AC"/>
    <w:rsid w:val="002D7C93"/>
    <w:rsid w:val="00305801"/>
    <w:rsid w:val="003916DE"/>
    <w:rsid w:val="003D0371"/>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24857"/>
    <w:rsid w:val="00B45F2E"/>
    <w:rsid w:val="00B765F7"/>
    <w:rsid w:val="00BA0CA9"/>
    <w:rsid w:val="00C02897"/>
    <w:rsid w:val="00C97039"/>
    <w:rsid w:val="00D3439C"/>
    <w:rsid w:val="00DB1831"/>
    <w:rsid w:val="00DC266F"/>
    <w:rsid w:val="00DD3BFD"/>
    <w:rsid w:val="00DF6678"/>
    <w:rsid w:val="00E0299A"/>
    <w:rsid w:val="00E85C74"/>
    <w:rsid w:val="00EA6547"/>
    <w:rsid w:val="00EF2E22"/>
    <w:rsid w:val="00F35BAF"/>
    <w:rsid w:val="00F660DF"/>
    <w:rsid w:val="00F70A83"/>
    <w:rsid w:val="00F852A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53758A-8430-4A46-B1E1-FCFCF029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3D037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ECE/TRANS/WP.15/AC.2/2020/36</vt:lpstr>
      <vt:lpstr>ECE/TRANS/WP.15/AC.2/2020/36</vt:lpstr>
    </vt:vector>
  </TitlesOfParts>
  <Company>DCM</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ECE/TRANS/WP.15/AC.2/2020/36</dc:title>
  <dc:subject/>
  <dc:creator>Nicolas MORIN</dc:creator>
  <cp:keywords/>
  <cp:lastModifiedBy>June revision</cp:lastModifiedBy>
  <cp:revision>2</cp:revision>
  <cp:lastPrinted>2014-05-14T10:59:00Z</cp:lastPrinted>
  <dcterms:created xsi:type="dcterms:W3CDTF">2020-06-25T07:20:00Z</dcterms:created>
  <dcterms:modified xsi:type="dcterms:W3CDTF">2020-06-25T07:20:00Z</dcterms:modified>
</cp:coreProperties>
</file>