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6E4CC90D" w14:textId="77777777" w:rsidTr="005316B0">
        <w:trPr>
          <w:trHeight w:hRule="exact" w:val="851"/>
        </w:trPr>
        <w:tc>
          <w:tcPr>
            <w:tcW w:w="1276" w:type="dxa"/>
            <w:tcBorders>
              <w:bottom w:val="single" w:sz="4" w:space="0" w:color="auto"/>
            </w:tcBorders>
          </w:tcPr>
          <w:p w14:paraId="140515E5" w14:textId="77777777" w:rsidR="001433FD" w:rsidRPr="00DB58B5" w:rsidRDefault="001433FD" w:rsidP="0001207F"/>
        </w:tc>
        <w:tc>
          <w:tcPr>
            <w:tcW w:w="2268" w:type="dxa"/>
            <w:tcBorders>
              <w:bottom w:val="single" w:sz="4" w:space="0" w:color="auto"/>
            </w:tcBorders>
            <w:vAlign w:val="bottom"/>
          </w:tcPr>
          <w:p w14:paraId="22259D81"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81810E4" w14:textId="77777777" w:rsidR="001433FD" w:rsidRPr="00DB58B5" w:rsidRDefault="00400B8B" w:rsidP="00400B8B">
            <w:pPr>
              <w:jc w:val="right"/>
            </w:pPr>
            <w:r w:rsidRPr="00400B8B">
              <w:rPr>
                <w:sz w:val="40"/>
              </w:rPr>
              <w:t>ECE</w:t>
            </w:r>
            <w:r>
              <w:t>/TRANS/WP.15/AC.2/2020/32</w:t>
            </w:r>
          </w:p>
        </w:tc>
      </w:tr>
      <w:tr w:rsidR="001433FD" w:rsidRPr="00DB58B5" w14:paraId="2A46F443" w14:textId="77777777" w:rsidTr="007D3236">
        <w:trPr>
          <w:trHeight w:hRule="exact" w:val="2835"/>
        </w:trPr>
        <w:tc>
          <w:tcPr>
            <w:tcW w:w="1276" w:type="dxa"/>
            <w:tcBorders>
              <w:top w:val="single" w:sz="4" w:space="0" w:color="auto"/>
              <w:bottom w:val="single" w:sz="12" w:space="0" w:color="auto"/>
            </w:tcBorders>
          </w:tcPr>
          <w:p w14:paraId="12C9E9D7" w14:textId="77777777" w:rsidR="001433FD" w:rsidRPr="00DB58B5" w:rsidRDefault="001433FD" w:rsidP="007D3236">
            <w:pPr>
              <w:spacing w:before="120"/>
              <w:jc w:val="center"/>
            </w:pPr>
            <w:r>
              <w:rPr>
                <w:noProof/>
                <w:lang w:eastAsia="fr-CH"/>
              </w:rPr>
              <w:drawing>
                <wp:inline distT="0" distB="0" distL="0" distR="0" wp14:anchorId="0C1011D8" wp14:editId="5F89459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1CA928"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1924B62" w14:textId="77777777" w:rsidR="0001207F" w:rsidRDefault="00400B8B" w:rsidP="00400B8B">
            <w:pPr>
              <w:spacing w:before="240" w:line="240" w:lineRule="exact"/>
            </w:pPr>
            <w:proofErr w:type="spellStart"/>
            <w:r>
              <w:t>Distr</w:t>
            </w:r>
            <w:proofErr w:type="spellEnd"/>
            <w:r>
              <w:t>. générale</w:t>
            </w:r>
          </w:p>
          <w:p w14:paraId="7462BEFF" w14:textId="77777777" w:rsidR="00400B8B" w:rsidRDefault="00400B8B" w:rsidP="00400B8B">
            <w:pPr>
              <w:spacing w:line="240" w:lineRule="exact"/>
            </w:pPr>
            <w:r>
              <w:t>29 mai 2020</w:t>
            </w:r>
          </w:p>
          <w:p w14:paraId="0B463905" w14:textId="77777777" w:rsidR="00400B8B" w:rsidRDefault="00400B8B" w:rsidP="00400B8B">
            <w:pPr>
              <w:spacing w:line="240" w:lineRule="exact"/>
            </w:pPr>
          </w:p>
          <w:p w14:paraId="20063C60" w14:textId="77777777" w:rsidR="00400B8B" w:rsidRPr="00DB58B5" w:rsidRDefault="00400B8B" w:rsidP="00400B8B">
            <w:pPr>
              <w:spacing w:line="240" w:lineRule="exact"/>
            </w:pPr>
            <w:r>
              <w:t>Original : français</w:t>
            </w:r>
          </w:p>
        </w:tc>
      </w:tr>
    </w:tbl>
    <w:p w14:paraId="7F156974" w14:textId="77777777" w:rsidR="00DE239D" w:rsidRDefault="00DE239D" w:rsidP="00D3775F">
      <w:pPr>
        <w:spacing w:before="120"/>
        <w:rPr>
          <w:b/>
          <w:sz w:val="28"/>
          <w:szCs w:val="28"/>
        </w:rPr>
      </w:pPr>
      <w:r w:rsidRPr="00883605">
        <w:rPr>
          <w:b/>
          <w:sz w:val="28"/>
          <w:szCs w:val="28"/>
        </w:rPr>
        <w:t>Commission économique pour l’Europe</w:t>
      </w:r>
    </w:p>
    <w:p w14:paraId="737B9367" w14:textId="77777777" w:rsidR="00793210" w:rsidRDefault="00793210" w:rsidP="00D3775F">
      <w:pPr>
        <w:spacing w:before="120"/>
        <w:rPr>
          <w:sz w:val="28"/>
          <w:szCs w:val="28"/>
        </w:rPr>
      </w:pPr>
      <w:r w:rsidRPr="00685843">
        <w:rPr>
          <w:sz w:val="28"/>
          <w:szCs w:val="28"/>
        </w:rPr>
        <w:t>Comité des transports intérieurs</w:t>
      </w:r>
    </w:p>
    <w:p w14:paraId="6EFBFBBE" w14:textId="77777777" w:rsidR="00F36321" w:rsidRPr="00F36321" w:rsidRDefault="00F36321" w:rsidP="00F36321">
      <w:pPr>
        <w:spacing w:before="120"/>
        <w:rPr>
          <w:rFonts w:eastAsiaTheme="minorEastAsia"/>
          <w:b/>
          <w:sz w:val="24"/>
          <w:szCs w:val="24"/>
        </w:rPr>
      </w:pPr>
      <w:r w:rsidRPr="00F36321">
        <w:rPr>
          <w:rFonts w:eastAsiaTheme="minorEastAsia"/>
          <w:b/>
          <w:sz w:val="24"/>
          <w:szCs w:val="24"/>
        </w:rPr>
        <w:t>Groupe de travail des transports de marchandises dangereuses</w:t>
      </w:r>
    </w:p>
    <w:p w14:paraId="53F592F2" w14:textId="77777777" w:rsidR="00F36321" w:rsidRPr="00F36321" w:rsidRDefault="00F36321" w:rsidP="00F36321">
      <w:pPr>
        <w:spacing w:before="120"/>
        <w:rPr>
          <w:rFonts w:eastAsiaTheme="minorEastAsia"/>
          <w:b/>
        </w:rPr>
      </w:pPr>
      <w:r w:rsidRPr="00F36321">
        <w:rPr>
          <w:rFonts w:eastAsiaTheme="minorEastAsia"/>
          <w:b/>
          <w:lang w:val="fr-FR"/>
        </w:rPr>
        <w:t xml:space="preserve">Réunion commune d’experts sur le Règlement annexé </w:t>
      </w:r>
      <w:r w:rsidRPr="00F36321">
        <w:rPr>
          <w:rFonts w:eastAsiaTheme="minorEastAsia"/>
          <w:b/>
          <w:lang w:val="fr-FR"/>
        </w:rPr>
        <w:br/>
        <w:t xml:space="preserve">à l’Accord européen relatif au transport international </w:t>
      </w:r>
      <w:r w:rsidRPr="00F36321">
        <w:rPr>
          <w:rFonts w:eastAsiaTheme="minorEastAsia"/>
          <w:b/>
          <w:lang w:val="fr-FR"/>
        </w:rPr>
        <w:br/>
        <w:t xml:space="preserve">des marchandises </w:t>
      </w:r>
      <w:r w:rsidRPr="00F36321">
        <w:rPr>
          <w:rFonts w:eastAsiaTheme="minorEastAsia"/>
          <w:b/>
          <w:bCs/>
          <w:iCs/>
          <w:lang w:val="fr-FR"/>
        </w:rPr>
        <w:t xml:space="preserve">dangereuses par voies de navigation </w:t>
      </w:r>
      <w:r w:rsidRPr="00F36321">
        <w:rPr>
          <w:rFonts w:eastAsiaTheme="minorEastAsia"/>
          <w:b/>
          <w:bCs/>
          <w:iCs/>
          <w:lang w:val="fr-FR"/>
        </w:rPr>
        <w:br/>
        <w:t xml:space="preserve">intérieures (ADN) </w:t>
      </w:r>
      <w:r w:rsidRPr="00F36321">
        <w:rPr>
          <w:rFonts w:eastAsiaTheme="minorEastAsia"/>
          <w:b/>
          <w:bCs/>
          <w:lang w:val="fr-FR"/>
        </w:rPr>
        <w:t>(Comité de sécurité de l’ADN)</w:t>
      </w:r>
    </w:p>
    <w:p w14:paraId="0F132F8D" w14:textId="77777777" w:rsidR="00F36321" w:rsidRPr="00F36321" w:rsidRDefault="00F36321" w:rsidP="00F36321">
      <w:pPr>
        <w:spacing w:before="120"/>
        <w:rPr>
          <w:rFonts w:eastAsiaTheme="minorEastAsia"/>
          <w:b/>
        </w:rPr>
      </w:pPr>
      <w:r w:rsidRPr="00F36321">
        <w:rPr>
          <w:rFonts w:eastAsiaTheme="minorEastAsia"/>
          <w:b/>
        </w:rPr>
        <w:t>Trente-septième session</w:t>
      </w:r>
    </w:p>
    <w:p w14:paraId="6E13DB55" w14:textId="77777777" w:rsidR="00F36321" w:rsidRPr="00F36321" w:rsidRDefault="00F36321" w:rsidP="00F36321">
      <w:pPr>
        <w:rPr>
          <w:rFonts w:eastAsiaTheme="minorEastAsia"/>
        </w:rPr>
      </w:pPr>
      <w:r w:rsidRPr="00F36321">
        <w:rPr>
          <w:rFonts w:eastAsiaTheme="minorEastAsia"/>
        </w:rPr>
        <w:t>Genève, 24-28 août 2020</w:t>
      </w:r>
    </w:p>
    <w:p w14:paraId="0AD2450B" w14:textId="77777777" w:rsidR="00F36321" w:rsidRPr="00F36321" w:rsidRDefault="00F36321" w:rsidP="00F36321">
      <w:pPr>
        <w:rPr>
          <w:rFonts w:eastAsiaTheme="minorEastAsia"/>
        </w:rPr>
      </w:pPr>
      <w:r w:rsidRPr="00F36321">
        <w:rPr>
          <w:rFonts w:eastAsiaTheme="minorEastAsia"/>
        </w:rPr>
        <w:t>Point 3 c) de l’ordre du jour provisoire</w:t>
      </w:r>
    </w:p>
    <w:p w14:paraId="3FAF5F88" w14:textId="77777777" w:rsidR="00F36321" w:rsidRPr="00F36321" w:rsidRDefault="00F36321" w:rsidP="00F36321">
      <w:pPr>
        <w:rPr>
          <w:rFonts w:eastAsiaTheme="minorEastAsia"/>
          <w:b/>
          <w:bCs/>
          <w:lang w:val="fr-FR"/>
        </w:rPr>
      </w:pPr>
      <w:r w:rsidRPr="00F36321">
        <w:rPr>
          <w:rFonts w:eastAsiaTheme="minorEastAsia"/>
          <w:b/>
          <w:bCs/>
          <w:lang w:val="fr-FR"/>
        </w:rPr>
        <w:t xml:space="preserve">Mise en œuvre de l’Accord européen relatif au transport </w:t>
      </w:r>
      <w:r w:rsidRPr="00F36321">
        <w:rPr>
          <w:rFonts w:eastAsiaTheme="minorEastAsia"/>
          <w:b/>
          <w:bCs/>
          <w:lang w:val="fr-FR"/>
        </w:rPr>
        <w:br/>
        <w:t xml:space="preserve">international des marchandises dangereuses par voies </w:t>
      </w:r>
      <w:r w:rsidRPr="00F36321">
        <w:rPr>
          <w:rFonts w:eastAsiaTheme="minorEastAsia"/>
          <w:b/>
          <w:bCs/>
          <w:lang w:val="fr-FR"/>
        </w:rPr>
        <w:br/>
        <w:t>de navigation intérieures (ADN):</w:t>
      </w:r>
    </w:p>
    <w:p w14:paraId="59DCF0D5" w14:textId="4E46169C" w:rsidR="004342FC" w:rsidRDefault="00F36321" w:rsidP="00F36321">
      <w:pPr>
        <w:rPr>
          <w:rFonts w:eastAsiaTheme="minorEastAsia"/>
          <w:b/>
          <w:bCs/>
          <w:lang w:val="fr-FR"/>
        </w:rPr>
      </w:pPr>
      <w:r w:rsidRPr="00F36321">
        <w:rPr>
          <w:rFonts w:eastAsiaTheme="minorEastAsia"/>
          <w:b/>
          <w:bCs/>
          <w:lang w:val="fr-FR"/>
        </w:rPr>
        <w:t>interprétation du Règlement annexé à l’ADN</w:t>
      </w:r>
    </w:p>
    <w:p w14:paraId="07727978" w14:textId="2E360023" w:rsidR="00F36321" w:rsidRPr="00F36321" w:rsidRDefault="00F36321" w:rsidP="00F36321">
      <w:pPr>
        <w:pStyle w:val="HChG"/>
        <w:rPr>
          <w:lang w:val="fr-FR"/>
        </w:rPr>
      </w:pPr>
      <w:r>
        <w:rPr>
          <w:lang w:val="fr-FR"/>
        </w:rPr>
        <w:tab/>
      </w:r>
      <w:r>
        <w:rPr>
          <w:lang w:val="fr-FR"/>
        </w:rPr>
        <w:tab/>
      </w:r>
      <w:r w:rsidRPr="00F36321">
        <w:rPr>
          <w:lang w:val="fr-FR"/>
        </w:rPr>
        <w:t>Agrément des sociétés de classification – Interprétation du 1.15.1 et du 1.15.3.8</w:t>
      </w:r>
    </w:p>
    <w:p w14:paraId="71DE3AAE" w14:textId="14A231D3" w:rsidR="00F36321" w:rsidRDefault="00F36321" w:rsidP="00F36321">
      <w:pPr>
        <w:pStyle w:val="H1G"/>
      </w:pPr>
      <w:r w:rsidRPr="00F36321">
        <w:rPr>
          <w:lang w:val="fr-FR"/>
        </w:rPr>
        <w:tab/>
      </w:r>
      <w:r w:rsidRPr="00F36321">
        <w:rPr>
          <w:lang w:val="fr-FR"/>
        </w:rPr>
        <w:tab/>
        <w:t xml:space="preserve">Communication du Gouvernement de la </w:t>
      </w:r>
      <w:r>
        <w:rPr>
          <w:lang w:val="fr-FR"/>
        </w:rPr>
        <w:t xml:space="preserve">France </w:t>
      </w:r>
      <w:r w:rsidRPr="00946636">
        <w:rPr>
          <w:rStyle w:val="FootnoteReference"/>
          <w:snapToGrid w:val="0"/>
          <w:sz w:val="20"/>
        </w:rPr>
        <w:footnoteReference w:customMarkFollows="1" w:id="2"/>
        <w:t>*</w:t>
      </w:r>
      <w:r w:rsidRPr="00946636">
        <w:rPr>
          <w:snapToGrid w:val="0"/>
          <w:sz w:val="20"/>
          <w:vertAlign w:val="superscript"/>
        </w:rPr>
        <w:t>,</w:t>
      </w:r>
      <w:r w:rsidRPr="00946636">
        <w:rPr>
          <w:rStyle w:val="FootnoteReference"/>
          <w:snapToGrid w:val="0"/>
          <w:sz w:val="20"/>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F36321" w14:paraId="58CFE029" w14:textId="77777777" w:rsidTr="00734511">
        <w:trPr>
          <w:jc w:val="center"/>
        </w:trPr>
        <w:tc>
          <w:tcPr>
            <w:tcW w:w="9628" w:type="dxa"/>
            <w:shd w:val="clear" w:color="auto" w:fill="auto"/>
          </w:tcPr>
          <w:p w14:paraId="2E283D99" w14:textId="77777777" w:rsidR="00F36321" w:rsidRPr="00C6263E" w:rsidRDefault="00F36321" w:rsidP="006E5E26">
            <w:pPr>
              <w:spacing w:before="240" w:after="120"/>
              <w:ind w:left="255"/>
              <w:rPr>
                <w:i/>
                <w:sz w:val="24"/>
              </w:rPr>
            </w:pPr>
            <w:r w:rsidRPr="00C6263E">
              <w:rPr>
                <w:i/>
                <w:sz w:val="24"/>
              </w:rPr>
              <w:t xml:space="preserve">Résumé </w:t>
            </w:r>
          </w:p>
        </w:tc>
      </w:tr>
      <w:tr w:rsidR="00F36321" w14:paraId="187C4B66" w14:textId="77777777" w:rsidTr="00734511">
        <w:trPr>
          <w:jc w:val="center"/>
        </w:trPr>
        <w:tc>
          <w:tcPr>
            <w:tcW w:w="9628" w:type="dxa"/>
            <w:shd w:val="clear" w:color="auto" w:fill="auto"/>
          </w:tcPr>
          <w:p w14:paraId="31A1C405" w14:textId="27ACF2DD" w:rsidR="00F36321" w:rsidRDefault="00734511" w:rsidP="00734511">
            <w:pPr>
              <w:pStyle w:val="SingleTxtG"/>
              <w:ind w:left="2835" w:hanging="2551"/>
            </w:pPr>
            <w:r w:rsidRPr="00D81920">
              <w:rPr>
                <w:b/>
                <w:lang w:eastAsia="fr-FR"/>
              </w:rPr>
              <w:t>Résumé analytique :</w:t>
            </w:r>
            <w:r>
              <w:rPr>
                <w:b/>
                <w:lang w:eastAsia="fr-FR"/>
              </w:rPr>
              <w:t xml:space="preserve"> </w:t>
            </w:r>
            <w:r>
              <w:rPr>
                <w:b/>
                <w:lang w:eastAsia="fr-FR"/>
              </w:rPr>
              <w:tab/>
            </w:r>
            <w:r>
              <w:t>Aux fins de recueillir la position des autres États Parties contractantes à l’ADN, l</w:t>
            </w:r>
            <w:r w:rsidRPr="00D81920">
              <w:t xml:space="preserve">e document </w:t>
            </w:r>
            <w:r>
              <w:t>explore une certain nombre d’interprétations ou de lectures possibles de différents aspects du Chapitre 1.15 du Règlement annexé à l’ADN.</w:t>
            </w:r>
          </w:p>
          <w:p w14:paraId="4C6EED84" w14:textId="30EDDF6E" w:rsidR="00734511" w:rsidRDefault="00734511" w:rsidP="00734511">
            <w:pPr>
              <w:pStyle w:val="SingleTxtG"/>
              <w:ind w:left="2835" w:hanging="2551"/>
            </w:pPr>
            <w:r w:rsidRPr="00D81920">
              <w:rPr>
                <w:b/>
                <w:lang w:eastAsia="fr-FR"/>
              </w:rPr>
              <w:t>Mesure à prendre :</w:t>
            </w:r>
            <w:r>
              <w:rPr>
                <w:b/>
                <w:lang w:eastAsia="fr-FR"/>
              </w:rPr>
              <w:t xml:space="preserve"> </w:t>
            </w:r>
            <w:r>
              <w:rPr>
                <w:b/>
                <w:lang w:eastAsia="fr-FR"/>
              </w:rPr>
              <w:tab/>
            </w:r>
            <w:r w:rsidRPr="00A1039F">
              <w:t>Voir paragraphe 14</w:t>
            </w:r>
          </w:p>
          <w:p w14:paraId="39D76CF8" w14:textId="30A13BF4" w:rsidR="00734511" w:rsidRDefault="00734511" w:rsidP="00734511">
            <w:pPr>
              <w:pStyle w:val="SingleTxtG"/>
              <w:ind w:left="2835" w:hanging="2551"/>
            </w:pPr>
            <w:r w:rsidRPr="00D81920">
              <w:rPr>
                <w:b/>
                <w:lang w:eastAsia="fr-FR"/>
              </w:rPr>
              <w:t>Documents de référence :</w:t>
            </w:r>
            <w:r>
              <w:rPr>
                <w:b/>
                <w:lang w:eastAsia="fr-FR"/>
              </w:rPr>
              <w:t xml:space="preserve"> </w:t>
            </w:r>
            <w:r>
              <w:rPr>
                <w:b/>
                <w:lang w:eastAsia="fr-FR"/>
              </w:rPr>
              <w:tab/>
            </w:r>
            <w:r w:rsidRPr="00A1039F">
              <w:rPr>
                <w:lang w:eastAsia="de-DE"/>
              </w:rPr>
              <w:t>Néant</w:t>
            </w:r>
          </w:p>
        </w:tc>
      </w:tr>
      <w:tr w:rsidR="00F36321" w14:paraId="10FC7BCD" w14:textId="77777777" w:rsidTr="00734511">
        <w:trPr>
          <w:jc w:val="center"/>
        </w:trPr>
        <w:tc>
          <w:tcPr>
            <w:tcW w:w="9628" w:type="dxa"/>
            <w:shd w:val="clear" w:color="auto" w:fill="auto"/>
          </w:tcPr>
          <w:p w14:paraId="736551B5" w14:textId="77777777" w:rsidR="00F36321" w:rsidRDefault="00F36321" w:rsidP="006E5E26"/>
        </w:tc>
      </w:tr>
    </w:tbl>
    <w:p w14:paraId="035E83CA" w14:textId="78E5F413" w:rsidR="00734511" w:rsidRPr="00734511" w:rsidRDefault="00734511" w:rsidP="00734511">
      <w:pPr>
        <w:pStyle w:val="HChG"/>
        <w:rPr>
          <w:lang w:val="fr-FR"/>
        </w:rPr>
      </w:pPr>
      <w:r>
        <w:rPr>
          <w:lang w:val="fr-FR"/>
        </w:rPr>
        <w:lastRenderedPageBreak/>
        <w:tab/>
      </w:r>
      <w:r>
        <w:rPr>
          <w:lang w:val="fr-FR"/>
        </w:rPr>
        <w:tab/>
      </w:r>
      <w:r w:rsidRPr="00734511">
        <w:rPr>
          <w:lang w:val="fr-FR"/>
        </w:rPr>
        <w:t>Introduction</w:t>
      </w:r>
    </w:p>
    <w:p w14:paraId="5BF293E7" w14:textId="3B12E63E" w:rsidR="00734511" w:rsidRPr="00734511" w:rsidRDefault="00DF0B00" w:rsidP="00DF0B00">
      <w:pPr>
        <w:pStyle w:val="SingleTxtG"/>
        <w:keepNext/>
        <w:keepLines/>
        <w:rPr>
          <w:lang w:val="fr-FR"/>
        </w:rPr>
      </w:pPr>
      <w:r>
        <w:rPr>
          <w:lang w:val="fr-FR"/>
        </w:rPr>
        <w:t>1.</w:t>
      </w:r>
      <w:r>
        <w:rPr>
          <w:lang w:val="fr-FR"/>
        </w:rPr>
        <w:tab/>
      </w:r>
      <w:r w:rsidR="00734511" w:rsidRPr="00734511">
        <w:rPr>
          <w:lang w:val="fr-FR"/>
        </w:rPr>
        <w:t xml:space="preserve">La </w:t>
      </w:r>
      <w:r>
        <w:rPr>
          <w:lang w:val="fr-FR"/>
        </w:rPr>
        <w:t>France</w:t>
      </w:r>
      <w:r w:rsidR="00734511" w:rsidRPr="00734511">
        <w:rPr>
          <w:lang w:val="fr-FR"/>
        </w:rPr>
        <w:t xml:space="preserve"> estime nécessaire de clarifier certaines dispositions du Chapitre 1.15 relatif à l’agrément des sociétés de classification, et pour ce faire, souhaite recueillir la position des </w:t>
      </w:r>
      <w:r w:rsidR="00734511" w:rsidRPr="00734511">
        <w:t>des autres États Parties contractantes à l’ADN ainsi que celle des organisations non gouvernementales</w:t>
      </w:r>
    </w:p>
    <w:p w14:paraId="0420F59D" w14:textId="77777777" w:rsidR="00734511" w:rsidRPr="00734511" w:rsidRDefault="00734511" w:rsidP="00734511">
      <w:pPr>
        <w:pStyle w:val="HChG"/>
        <w:rPr>
          <w:lang w:val="fr-FR"/>
        </w:rPr>
      </w:pPr>
      <w:r w:rsidRPr="00734511">
        <w:rPr>
          <w:lang w:val="fr-FR"/>
        </w:rPr>
        <w:tab/>
      </w:r>
      <w:r w:rsidRPr="00734511">
        <w:rPr>
          <w:lang w:val="fr-FR"/>
        </w:rPr>
        <w:tab/>
        <w:t>Discussion des dispositions de la Section 1.15.1 "Généralités" du Règlement annexé</w:t>
      </w:r>
    </w:p>
    <w:p w14:paraId="7F7B42B3" w14:textId="5F179D15" w:rsidR="00734511" w:rsidRPr="00734511" w:rsidRDefault="00DF0B00" w:rsidP="00DF0B00">
      <w:pPr>
        <w:pStyle w:val="SingleTxtG"/>
        <w:rPr>
          <w:lang w:val="fr-FR"/>
        </w:rPr>
      </w:pPr>
      <w:r>
        <w:rPr>
          <w:lang w:val="fr-FR"/>
        </w:rPr>
        <w:t>2.</w:t>
      </w:r>
      <w:r>
        <w:rPr>
          <w:lang w:val="fr-FR"/>
        </w:rPr>
        <w:tab/>
      </w:r>
      <w:r w:rsidR="00734511" w:rsidRPr="00734511">
        <w:rPr>
          <w:lang w:val="fr-FR"/>
        </w:rPr>
        <w:t>La première phrase du 1.15.1 du Règlement annexé à l’ADN est ainsi rédigée :</w:t>
      </w:r>
    </w:p>
    <w:p w14:paraId="36BAD5D9" w14:textId="6C806E74" w:rsidR="00734511" w:rsidRPr="00734511" w:rsidRDefault="00DF0B00" w:rsidP="00734511">
      <w:pPr>
        <w:pStyle w:val="SingleTxtG"/>
        <w:ind w:left="1701"/>
        <w:rPr>
          <w:i/>
          <w:lang w:val="fr-FR"/>
        </w:rPr>
      </w:pPr>
      <w:r w:rsidRPr="006D654F">
        <w:rPr>
          <w:lang w:val="fr-FR"/>
        </w:rPr>
        <w:t>«</w:t>
      </w:r>
      <w:r w:rsidR="00734511" w:rsidRPr="00734511">
        <w:rPr>
          <w:b/>
          <w:bCs/>
          <w:i/>
          <w:lang w:val="fr-FR"/>
        </w:rPr>
        <w:t xml:space="preserve">1.15.1 </w:t>
      </w:r>
      <w:r>
        <w:rPr>
          <w:b/>
          <w:bCs/>
          <w:i/>
          <w:lang w:val="fr-FR"/>
        </w:rPr>
        <w:tab/>
      </w:r>
      <w:r w:rsidR="00734511" w:rsidRPr="00734511">
        <w:rPr>
          <w:b/>
          <w:bCs/>
          <w:i/>
          <w:lang w:val="fr-FR"/>
        </w:rPr>
        <w:t>Généralités</w:t>
      </w:r>
    </w:p>
    <w:p w14:paraId="38AAB362" w14:textId="0AF1D071" w:rsidR="00734511" w:rsidRPr="00734511" w:rsidRDefault="00734511" w:rsidP="00734511">
      <w:pPr>
        <w:pStyle w:val="SingleTxtG"/>
        <w:ind w:left="1701"/>
        <w:rPr>
          <w:i/>
          <w:lang w:val="fr-FR"/>
        </w:rPr>
      </w:pPr>
      <w:r w:rsidRPr="00734511">
        <w:rPr>
          <w:i/>
        </w:rPr>
        <w:t xml:space="preserve">Dans le cas où un accord international portant réglementation, de manière plus générale, de la navigation de bateaux par voies de navigation intérieures viendrait à être conclu et comporterait des dispositions relatives au champ complet des activités des sociétés de classification et à leur agrément, toute disposition du présent chapitre qui serait en contradiction avec l'une quelconque des dispositions de cet accord international serait, dans les rapports entre les Parties au présent accord devenues parties à l'accord international, et à dater du jour de l'entrée en vigueur de celui-ci, automatiquement abolie et remplacée ipso </w:t>
      </w:r>
      <w:r w:rsidRPr="00734511">
        <w:rPr>
          <w:i/>
          <w:lang w:val="fr-FR"/>
        </w:rPr>
        <w:t>facto par la disposition y relative de l'accord international.</w:t>
      </w:r>
      <w:r w:rsidR="00DF0B00" w:rsidRPr="00DF0B00">
        <w:rPr>
          <w:lang w:val="fr-FR"/>
        </w:rPr>
        <w:t xml:space="preserve"> </w:t>
      </w:r>
      <w:r w:rsidR="00DF0B00" w:rsidRPr="006D654F">
        <w:rPr>
          <w:lang w:val="fr-FR"/>
        </w:rPr>
        <w:t>»</w:t>
      </w:r>
    </w:p>
    <w:p w14:paraId="07B0905F" w14:textId="6AFA65D4" w:rsidR="00734511" w:rsidRPr="00734511" w:rsidRDefault="00DF0B00" w:rsidP="00DF0B00">
      <w:pPr>
        <w:pStyle w:val="SingleTxtG"/>
        <w:rPr>
          <w:lang w:val="fr-FR"/>
        </w:rPr>
      </w:pPr>
      <w:r>
        <w:rPr>
          <w:lang w:val="fr-FR"/>
        </w:rPr>
        <w:t>3.</w:t>
      </w:r>
      <w:r>
        <w:rPr>
          <w:lang w:val="fr-FR"/>
        </w:rPr>
        <w:tab/>
      </w:r>
      <w:r w:rsidR="00734511" w:rsidRPr="00734511">
        <w:rPr>
          <w:lang w:val="fr-FR"/>
        </w:rPr>
        <w:t>Pour les 13 États membres de l’Union Européenne qui sont également Parties contractantes à l’ADN, un tel accord international "portant réglementation, de manière plus générale, de la navigation de bateaux par voies de navigation intérieures" existe, il s’agit de la Directive (UE) 2016/1629 du Parlement européen et du Conseil du 14 septembre 2016, établissant les prescriptions techniques applicables aux bateaux de navigation intérieure, modifiant la directive 2009/100/CE et abrogeant la directive 2006/87/CE.</w:t>
      </w:r>
    </w:p>
    <w:p w14:paraId="1B9F30DB" w14:textId="6386790E" w:rsidR="00734511" w:rsidRPr="00734511" w:rsidRDefault="00DF0B00" w:rsidP="00734511">
      <w:pPr>
        <w:pStyle w:val="SingleTxtG"/>
        <w:rPr>
          <w:lang w:val="fr-FR"/>
        </w:rPr>
      </w:pPr>
      <w:r>
        <w:rPr>
          <w:lang w:val="fr-FR"/>
        </w:rPr>
        <w:t>4.</w:t>
      </w:r>
      <w:r>
        <w:rPr>
          <w:lang w:val="fr-FR"/>
        </w:rPr>
        <w:tab/>
      </w:r>
      <w:r w:rsidR="00734511" w:rsidRPr="00734511">
        <w:rPr>
          <w:lang w:val="fr-FR"/>
        </w:rPr>
        <w:t>L’article 21 et l’annexe VI de cette directive définissent les conditions d’agrément des sociétés de classification. Un comparatif entre les dispositions de la directive et celles du Chapitre 1.15 de l’ADN est annexé au présent document.</w:t>
      </w:r>
    </w:p>
    <w:p w14:paraId="4521F8B5" w14:textId="4809624C" w:rsidR="00734511" w:rsidRPr="00734511" w:rsidRDefault="00DF0B00" w:rsidP="00DF0B00">
      <w:pPr>
        <w:pStyle w:val="SingleTxtG"/>
        <w:rPr>
          <w:lang w:val="fr-FR"/>
        </w:rPr>
      </w:pPr>
      <w:r>
        <w:rPr>
          <w:lang w:val="fr-FR"/>
        </w:rPr>
        <w:t>5.</w:t>
      </w:r>
      <w:r>
        <w:rPr>
          <w:lang w:val="fr-FR"/>
        </w:rPr>
        <w:tab/>
      </w:r>
      <w:r w:rsidR="00734511" w:rsidRPr="00734511">
        <w:rPr>
          <w:lang w:val="fr-FR"/>
        </w:rPr>
        <w:t>Ce comparatif montre de nombreuses similitudes entre les dispositions du Chapitre</w:t>
      </w:r>
      <w:r w:rsidR="005A7F24">
        <w:t> </w:t>
      </w:r>
      <w:r w:rsidR="00734511" w:rsidRPr="00734511">
        <w:rPr>
          <w:lang w:val="fr-FR"/>
        </w:rPr>
        <w:t>1.15 du Règlement annexé à l’ADN et celles de la directive (UE) 2016/1629. Cependant, on peut noter quelques différences non négligeables entre d’une part le 1.15.3.8 du Règlement annexé à l’ADN et l’ensemble constitué des paragraphes 10, 11 et 12 de l’Annexe VI de la directive (UE) 2016/1629.</w:t>
      </w:r>
    </w:p>
    <w:p w14:paraId="434F059B" w14:textId="12238450" w:rsidR="00734511" w:rsidRPr="00734511" w:rsidRDefault="00DF0B00" w:rsidP="00DF0B00">
      <w:pPr>
        <w:pStyle w:val="SingleTxtG"/>
        <w:rPr>
          <w:lang w:val="fr-FR"/>
        </w:rPr>
      </w:pPr>
      <w:r>
        <w:rPr>
          <w:lang w:val="fr-FR"/>
        </w:rPr>
        <w:t>6.</w:t>
      </w:r>
      <w:r>
        <w:rPr>
          <w:lang w:val="fr-FR"/>
        </w:rPr>
        <w:tab/>
      </w:r>
      <w:r w:rsidR="00734511" w:rsidRPr="00734511">
        <w:rPr>
          <w:lang w:val="fr-FR"/>
        </w:rPr>
        <w:t>Compte tenu du libellé du 1.15.1 rappelé ci-dessus, la France est conduite à se poser les questions suivantes, qui ne concernent que les 13 États membres de l’Union Européenne qui sont également Parties contractantes à l’ADN :</w:t>
      </w:r>
    </w:p>
    <w:p w14:paraId="4996DA95" w14:textId="77777777" w:rsidR="00734511" w:rsidRPr="00734511" w:rsidRDefault="00734511" w:rsidP="00DF0B00">
      <w:pPr>
        <w:pStyle w:val="SingleTxtG"/>
        <w:tabs>
          <w:tab w:val="left" w:pos="2268"/>
        </w:tabs>
        <w:ind w:firstLine="567"/>
        <w:rPr>
          <w:lang w:val="fr-FR"/>
        </w:rPr>
      </w:pPr>
      <w:r w:rsidRPr="00734511">
        <w:rPr>
          <w:lang w:val="fr-FR"/>
        </w:rPr>
        <w:t>a)</w:t>
      </w:r>
      <w:r w:rsidRPr="00734511">
        <w:rPr>
          <w:lang w:val="fr-FR"/>
        </w:rPr>
        <w:tab/>
        <w:t>Peut-on ou doit-on remplacer les dispositions du Chapitre 1.15 du Règlement annexé à l’ADN, par les conditions d’agrément des sociétés de classification figurant dans la directive (UE) 2016/1629 ? Dans la logique du 1.15.1, la réponse pourrait être qu’on doit remplacer les dispositions du Chapitre 1.15 par celles de la directive.</w:t>
      </w:r>
    </w:p>
    <w:p w14:paraId="3B4C66B6" w14:textId="77777777" w:rsidR="00734511" w:rsidRPr="00734511" w:rsidRDefault="00734511" w:rsidP="00DF0B00">
      <w:pPr>
        <w:pStyle w:val="SingleTxtG"/>
        <w:tabs>
          <w:tab w:val="left" w:pos="2268"/>
        </w:tabs>
        <w:ind w:firstLine="567"/>
        <w:rPr>
          <w:lang w:val="fr-FR"/>
        </w:rPr>
      </w:pPr>
      <w:r w:rsidRPr="00734511">
        <w:rPr>
          <w:lang w:val="fr-FR"/>
        </w:rPr>
        <w:t>b)</w:t>
      </w:r>
      <w:r w:rsidRPr="00734511">
        <w:rPr>
          <w:lang w:val="fr-FR"/>
        </w:rPr>
        <w:tab/>
        <w:t>Ce remplacement (ou cette substitution) devrait-il conduire à ignorer les procédures, conditions et critères d’agrément déclinés aux 1.15.2 et 1.15.3 du Règlement annexé à l’ADN ? Ici encore, dans la logique du 1.15.1, la réponse pourrait être oui.</w:t>
      </w:r>
    </w:p>
    <w:p w14:paraId="7D0D331F" w14:textId="77777777" w:rsidR="00734511" w:rsidRPr="00734511" w:rsidRDefault="00734511" w:rsidP="00DF0B00">
      <w:pPr>
        <w:pStyle w:val="SingleTxtG"/>
        <w:tabs>
          <w:tab w:val="left" w:pos="2268"/>
        </w:tabs>
        <w:ind w:firstLine="567"/>
        <w:rPr>
          <w:lang w:val="fr-FR"/>
        </w:rPr>
      </w:pPr>
      <w:r w:rsidRPr="00734511">
        <w:rPr>
          <w:lang w:val="fr-FR"/>
        </w:rPr>
        <w:t>c)</w:t>
      </w:r>
      <w:r w:rsidRPr="00734511">
        <w:rPr>
          <w:lang w:val="fr-FR"/>
        </w:rPr>
        <w:tab/>
        <w:t xml:space="preserve">Si la réponse est encore une fois positive, cela pourrait notamment conduire, pour les 13 États concernés, à abandonner la notion de société de classification recommandée pour l’agrément figurant au 1.15.2.3. </w:t>
      </w:r>
    </w:p>
    <w:p w14:paraId="7E6F38C0" w14:textId="44FE0517" w:rsidR="00734511" w:rsidRPr="00734511" w:rsidRDefault="00DF0B00" w:rsidP="00DF0B00">
      <w:pPr>
        <w:pStyle w:val="SingleTxtG"/>
        <w:tabs>
          <w:tab w:val="left" w:pos="2268"/>
        </w:tabs>
        <w:ind w:left="1701"/>
        <w:rPr>
          <w:lang w:val="fr-FR"/>
        </w:rPr>
      </w:pPr>
      <w:r>
        <w:rPr>
          <w:lang w:val="fr-FR"/>
        </w:rPr>
        <w:t>i</w:t>
      </w:r>
      <w:r w:rsidR="00734511" w:rsidRPr="00734511">
        <w:rPr>
          <w:lang w:val="fr-FR"/>
        </w:rPr>
        <w:t>)</w:t>
      </w:r>
      <w:r w:rsidR="00734511" w:rsidRPr="00734511">
        <w:rPr>
          <w:lang w:val="fr-FR"/>
        </w:rPr>
        <w:tab/>
        <w:t>Dans cette logique, l’un ou plusieurs de ces 13 États membres de l’Union Européenne concernés pourraient-ils en conséquence agréer une société de classification qui ne figurerait pas dans la liste établie par le Comité d’Administration de l’ADN ?</w:t>
      </w:r>
    </w:p>
    <w:p w14:paraId="0BE10DC5" w14:textId="5D89D78F" w:rsidR="00734511" w:rsidRPr="00734511" w:rsidRDefault="00DF0B00" w:rsidP="00DF0B00">
      <w:pPr>
        <w:pStyle w:val="SingleTxtG"/>
        <w:tabs>
          <w:tab w:val="left" w:pos="2268"/>
        </w:tabs>
        <w:ind w:left="1701"/>
        <w:rPr>
          <w:lang w:val="fr-FR"/>
        </w:rPr>
      </w:pPr>
      <w:r>
        <w:rPr>
          <w:lang w:val="fr-FR"/>
        </w:rPr>
        <w:lastRenderedPageBreak/>
        <w:t>ii</w:t>
      </w:r>
      <w:r w:rsidR="00734511" w:rsidRPr="00734511">
        <w:rPr>
          <w:lang w:val="fr-FR"/>
        </w:rPr>
        <w:t>)</w:t>
      </w:r>
      <w:r w:rsidR="00734511" w:rsidRPr="00734511">
        <w:rPr>
          <w:lang w:val="fr-FR"/>
        </w:rPr>
        <w:tab/>
        <w:t>Pourrait-on considérer que les sociétés de classification figurant dans la liste évoquée au paragraphe 5 de l’article 21 de la directive (UE) 2016/1629 sont automatiquement autorisées à agir à l’intérieur du territoire de l’Union Européenne, y compris au titre de l’ADN ?</w:t>
      </w:r>
    </w:p>
    <w:p w14:paraId="53DA0752" w14:textId="77777777" w:rsidR="00734511" w:rsidRPr="00734511" w:rsidRDefault="00734511" w:rsidP="00734511">
      <w:pPr>
        <w:pStyle w:val="HChG"/>
        <w:rPr>
          <w:lang w:val="fr-FR"/>
        </w:rPr>
      </w:pPr>
      <w:r w:rsidRPr="00734511">
        <w:rPr>
          <w:lang w:val="fr-FR"/>
        </w:rPr>
        <w:tab/>
      </w:r>
      <w:r w:rsidRPr="00734511">
        <w:rPr>
          <w:lang w:val="fr-FR"/>
        </w:rPr>
        <w:tab/>
        <w:t>Discussion des dispositions du 1.15.3.8 du Règlement annexé</w:t>
      </w:r>
    </w:p>
    <w:p w14:paraId="6E57BCF0" w14:textId="1165C09F" w:rsidR="00734511" w:rsidRPr="00734511" w:rsidRDefault="00DF0B00" w:rsidP="00DF0B00">
      <w:pPr>
        <w:pStyle w:val="SingleTxtG"/>
        <w:rPr>
          <w:lang w:val="fr-FR"/>
        </w:rPr>
      </w:pPr>
      <w:r>
        <w:rPr>
          <w:lang w:val="fr-FR"/>
        </w:rPr>
        <w:t>7.</w:t>
      </w:r>
      <w:r>
        <w:rPr>
          <w:lang w:val="fr-FR"/>
        </w:rPr>
        <w:tab/>
      </w:r>
      <w:r w:rsidR="00734511" w:rsidRPr="00734511">
        <w:rPr>
          <w:lang w:val="fr-FR"/>
        </w:rPr>
        <w:t>Indépendamment des points 1 à 5 ci-dessus, le 1.15.3.8 du Règlement annexé à l’ADN, tel qu’il est rédigé actuellement, laisse une large part à des interprétations nationales, et conduit à se poser des questions portant sur la clarification de ses dispositions :</w:t>
      </w:r>
    </w:p>
    <w:p w14:paraId="36F82F76" w14:textId="7BC56D63" w:rsidR="00734511" w:rsidRPr="00734511" w:rsidRDefault="00DF0B00" w:rsidP="00DF0B00">
      <w:pPr>
        <w:pStyle w:val="SingleTxtG"/>
        <w:ind w:left="1701"/>
        <w:rPr>
          <w:i/>
          <w:lang w:val="fr-FR"/>
        </w:rPr>
      </w:pPr>
      <w:r w:rsidRPr="006D654F">
        <w:rPr>
          <w:lang w:val="fr-FR"/>
        </w:rPr>
        <w:t>«</w:t>
      </w:r>
      <w:r w:rsidR="00734511" w:rsidRPr="00734511">
        <w:rPr>
          <w:b/>
          <w:i/>
        </w:rPr>
        <w:t>1.15.3.8</w:t>
      </w:r>
      <w:r w:rsidR="00734511" w:rsidRPr="00734511">
        <w:rPr>
          <w:i/>
        </w:rPr>
        <w:tab/>
        <w:t xml:space="preserve">La société de classification a élaboré, a mis en œuvre et maintient un système efficace de qualité interne fondé sur les aspects pertinents des normes de qualité internationalement reconnues et conforme aux normes EN ISO/IEC 17020:2012 (sauf clause 8.1.3) (organismes de contrôle) et ISO 9001 ou EN ISO 9001:2015. Ce système est certifié par un corps indépendant de vérificateurs reconnus par l'administration de l'État dans lequel il est </w:t>
      </w:r>
      <w:r w:rsidR="00734511" w:rsidRPr="00734511">
        <w:rPr>
          <w:i/>
          <w:lang w:val="fr-FR"/>
        </w:rPr>
        <w:t>implanté.</w:t>
      </w:r>
      <w:r w:rsidRPr="00DF0B00">
        <w:rPr>
          <w:lang w:val="fr-FR"/>
        </w:rPr>
        <w:t xml:space="preserve"> </w:t>
      </w:r>
      <w:r w:rsidRPr="006D654F">
        <w:rPr>
          <w:lang w:val="fr-FR"/>
        </w:rPr>
        <w:t>»</w:t>
      </w:r>
    </w:p>
    <w:p w14:paraId="6A418779" w14:textId="16E9C163" w:rsidR="00734511" w:rsidRPr="00734511" w:rsidRDefault="00DF0B00" w:rsidP="00DF0B00">
      <w:pPr>
        <w:pStyle w:val="SingleTxtG"/>
        <w:rPr>
          <w:lang w:val="fr-FR"/>
        </w:rPr>
      </w:pPr>
      <w:r>
        <w:rPr>
          <w:lang w:val="fr-FR"/>
        </w:rPr>
        <w:t>8.</w:t>
      </w:r>
      <w:r>
        <w:rPr>
          <w:lang w:val="fr-FR"/>
        </w:rPr>
        <w:tab/>
      </w:r>
      <w:r w:rsidR="00734511" w:rsidRPr="00734511">
        <w:rPr>
          <w:lang w:val="fr-FR"/>
        </w:rPr>
        <w:t xml:space="preserve">Est-il nécessaire de viser deux normes (EN ISO/IEC 17020 et </w:t>
      </w:r>
      <w:r w:rsidR="00734511" w:rsidRPr="00734511">
        <w:t xml:space="preserve">ISO 9001 ou EN ISO 9001), alors que les exigences de la norme ISO 9001 sont couvertes par les sections 3 à 7 de la norme </w:t>
      </w:r>
      <w:r w:rsidR="00734511" w:rsidRPr="00734511">
        <w:rPr>
          <w:lang w:val="fr-FR"/>
        </w:rPr>
        <w:t>EN ISO/IEC 17020 ?</w:t>
      </w:r>
    </w:p>
    <w:p w14:paraId="6EF72357" w14:textId="00F9BB3A" w:rsidR="00734511" w:rsidRPr="00734511" w:rsidRDefault="00DF0B00" w:rsidP="00DF0B00">
      <w:pPr>
        <w:pStyle w:val="SingleTxtG"/>
        <w:rPr>
          <w:lang w:val="fr-FR"/>
        </w:rPr>
      </w:pPr>
      <w:r>
        <w:rPr>
          <w:lang w:val="fr-FR"/>
        </w:rPr>
        <w:t>9.</w:t>
      </w:r>
      <w:r>
        <w:rPr>
          <w:lang w:val="fr-FR"/>
        </w:rPr>
        <w:tab/>
      </w:r>
      <w:r w:rsidR="00734511" w:rsidRPr="00734511">
        <w:rPr>
          <w:lang w:val="fr-FR"/>
        </w:rPr>
        <w:t>Au sens de l’Annexe A (normative) de la norme EN ISO/IEC 17020, de quel type d’organismes relèvent les sociétés de classification ? La France estime qu’on devrait exiger que les sociétés de classification soient du Type A, tel que défini dans la Section A-1 de l’Annexe A de la norme EN ISO/IEC 17020.</w:t>
      </w:r>
    </w:p>
    <w:p w14:paraId="1A13C083" w14:textId="206751B0" w:rsidR="00734511" w:rsidRPr="00734511" w:rsidRDefault="00DF0B00" w:rsidP="00DF0B00">
      <w:pPr>
        <w:pStyle w:val="SingleTxtG"/>
        <w:rPr>
          <w:lang w:val="fr-FR"/>
        </w:rPr>
      </w:pPr>
      <w:r>
        <w:rPr>
          <w:lang w:val="fr-FR"/>
        </w:rPr>
        <w:t>10.</w:t>
      </w:r>
      <w:r>
        <w:rPr>
          <w:lang w:val="fr-FR"/>
        </w:rPr>
        <w:tab/>
      </w:r>
      <w:r w:rsidR="00734511" w:rsidRPr="00734511">
        <w:rPr>
          <w:lang w:val="fr-FR"/>
        </w:rPr>
        <w:t xml:space="preserve">Quelle est la signification de l’expression </w:t>
      </w:r>
      <w:r w:rsidR="00734511" w:rsidRPr="00734511">
        <w:rPr>
          <w:i/>
          <w:lang w:val="fr-FR"/>
        </w:rPr>
        <w:t>"aspects pertinents"</w:t>
      </w:r>
      <w:r w:rsidR="00734511" w:rsidRPr="00734511">
        <w:rPr>
          <w:lang w:val="fr-FR"/>
        </w:rPr>
        <w:t xml:space="preserve"> ? En France, comme dans de nombreux autres États, la preuve de conformité avec la norme EN ISO/IEC 17020 ne peut normalement être démontrée que par une accréditation. Si l’on admet qu’une preuve de conformité peut être apportée sans accréditation, il conviendrait au minimum que tous les </w:t>
      </w:r>
      <w:r w:rsidR="00734511" w:rsidRPr="00734511">
        <w:rPr>
          <w:i/>
          <w:lang w:val="fr-FR"/>
        </w:rPr>
        <w:t>"aspects pertinents"</w:t>
      </w:r>
      <w:r w:rsidR="00734511" w:rsidRPr="00734511">
        <w:rPr>
          <w:lang w:val="fr-FR"/>
        </w:rPr>
        <w:t xml:space="preserve"> soient listés, et que soient mis en regard les processus ou procédures correspondants de la société de classification.</w:t>
      </w:r>
    </w:p>
    <w:p w14:paraId="02CD1778" w14:textId="5FED710D" w:rsidR="00734511" w:rsidRPr="00734511" w:rsidRDefault="00DF0B00" w:rsidP="00DF0B00">
      <w:pPr>
        <w:pStyle w:val="SingleTxtG"/>
        <w:rPr>
          <w:lang w:val="fr-FR"/>
        </w:rPr>
      </w:pPr>
      <w:r>
        <w:rPr>
          <w:lang w:val="fr-FR"/>
        </w:rPr>
        <w:t>11.</w:t>
      </w:r>
      <w:r>
        <w:rPr>
          <w:lang w:val="fr-FR"/>
        </w:rPr>
        <w:tab/>
      </w:r>
      <w:r w:rsidR="00734511" w:rsidRPr="00734511">
        <w:rPr>
          <w:lang w:val="fr-FR"/>
        </w:rPr>
        <w:t xml:space="preserve">A noter que dans la directive (UE) 2016/1629 (Annexe VI – Paragraphe 11), cette notion </w:t>
      </w:r>
      <w:r w:rsidR="00734511" w:rsidRPr="00734511">
        <w:rPr>
          <w:i/>
          <w:lang w:val="fr-FR"/>
        </w:rPr>
        <w:t>"d’aspects pertinents"</w:t>
      </w:r>
      <w:r w:rsidR="00734511" w:rsidRPr="00734511">
        <w:rPr>
          <w:lang w:val="fr-FR"/>
        </w:rPr>
        <w:t xml:space="preserve"> est remplacée par la conformité à la norme EN ISO/IEC 17020, </w:t>
      </w:r>
      <w:r w:rsidR="00734511" w:rsidRPr="00734511">
        <w:rPr>
          <w:i/>
          <w:lang w:val="fr-FR"/>
        </w:rPr>
        <w:t>"dans l'interprétation qui en est faite par les prescriptions du programme de certification de qualité de l'IACS"</w:t>
      </w:r>
      <w:r w:rsidR="00734511" w:rsidRPr="00734511">
        <w:rPr>
          <w:lang w:val="fr-FR"/>
        </w:rPr>
        <w:t>.</w:t>
      </w:r>
    </w:p>
    <w:p w14:paraId="1109FAB6" w14:textId="60AC3C4C" w:rsidR="00734511" w:rsidRPr="00734511" w:rsidRDefault="00DF0B00" w:rsidP="00DF0B00">
      <w:pPr>
        <w:pStyle w:val="SingleTxtG"/>
        <w:rPr>
          <w:lang w:val="fr-FR"/>
        </w:rPr>
      </w:pPr>
      <w:r>
        <w:rPr>
          <w:lang w:val="fr-FR"/>
        </w:rPr>
        <w:t>12.</w:t>
      </w:r>
      <w:r>
        <w:rPr>
          <w:lang w:val="fr-FR"/>
        </w:rPr>
        <w:tab/>
      </w:r>
      <w:r w:rsidR="00734511" w:rsidRPr="00734511">
        <w:rPr>
          <w:lang w:val="fr-FR"/>
        </w:rPr>
        <w:t xml:space="preserve">Cette interprétation figure dans la publication de l’IACS (Association Internationale des Sociétés de Classification) "IACS PROCEDURES - Volume 3: IACS QUALITY SYSTEM CERTIFICATION SCHEME (QSCS)" accessible par le lien : </w:t>
      </w:r>
      <w:hyperlink r:id="rId9" w:history="1">
        <w:r w:rsidR="00734511" w:rsidRPr="00734511">
          <w:rPr>
            <w:rStyle w:val="Hyperlink"/>
            <w:color w:val="auto"/>
            <w:lang w:val="fr-FR"/>
          </w:rPr>
          <w:t>http://www.iacs.org.uk/download/1790</w:t>
        </w:r>
      </w:hyperlink>
      <w:r w:rsidR="00734511" w:rsidRPr="00734511">
        <w:rPr>
          <w:lang w:val="fr-FR"/>
        </w:rPr>
        <w:t>, et que le référentiel de ce système de certification ne vise que des références maritimes (Résolution MSC.349(92) de l’OMI – Code RO de l’OMI, diverses prescriptions et interprétations uniformes de l’IACS etc.).</w:t>
      </w:r>
    </w:p>
    <w:p w14:paraId="46E3E0BA" w14:textId="438B9D9D" w:rsidR="00734511" w:rsidRPr="00734511" w:rsidRDefault="00DF0B00" w:rsidP="00DF0B00">
      <w:pPr>
        <w:pStyle w:val="SingleTxtG"/>
        <w:rPr>
          <w:lang w:val="fr-FR"/>
        </w:rPr>
      </w:pPr>
      <w:r>
        <w:rPr>
          <w:lang w:val="fr-FR"/>
        </w:rPr>
        <w:t>13.</w:t>
      </w:r>
      <w:r>
        <w:rPr>
          <w:lang w:val="fr-FR"/>
        </w:rPr>
        <w:tab/>
      </w:r>
      <w:r w:rsidR="00734511" w:rsidRPr="00734511">
        <w:rPr>
          <w:lang w:val="fr-FR"/>
        </w:rPr>
        <w:t xml:space="preserve">Quelle est la signification de l’expression </w:t>
      </w:r>
      <w:r w:rsidR="00734511" w:rsidRPr="00734511">
        <w:rPr>
          <w:i/>
          <w:lang w:val="fr-FR"/>
        </w:rPr>
        <w:t>"</w:t>
      </w:r>
      <w:r w:rsidR="00734511" w:rsidRPr="00734511">
        <w:rPr>
          <w:i/>
        </w:rPr>
        <w:t xml:space="preserve">un corps indépendant de vérificateurs reconnus par l'administration de l'État dans lequel il est </w:t>
      </w:r>
      <w:r w:rsidR="00734511" w:rsidRPr="00734511">
        <w:rPr>
          <w:i/>
          <w:lang w:val="fr-FR"/>
        </w:rPr>
        <w:t>implanté"</w:t>
      </w:r>
      <w:r w:rsidR="00734511" w:rsidRPr="00734511">
        <w:rPr>
          <w:lang w:val="fr-FR"/>
        </w:rPr>
        <w:t> ?</w:t>
      </w:r>
    </w:p>
    <w:p w14:paraId="2F310A6D" w14:textId="77777777" w:rsidR="00734511" w:rsidRPr="00734511" w:rsidRDefault="00734511" w:rsidP="00356169">
      <w:pPr>
        <w:pStyle w:val="SingleTxtG"/>
        <w:numPr>
          <w:ilvl w:val="0"/>
          <w:numId w:val="15"/>
        </w:numPr>
        <w:ind w:left="1134" w:firstLine="567"/>
        <w:rPr>
          <w:lang w:val="fr-FR"/>
        </w:rPr>
      </w:pPr>
      <w:r w:rsidRPr="00734511">
        <w:rPr>
          <w:lang w:val="fr-FR"/>
        </w:rPr>
        <w:t>Quel est l’État de référence ? S’agit-il de l’État dans lequel est implanté le corps de vérificateurs ? Ou bien s’agit-il de l’État dans lequel exerce la société de classification ? La France penche plutôt vers cette deuxième lecture.</w:t>
      </w:r>
    </w:p>
    <w:p w14:paraId="0769BCAF" w14:textId="77777777" w:rsidR="00734511" w:rsidRPr="00734511" w:rsidRDefault="00734511" w:rsidP="00356169">
      <w:pPr>
        <w:pStyle w:val="SingleTxtG"/>
        <w:ind w:firstLine="567"/>
        <w:rPr>
          <w:lang w:val="fr-FR"/>
        </w:rPr>
      </w:pPr>
      <w:r w:rsidRPr="00734511">
        <w:rPr>
          <w:lang w:val="fr-FR"/>
        </w:rPr>
        <w:t>A ce titre, les versions française et anglaise du Règlement annexé peuvent se comprendre de façon différente. Dans le texte français, l’État de référence semble plutôt être l’État d’origine du corps de vérificateurs (qui n’est pas nécessairement une État partie contractante à l’ADN). Dans le texte anglais, il pourrait s’agir de l’État dans lequel la société de classification est implantée (Partie contractante à l’ADN), ce qui semble plus approprié, et plus en accord avec les principes de la directive européenne.</w:t>
      </w:r>
    </w:p>
    <w:p w14:paraId="7E784B2E" w14:textId="77777777" w:rsidR="00734511" w:rsidRPr="00734511" w:rsidRDefault="00734511" w:rsidP="00356169">
      <w:pPr>
        <w:pStyle w:val="SingleTxtG"/>
        <w:ind w:firstLine="567"/>
        <w:rPr>
          <w:lang w:val="fr-FR"/>
        </w:rPr>
      </w:pPr>
      <w:r w:rsidRPr="00734511">
        <w:rPr>
          <w:lang w:val="fr-FR"/>
        </w:rPr>
        <w:t xml:space="preserve">La directive (UE) 2016/1629 est plus claire, puisqu’on y parle de </w:t>
      </w:r>
      <w:r w:rsidRPr="00734511">
        <w:rPr>
          <w:i/>
          <w:lang w:val="fr-FR"/>
        </w:rPr>
        <w:t xml:space="preserve">"l'État dans lequel la société de classification a établi son siège ou la succursale… ayant pouvoir et capacité de </w:t>
      </w:r>
      <w:r w:rsidRPr="00734511">
        <w:rPr>
          <w:i/>
          <w:lang w:val="fr-FR"/>
        </w:rPr>
        <w:lastRenderedPageBreak/>
        <w:t>statuer et d'agir dans tous les domaines qui lui incombent dans le cadre des règlements qui régissent la navigation intérieure"</w:t>
      </w:r>
      <w:r w:rsidRPr="00734511">
        <w:rPr>
          <w:lang w:val="fr-FR"/>
        </w:rPr>
        <w:t>.</w:t>
      </w:r>
    </w:p>
    <w:p w14:paraId="67E91A18" w14:textId="77777777" w:rsidR="00734511" w:rsidRPr="00734511" w:rsidRDefault="00734511" w:rsidP="00356169">
      <w:pPr>
        <w:pStyle w:val="SingleTxtG"/>
        <w:numPr>
          <w:ilvl w:val="0"/>
          <w:numId w:val="15"/>
        </w:numPr>
        <w:ind w:left="1134" w:firstLine="567"/>
        <w:rPr>
          <w:lang w:val="fr-FR"/>
        </w:rPr>
      </w:pPr>
      <w:r w:rsidRPr="00734511">
        <w:rPr>
          <w:lang w:val="fr-FR"/>
        </w:rPr>
        <w:t xml:space="preserve">Quelle signification doit-on donner à l’expression </w:t>
      </w:r>
      <w:r w:rsidRPr="00734511">
        <w:rPr>
          <w:i/>
          <w:lang w:val="fr-FR"/>
        </w:rPr>
        <w:t>"</w:t>
      </w:r>
      <w:r w:rsidRPr="00734511">
        <w:rPr>
          <w:i/>
        </w:rPr>
        <w:t>un corps indépendant de vérificateurs" </w:t>
      </w:r>
      <w:r w:rsidRPr="00734511">
        <w:t xml:space="preserve">? Tel que le 1.15.3.8 est actuellement rédigé, cette notion d’indépendance semble être largement laissée à l’appréciation ou à l’initiative de chaque </w:t>
      </w:r>
      <w:r w:rsidRPr="00734511">
        <w:rPr>
          <w:lang w:val="fr-FR"/>
        </w:rPr>
        <w:t xml:space="preserve">État Partie contractante. Dans l’interprétation qu’en fait la France, </w:t>
      </w:r>
      <w:r w:rsidRPr="00734511">
        <w:rPr>
          <w:i/>
          <w:lang w:val="fr-FR"/>
        </w:rPr>
        <w:t>"</w:t>
      </w:r>
      <w:r w:rsidRPr="00734511">
        <w:rPr>
          <w:i/>
        </w:rPr>
        <w:t>un corps indépendant de vérificateurs"</w:t>
      </w:r>
      <w:r w:rsidRPr="00734511">
        <w:rPr>
          <w:lang w:val="fr-FR"/>
        </w:rPr>
        <w:t xml:space="preserve"> devrait être un corps de vérificateurs reconnu comme tel par une accréditation délivrée par un organisme d’accréditation, par exemple signataire de l’Accord européen d’accréditation (EA).</w:t>
      </w:r>
    </w:p>
    <w:p w14:paraId="749B0A9E" w14:textId="77777777" w:rsidR="00734511" w:rsidRPr="00734511" w:rsidRDefault="00734511" w:rsidP="00356169">
      <w:pPr>
        <w:pStyle w:val="HChG"/>
        <w:rPr>
          <w:lang w:val="fr-FR"/>
        </w:rPr>
      </w:pPr>
      <w:r w:rsidRPr="00734511">
        <w:rPr>
          <w:lang w:val="fr-FR"/>
        </w:rPr>
        <w:tab/>
      </w:r>
      <w:r w:rsidRPr="00734511">
        <w:rPr>
          <w:lang w:val="fr-FR"/>
        </w:rPr>
        <w:tab/>
        <w:t>Suites à donner</w:t>
      </w:r>
    </w:p>
    <w:p w14:paraId="7AF351EC" w14:textId="008C5D49" w:rsidR="00734511" w:rsidRPr="00734511" w:rsidRDefault="00356169" w:rsidP="00356169">
      <w:pPr>
        <w:pStyle w:val="SingleTxtG"/>
        <w:rPr>
          <w:lang w:val="fr-FR"/>
        </w:rPr>
      </w:pPr>
      <w:r>
        <w:rPr>
          <w:lang w:val="fr-FR"/>
        </w:rPr>
        <w:t>14.</w:t>
      </w:r>
      <w:r>
        <w:rPr>
          <w:lang w:val="fr-FR"/>
        </w:rPr>
        <w:tab/>
      </w:r>
      <w:r w:rsidR="00734511" w:rsidRPr="00734511">
        <w:rPr>
          <w:lang w:val="fr-FR"/>
        </w:rPr>
        <w:t xml:space="preserve">Ainsi que l’indique l’introduction du présent document, la France souhaite recueillir la position des </w:t>
      </w:r>
      <w:r w:rsidR="00734511" w:rsidRPr="00734511">
        <w:t>des autres États Parties contractantes à l’ADN, ainsi que celle des organisations no</w:t>
      </w:r>
      <w:bookmarkStart w:id="0" w:name="_GoBack"/>
      <w:bookmarkEnd w:id="0"/>
      <w:r w:rsidR="00734511" w:rsidRPr="00734511">
        <w:t>n gouvernementales, sur les questions de lecture ou d’interprétation posées dans les paragraphes 2 à 10 ci-dessus.</w:t>
      </w:r>
    </w:p>
    <w:p w14:paraId="639AB4C2" w14:textId="69B4F79F" w:rsidR="00734511" w:rsidRPr="00734511" w:rsidRDefault="00356169" w:rsidP="00356169">
      <w:pPr>
        <w:pStyle w:val="SingleTxtG"/>
        <w:rPr>
          <w:lang w:val="fr-FR"/>
        </w:rPr>
      </w:pPr>
      <w:r>
        <w:t>15.</w:t>
      </w:r>
      <w:r>
        <w:tab/>
      </w:r>
      <w:r w:rsidR="00734511" w:rsidRPr="00734511">
        <w:t>Dans le cas où un consensus permettrait de dégager des clarifications, il pourrait être envisagé de proposer des amendements au Règlement annexé à l’ADN à l’occasion d’une prochaine session du Comité de Sécurité.</w:t>
      </w:r>
    </w:p>
    <w:p w14:paraId="41155137" w14:textId="61C496AE" w:rsidR="00734511" w:rsidRPr="00734511" w:rsidRDefault="00356169" w:rsidP="00356169">
      <w:pPr>
        <w:pStyle w:val="SingleTxtG"/>
        <w:rPr>
          <w:lang w:val="fr-FR"/>
        </w:rPr>
      </w:pPr>
      <w:r>
        <w:t>16.</w:t>
      </w:r>
      <w:r>
        <w:tab/>
      </w:r>
      <w:r w:rsidR="00734511" w:rsidRPr="00734511">
        <w:t>La France, soit seule, soit dans le cadre d’un groupe de travail informel à créer, pourrait porter de telles propositions d’amendements.</w:t>
      </w:r>
    </w:p>
    <w:p w14:paraId="2D5E2E57" w14:textId="0E15BBBE" w:rsidR="00F36321" w:rsidRDefault="00356169" w:rsidP="00734511">
      <w:pPr>
        <w:pStyle w:val="SingleTxtG"/>
      </w:pPr>
      <w:r>
        <w:rPr>
          <w:lang w:val="fr-FR"/>
        </w:rPr>
        <w:t>17.</w:t>
      </w:r>
      <w:r>
        <w:rPr>
          <w:lang w:val="fr-FR"/>
        </w:rPr>
        <w:tab/>
      </w:r>
      <w:r w:rsidR="00734511" w:rsidRPr="00734511">
        <w:rPr>
          <w:lang w:val="fr-FR"/>
        </w:rPr>
        <w:t>Le Comité de sécurité est invité à prendre connaissance des propositions figurant dans les paragraphes 12 et 13 ci-dessus et à leur donner la suite qu’il jugera appropriée.</w:t>
      </w:r>
    </w:p>
    <w:p w14:paraId="2C254DD9" w14:textId="36373E1A" w:rsidR="00F36321" w:rsidRDefault="00F36321" w:rsidP="00F36321"/>
    <w:p w14:paraId="064B77BB" w14:textId="77777777" w:rsidR="008A4819" w:rsidRDefault="008A4819" w:rsidP="00F36321">
      <w:pPr>
        <w:sectPr w:rsidR="008A4819" w:rsidSect="00400B8B">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pPr>
    </w:p>
    <w:p w14:paraId="571B8FB7" w14:textId="6CB6FD0C" w:rsidR="008A4819" w:rsidRPr="008A4819" w:rsidRDefault="008A4819" w:rsidP="008A4819">
      <w:pPr>
        <w:pStyle w:val="HChG"/>
        <w:rPr>
          <w:lang w:val="fr-FR"/>
        </w:rPr>
      </w:pPr>
      <w:r w:rsidRPr="008A4819">
        <w:rPr>
          <w:lang w:val="fr-FR"/>
        </w:rPr>
        <w:lastRenderedPageBreak/>
        <w:t>Annexe</w:t>
      </w:r>
    </w:p>
    <w:p w14:paraId="00563E18" w14:textId="581254B6" w:rsidR="008A4819" w:rsidRDefault="008A4819" w:rsidP="008A4819">
      <w:pPr>
        <w:pStyle w:val="HChG"/>
      </w:pPr>
      <w:r>
        <w:rPr>
          <w:lang w:val="fr-FR"/>
        </w:rPr>
        <w:tab/>
      </w:r>
      <w:r>
        <w:rPr>
          <w:lang w:val="fr-FR"/>
        </w:rPr>
        <w:tab/>
      </w:r>
      <w:r w:rsidRPr="008A4819">
        <w:rPr>
          <w:lang w:val="fr-FR"/>
        </w:rPr>
        <w:t>Comparatif entre le Chapitre 1.15 du Règlement annexé à l’ADN et la Directive (UE) 2016/1629 pour ce qui concerne l’agrément des sociétés de classification</w:t>
      </w:r>
    </w:p>
    <w:tbl>
      <w:tblPr>
        <w:tblStyle w:val="TableGrid"/>
        <w:tblW w:w="14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4"/>
        <w:gridCol w:w="4619"/>
        <w:gridCol w:w="1254"/>
        <w:gridCol w:w="4359"/>
        <w:gridCol w:w="2329"/>
      </w:tblGrid>
      <w:tr w:rsidR="008A4819" w:rsidRPr="004676E4" w14:paraId="7B63E635" w14:textId="77777777" w:rsidTr="005A7F24">
        <w:trPr>
          <w:cantSplit/>
          <w:tblHeader/>
        </w:trPr>
        <w:tc>
          <w:tcPr>
            <w:tcW w:w="6153" w:type="dxa"/>
            <w:gridSpan w:val="2"/>
            <w:tcBorders>
              <w:top w:val="single" w:sz="4" w:space="0" w:color="auto"/>
              <w:bottom w:val="single" w:sz="4" w:space="0" w:color="auto"/>
            </w:tcBorders>
            <w:shd w:val="clear" w:color="auto" w:fill="auto"/>
            <w:vAlign w:val="bottom"/>
          </w:tcPr>
          <w:p w14:paraId="0DE78799" w14:textId="77777777" w:rsidR="008A4819" w:rsidRPr="004676E4" w:rsidRDefault="008A4819" w:rsidP="00DE3699">
            <w:pPr>
              <w:suppressAutoHyphens w:val="0"/>
              <w:spacing w:before="80" w:after="80" w:line="200" w:lineRule="exact"/>
              <w:ind w:right="113"/>
              <w:jc w:val="center"/>
              <w:rPr>
                <w:bCs/>
                <w:i/>
                <w:iCs/>
                <w:sz w:val="16"/>
                <w:szCs w:val="16"/>
              </w:rPr>
            </w:pPr>
            <w:r w:rsidRPr="004676E4">
              <w:rPr>
                <w:bCs/>
                <w:i/>
                <w:iCs/>
                <w:sz w:val="16"/>
                <w:szCs w:val="16"/>
              </w:rPr>
              <w:t>ADN 2019</w:t>
            </w:r>
          </w:p>
        </w:tc>
        <w:tc>
          <w:tcPr>
            <w:tcW w:w="5613" w:type="dxa"/>
            <w:gridSpan w:val="2"/>
            <w:tcBorders>
              <w:top w:val="single" w:sz="4" w:space="0" w:color="auto"/>
              <w:bottom w:val="single" w:sz="4" w:space="0" w:color="auto"/>
            </w:tcBorders>
            <w:shd w:val="clear" w:color="auto" w:fill="auto"/>
            <w:vAlign w:val="bottom"/>
          </w:tcPr>
          <w:p w14:paraId="0649A791" w14:textId="77777777" w:rsidR="008A4819" w:rsidRPr="004676E4" w:rsidRDefault="008A4819" w:rsidP="00DE3699">
            <w:pPr>
              <w:suppressAutoHyphens w:val="0"/>
              <w:spacing w:before="80" w:after="80" w:line="200" w:lineRule="exact"/>
              <w:ind w:right="113"/>
              <w:jc w:val="center"/>
              <w:rPr>
                <w:bCs/>
                <w:i/>
                <w:iCs/>
                <w:sz w:val="16"/>
                <w:szCs w:val="16"/>
              </w:rPr>
            </w:pPr>
            <w:r w:rsidRPr="004676E4">
              <w:rPr>
                <w:bCs/>
                <w:i/>
                <w:iCs/>
                <w:sz w:val="16"/>
                <w:szCs w:val="16"/>
              </w:rPr>
              <w:t>Directive (UE) 2016/1629</w:t>
            </w:r>
          </w:p>
        </w:tc>
        <w:tc>
          <w:tcPr>
            <w:tcW w:w="2329" w:type="dxa"/>
            <w:tcBorders>
              <w:top w:val="single" w:sz="4" w:space="0" w:color="auto"/>
              <w:bottom w:val="single" w:sz="4" w:space="0" w:color="auto"/>
            </w:tcBorders>
            <w:shd w:val="clear" w:color="auto" w:fill="auto"/>
            <w:vAlign w:val="bottom"/>
          </w:tcPr>
          <w:p w14:paraId="52AE14E1" w14:textId="77777777" w:rsidR="008A4819" w:rsidRPr="004676E4" w:rsidRDefault="008A4819" w:rsidP="004676E4">
            <w:pPr>
              <w:suppressAutoHyphens w:val="0"/>
              <w:spacing w:before="80" w:after="80" w:line="200" w:lineRule="exact"/>
              <w:ind w:right="113"/>
              <w:jc w:val="center"/>
              <w:rPr>
                <w:bCs/>
                <w:i/>
                <w:iCs/>
                <w:sz w:val="16"/>
                <w:szCs w:val="16"/>
              </w:rPr>
            </w:pPr>
            <w:r w:rsidRPr="004676E4">
              <w:rPr>
                <w:bCs/>
                <w:i/>
                <w:iCs/>
                <w:sz w:val="16"/>
                <w:szCs w:val="16"/>
              </w:rPr>
              <w:t>Observations</w:t>
            </w:r>
          </w:p>
        </w:tc>
      </w:tr>
      <w:tr w:rsidR="008A4819" w:rsidRPr="004676E4" w14:paraId="77FDC5FC" w14:textId="77777777" w:rsidTr="005A7F24">
        <w:trPr>
          <w:cantSplit/>
          <w:tblHeader/>
        </w:trPr>
        <w:tc>
          <w:tcPr>
            <w:tcW w:w="6153" w:type="dxa"/>
            <w:gridSpan w:val="2"/>
            <w:tcBorders>
              <w:top w:val="single" w:sz="4" w:space="0" w:color="auto"/>
              <w:bottom w:val="single" w:sz="12" w:space="0" w:color="auto"/>
            </w:tcBorders>
            <w:shd w:val="clear" w:color="auto" w:fill="auto"/>
          </w:tcPr>
          <w:p w14:paraId="4A6155CE" w14:textId="164E8F47" w:rsidR="008A4819" w:rsidRPr="004676E4" w:rsidRDefault="004676E4" w:rsidP="005A7F24">
            <w:pPr>
              <w:suppressAutoHyphens w:val="0"/>
              <w:spacing w:before="80" w:after="80" w:line="200" w:lineRule="exact"/>
              <w:ind w:right="113"/>
              <w:jc w:val="center"/>
              <w:rPr>
                <w:bCs/>
                <w:i/>
                <w:iCs/>
                <w:sz w:val="16"/>
                <w:szCs w:val="16"/>
              </w:rPr>
            </w:pPr>
            <w:r w:rsidRPr="004676E4">
              <w:rPr>
                <w:bCs/>
                <w:i/>
                <w:iCs/>
                <w:sz w:val="16"/>
                <w:szCs w:val="16"/>
              </w:rPr>
              <w:t>Chapitre</w:t>
            </w:r>
            <w:r w:rsidR="008A4819" w:rsidRPr="004676E4">
              <w:rPr>
                <w:bCs/>
                <w:i/>
                <w:iCs/>
                <w:sz w:val="16"/>
                <w:szCs w:val="16"/>
              </w:rPr>
              <w:t xml:space="preserve"> 1.15</w:t>
            </w:r>
            <w:r>
              <w:rPr>
                <w:bCs/>
                <w:i/>
                <w:iCs/>
                <w:sz w:val="16"/>
                <w:szCs w:val="16"/>
              </w:rPr>
              <w:br/>
            </w:r>
            <w:r w:rsidRPr="004676E4">
              <w:rPr>
                <w:bCs/>
                <w:i/>
                <w:iCs/>
                <w:sz w:val="16"/>
                <w:szCs w:val="16"/>
              </w:rPr>
              <w:t xml:space="preserve">Agrément des </w:t>
            </w:r>
            <w:r>
              <w:rPr>
                <w:bCs/>
                <w:i/>
                <w:iCs/>
                <w:sz w:val="16"/>
                <w:szCs w:val="16"/>
              </w:rPr>
              <w:t>S</w:t>
            </w:r>
            <w:r w:rsidRPr="004676E4">
              <w:rPr>
                <w:bCs/>
                <w:i/>
                <w:iCs/>
                <w:sz w:val="16"/>
                <w:szCs w:val="16"/>
              </w:rPr>
              <w:t xml:space="preserve">ociétés de </w:t>
            </w:r>
            <w:r>
              <w:rPr>
                <w:bCs/>
                <w:i/>
                <w:iCs/>
                <w:sz w:val="16"/>
                <w:szCs w:val="16"/>
              </w:rPr>
              <w:t>C</w:t>
            </w:r>
            <w:r w:rsidRPr="004676E4">
              <w:rPr>
                <w:bCs/>
                <w:i/>
                <w:iCs/>
                <w:sz w:val="16"/>
                <w:szCs w:val="16"/>
              </w:rPr>
              <w:t>lassification</w:t>
            </w:r>
          </w:p>
        </w:tc>
        <w:tc>
          <w:tcPr>
            <w:tcW w:w="5613" w:type="dxa"/>
            <w:gridSpan w:val="2"/>
            <w:tcBorders>
              <w:top w:val="single" w:sz="4" w:space="0" w:color="auto"/>
              <w:bottom w:val="single" w:sz="12" w:space="0" w:color="auto"/>
            </w:tcBorders>
            <w:shd w:val="clear" w:color="auto" w:fill="auto"/>
          </w:tcPr>
          <w:p w14:paraId="23BEFC72" w14:textId="1D80AD75" w:rsidR="008A4819" w:rsidRPr="004676E4" w:rsidRDefault="004676E4" w:rsidP="005A7F24">
            <w:pPr>
              <w:suppressAutoHyphens w:val="0"/>
              <w:spacing w:before="80" w:after="80" w:line="200" w:lineRule="exact"/>
              <w:ind w:right="113"/>
              <w:jc w:val="center"/>
              <w:rPr>
                <w:bCs/>
                <w:i/>
                <w:iCs/>
                <w:sz w:val="16"/>
                <w:szCs w:val="16"/>
              </w:rPr>
            </w:pPr>
            <w:r w:rsidRPr="004676E4">
              <w:rPr>
                <w:bCs/>
                <w:i/>
                <w:iCs/>
                <w:sz w:val="16"/>
                <w:szCs w:val="16"/>
              </w:rPr>
              <w:t xml:space="preserve">Article </w:t>
            </w:r>
            <w:r w:rsidR="008A4819" w:rsidRPr="004676E4">
              <w:rPr>
                <w:bCs/>
                <w:i/>
                <w:iCs/>
                <w:caps/>
                <w:sz w:val="16"/>
                <w:szCs w:val="16"/>
              </w:rPr>
              <w:t>21</w:t>
            </w:r>
            <w:r>
              <w:rPr>
                <w:bCs/>
                <w:i/>
                <w:iCs/>
                <w:caps/>
                <w:sz w:val="16"/>
                <w:szCs w:val="16"/>
              </w:rPr>
              <w:br/>
            </w:r>
            <w:r w:rsidRPr="004676E4">
              <w:rPr>
                <w:bCs/>
                <w:i/>
                <w:iCs/>
                <w:sz w:val="16"/>
                <w:szCs w:val="16"/>
              </w:rPr>
              <w:t xml:space="preserve">Agrément </w:t>
            </w:r>
            <w:r>
              <w:rPr>
                <w:bCs/>
                <w:i/>
                <w:iCs/>
                <w:sz w:val="16"/>
                <w:szCs w:val="16"/>
              </w:rPr>
              <w:t>d</w:t>
            </w:r>
            <w:r w:rsidRPr="004676E4">
              <w:rPr>
                <w:bCs/>
                <w:i/>
                <w:iCs/>
                <w:sz w:val="16"/>
                <w:szCs w:val="16"/>
              </w:rPr>
              <w:t xml:space="preserve">es Sociétés </w:t>
            </w:r>
            <w:r>
              <w:rPr>
                <w:bCs/>
                <w:i/>
                <w:iCs/>
                <w:sz w:val="16"/>
                <w:szCs w:val="16"/>
              </w:rPr>
              <w:t>d</w:t>
            </w:r>
            <w:r w:rsidRPr="004676E4">
              <w:rPr>
                <w:bCs/>
                <w:i/>
                <w:iCs/>
                <w:sz w:val="16"/>
                <w:szCs w:val="16"/>
              </w:rPr>
              <w:t>e Classification</w:t>
            </w:r>
          </w:p>
        </w:tc>
        <w:tc>
          <w:tcPr>
            <w:tcW w:w="2329" w:type="dxa"/>
            <w:tcBorders>
              <w:top w:val="single" w:sz="4" w:space="0" w:color="auto"/>
              <w:bottom w:val="single" w:sz="12" w:space="0" w:color="auto"/>
            </w:tcBorders>
            <w:shd w:val="clear" w:color="auto" w:fill="auto"/>
          </w:tcPr>
          <w:p w14:paraId="70E7643F" w14:textId="77777777" w:rsidR="008A4819" w:rsidRPr="004676E4" w:rsidRDefault="008A4819" w:rsidP="004676E4">
            <w:pPr>
              <w:suppressAutoHyphens w:val="0"/>
              <w:spacing w:before="80" w:after="80" w:line="200" w:lineRule="exact"/>
              <w:ind w:right="113"/>
              <w:jc w:val="center"/>
              <w:rPr>
                <w:bCs/>
                <w:i/>
                <w:iCs/>
                <w:sz w:val="16"/>
                <w:szCs w:val="16"/>
              </w:rPr>
            </w:pPr>
          </w:p>
        </w:tc>
      </w:tr>
      <w:tr w:rsidR="008A4819" w:rsidRPr="008A4819" w14:paraId="0B6299C0" w14:textId="77777777" w:rsidTr="005A7F24">
        <w:trPr>
          <w:cantSplit/>
        </w:trPr>
        <w:tc>
          <w:tcPr>
            <w:tcW w:w="6153" w:type="dxa"/>
            <w:gridSpan w:val="2"/>
            <w:tcBorders>
              <w:top w:val="single" w:sz="12" w:space="0" w:color="auto"/>
              <w:bottom w:val="single" w:sz="4" w:space="0" w:color="auto"/>
            </w:tcBorders>
            <w:shd w:val="clear" w:color="auto" w:fill="auto"/>
          </w:tcPr>
          <w:p w14:paraId="5DA1538D" w14:textId="77777777" w:rsidR="008A4819" w:rsidRPr="008A4819" w:rsidRDefault="008A4819" w:rsidP="005A7F24">
            <w:pPr>
              <w:suppressAutoHyphens w:val="0"/>
              <w:spacing w:before="40" w:after="120"/>
              <w:ind w:right="113"/>
              <w:jc w:val="both"/>
            </w:pPr>
          </w:p>
        </w:tc>
        <w:tc>
          <w:tcPr>
            <w:tcW w:w="1254" w:type="dxa"/>
            <w:tcBorders>
              <w:top w:val="single" w:sz="12" w:space="0" w:color="auto"/>
              <w:bottom w:val="single" w:sz="4" w:space="0" w:color="auto"/>
            </w:tcBorders>
            <w:shd w:val="clear" w:color="auto" w:fill="auto"/>
          </w:tcPr>
          <w:p w14:paraId="110F1D92" w14:textId="77777777" w:rsidR="008A4819" w:rsidRPr="008A4819" w:rsidRDefault="008A4819" w:rsidP="005A7F24">
            <w:pPr>
              <w:suppressAutoHyphens w:val="0"/>
              <w:spacing w:before="40" w:after="120"/>
              <w:ind w:right="113"/>
              <w:jc w:val="center"/>
            </w:pPr>
            <w:r w:rsidRPr="008A4819">
              <w:t>21.1</w:t>
            </w:r>
          </w:p>
        </w:tc>
        <w:tc>
          <w:tcPr>
            <w:tcW w:w="4359" w:type="dxa"/>
            <w:tcBorders>
              <w:top w:val="single" w:sz="12" w:space="0" w:color="auto"/>
              <w:bottom w:val="single" w:sz="4" w:space="0" w:color="auto"/>
            </w:tcBorders>
            <w:shd w:val="clear" w:color="auto" w:fill="auto"/>
          </w:tcPr>
          <w:p w14:paraId="0BEE193F" w14:textId="77777777" w:rsidR="008A4819" w:rsidRPr="008A4819" w:rsidRDefault="008A4819" w:rsidP="005A7F24">
            <w:pPr>
              <w:suppressAutoHyphens w:val="0"/>
              <w:spacing w:before="40" w:after="120"/>
              <w:ind w:right="113"/>
              <w:jc w:val="both"/>
            </w:pPr>
            <w:r w:rsidRPr="008A4819">
              <w:t>La Commission adopte des actes d'exécution en vue d'accorder l'agrément aux sociétés de classification qui satisfont aux critères énumérés à l'annexe VI ou de retirer cet agrément, selon la procédure prévue aux paragraphes 2 et 3 du présent article. Ces actes d'exécution sont adoptés en conformité avec la procédure consultative visée à l'article 33, paragraphe 2.</w:t>
            </w:r>
          </w:p>
        </w:tc>
        <w:tc>
          <w:tcPr>
            <w:tcW w:w="2329" w:type="dxa"/>
            <w:tcBorders>
              <w:top w:val="single" w:sz="12" w:space="0" w:color="auto"/>
              <w:bottom w:val="single" w:sz="4" w:space="0" w:color="auto"/>
            </w:tcBorders>
            <w:shd w:val="clear" w:color="auto" w:fill="auto"/>
          </w:tcPr>
          <w:p w14:paraId="484B49FF" w14:textId="77777777" w:rsidR="008A4819" w:rsidRPr="008A4819" w:rsidRDefault="008A4819" w:rsidP="008A4819">
            <w:pPr>
              <w:suppressAutoHyphens w:val="0"/>
              <w:spacing w:before="40" w:after="120"/>
              <w:ind w:right="113"/>
            </w:pPr>
          </w:p>
        </w:tc>
      </w:tr>
      <w:tr w:rsidR="008A4819" w:rsidRPr="008A4819" w14:paraId="7F16D49D" w14:textId="77777777" w:rsidTr="005A7F24">
        <w:trPr>
          <w:cantSplit/>
        </w:trPr>
        <w:tc>
          <w:tcPr>
            <w:tcW w:w="6153" w:type="dxa"/>
            <w:gridSpan w:val="2"/>
            <w:tcBorders>
              <w:top w:val="single" w:sz="4" w:space="0" w:color="auto"/>
              <w:bottom w:val="single" w:sz="4" w:space="0" w:color="auto"/>
            </w:tcBorders>
            <w:shd w:val="clear" w:color="auto" w:fill="auto"/>
          </w:tcPr>
          <w:p w14:paraId="60B1139E" w14:textId="77777777" w:rsidR="008A4819" w:rsidRPr="008A4819" w:rsidRDefault="008A4819" w:rsidP="005A7F24">
            <w:pPr>
              <w:suppressAutoHyphens w:val="0"/>
              <w:spacing w:before="40" w:after="120"/>
              <w:ind w:right="113"/>
              <w:jc w:val="both"/>
            </w:pPr>
            <w:r w:rsidRPr="008A4819">
              <w:t>1.15.1 Généralités</w:t>
            </w:r>
          </w:p>
        </w:tc>
        <w:tc>
          <w:tcPr>
            <w:tcW w:w="1254" w:type="dxa"/>
            <w:tcBorders>
              <w:top w:val="single" w:sz="4" w:space="0" w:color="auto"/>
              <w:bottom w:val="single" w:sz="4" w:space="0" w:color="auto"/>
            </w:tcBorders>
            <w:shd w:val="clear" w:color="auto" w:fill="auto"/>
          </w:tcPr>
          <w:p w14:paraId="044A8F6F" w14:textId="77777777" w:rsidR="008A4819" w:rsidRPr="008A4819" w:rsidRDefault="008A4819" w:rsidP="005A7F24">
            <w:pPr>
              <w:suppressAutoHyphens w:val="0"/>
              <w:spacing w:before="40" w:after="120"/>
              <w:ind w:right="113"/>
              <w:jc w:val="both"/>
            </w:pPr>
          </w:p>
        </w:tc>
        <w:tc>
          <w:tcPr>
            <w:tcW w:w="4359" w:type="dxa"/>
            <w:tcBorders>
              <w:top w:val="single" w:sz="4" w:space="0" w:color="auto"/>
              <w:bottom w:val="single" w:sz="4" w:space="0" w:color="auto"/>
            </w:tcBorders>
            <w:shd w:val="clear" w:color="auto" w:fill="auto"/>
          </w:tcPr>
          <w:p w14:paraId="3B6D528B" w14:textId="77777777" w:rsidR="008A4819" w:rsidRPr="008A4819" w:rsidRDefault="008A4819" w:rsidP="005A7F24">
            <w:pPr>
              <w:suppressAutoHyphens w:val="0"/>
              <w:spacing w:before="40" w:after="120"/>
              <w:ind w:right="113"/>
              <w:jc w:val="both"/>
            </w:pPr>
          </w:p>
        </w:tc>
        <w:tc>
          <w:tcPr>
            <w:tcW w:w="2329" w:type="dxa"/>
            <w:tcBorders>
              <w:top w:val="single" w:sz="4" w:space="0" w:color="auto"/>
              <w:bottom w:val="single" w:sz="4" w:space="0" w:color="auto"/>
            </w:tcBorders>
            <w:shd w:val="clear" w:color="auto" w:fill="auto"/>
          </w:tcPr>
          <w:p w14:paraId="6C046154" w14:textId="77777777" w:rsidR="008A4819" w:rsidRPr="008A4819" w:rsidRDefault="008A4819" w:rsidP="00D4279C">
            <w:pPr>
              <w:suppressAutoHyphens w:val="0"/>
              <w:spacing w:before="40" w:after="120"/>
              <w:ind w:right="113"/>
            </w:pPr>
          </w:p>
        </w:tc>
      </w:tr>
      <w:tr w:rsidR="008A4819" w:rsidRPr="008A4819" w14:paraId="53AB5158" w14:textId="77777777" w:rsidTr="005A7F24">
        <w:tc>
          <w:tcPr>
            <w:tcW w:w="1534" w:type="dxa"/>
            <w:tcBorders>
              <w:top w:val="single" w:sz="4" w:space="0" w:color="auto"/>
              <w:bottom w:val="single" w:sz="4" w:space="0" w:color="auto"/>
            </w:tcBorders>
            <w:shd w:val="clear" w:color="auto" w:fill="auto"/>
          </w:tcPr>
          <w:p w14:paraId="29E78A0A" w14:textId="77777777" w:rsidR="008A4819" w:rsidRPr="008A4819" w:rsidRDefault="008A4819" w:rsidP="005A7F24">
            <w:pPr>
              <w:suppressAutoHyphens w:val="0"/>
              <w:spacing w:before="40" w:after="120"/>
              <w:ind w:right="113"/>
              <w:jc w:val="both"/>
            </w:pPr>
          </w:p>
        </w:tc>
        <w:tc>
          <w:tcPr>
            <w:tcW w:w="4619" w:type="dxa"/>
            <w:tcBorders>
              <w:top w:val="single" w:sz="4" w:space="0" w:color="auto"/>
              <w:bottom w:val="single" w:sz="4" w:space="0" w:color="auto"/>
            </w:tcBorders>
            <w:shd w:val="clear" w:color="auto" w:fill="auto"/>
          </w:tcPr>
          <w:p w14:paraId="32A776FA" w14:textId="77777777" w:rsidR="008A4819" w:rsidRPr="008A4819" w:rsidRDefault="008A4819" w:rsidP="005A7F24">
            <w:pPr>
              <w:suppressAutoHyphens w:val="0"/>
              <w:spacing w:before="40" w:after="120"/>
              <w:ind w:right="113"/>
              <w:jc w:val="both"/>
            </w:pPr>
            <w:r w:rsidRPr="008A4819">
              <w:t>Dans le cas où un accord international portant réglementation, de manière plus générale, de la navigation de bateaux par voies de navigation intérieures viendrait à être conclu et comporterait des dispositions relatives au champ complet des activités des sociétés de classification et à leur agrément, toute disposition du présent chapitre qui serait en contradiction avec l'une quelconque des dispositions de cet accord international serait, dans les rapports entre les Parties au présent accord devenues parties à l'accord international, et à dater du jour de l'entrée en vigueur de celui-ci, automatiquement abolie et remplacée ipso facto par la disposition y relative de l'accord international. Ce chapitre deviendra caduc une fois l'accord international en vigueur si toutes les Parties au présent Accord deviennent parties à l'accord international.</w:t>
            </w:r>
          </w:p>
        </w:tc>
        <w:tc>
          <w:tcPr>
            <w:tcW w:w="1254" w:type="dxa"/>
            <w:tcBorders>
              <w:top w:val="single" w:sz="4" w:space="0" w:color="auto"/>
              <w:bottom w:val="single" w:sz="4" w:space="0" w:color="auto"/>
            </w:tcBorders>
            <w:shd w:val="clear" w:color="auto" w:fill="auto"/>
          </w:tcPr>
          <w:p w14:paraId="5D8C2A63" w14:textId="77777777" w:rsidR="008A4819" w:rsidRPr="008A4819" w:rsidRDefault="008A4819" w:rsidP="005A7F24">
            <w:pPr>
              <w:suppressAutoHyphens w:val="0"/>
              <w:spacing w:before="40" w:after="120"/>
              <w:ind w:right="113"/>
              <w:jc w:val="both"/>
            </w:pPr>
          </w:p>
        </w:tc>
        <w:tc>
          <w:tcPr>
            <w:tcW w:w="4359" w:type="dxa"/>
            <w:tcBorders>
              <w:top w:val="single" w:sz="4" w:space="0" w:color="auto"/>
              <w:bottom w:val="single" w:sz="4" w:space="0" w:color="auto"/>
            </w:tcBorders>
            <w:shd w:val="clear" w:color="auto" w:fill="auto"/>
          </w:tcPr>
          <w:p w14:paraId="65430270" w14:textId="77777777" w:rsidR="008A4819" w:rsidRPr="008A4819" w:rsidRDefault="008A4819" w:rsidP="005A7F24">
            <w:pPr>
              <w:suppressAutoHyphens w:val="0"/>
              <w:spacing w:before="40" w:after="120"/>
              <w:ind w:right="113"/>
              <w:jc w:val="both"/>
            </w:pPr>
          </w:p>
        </w:tc>
        <w:tc>
          <w:tcPr>
            <w:tcW w:w="2329" w:type="dxa"/>
            <w:tcBorders>
              <w:top w:val="single" w:sz="4" w:space="0" w:color="auto"/>
              <w:bottom w:val="single" w:sz="4" w:space="0" w:color="auto"/>
            </w:tcBorders>
            <w:shd w:val="clear" w:color="auto" w:fill="auto"/>
          </w:tcPr>
          <w:p w14:paraId="56C160CC" w14:textId="77777777" w:rsidR="008A4819" w:rsidRPr="008A4819" w:rsidRDefault="008A4819" w:rsidP="00D4279C">
            <w:pPr>
              <w:suppressAutoHyphens w:val="0"/>
              <w:spacing w:before="40" w:after="120"/>
              <w:ind w:right="113"/>
            </w:pPr>
          </w:p>
        </w:tc>
      </w:tr>
      <w:tr w:rsidR="008A4819" w:rsidRPr="008A4819" w14:paraId="00996E8B" w14:textId="77777777" w:rsidTr="005A7F24">
        <w:trPr>
          <w:cantSplit/>
        </w:trPr>
        <w:tc>
          <w:tcPr>
            <w:tcW w:w="6153" w:type="dxa"/>
            <w:gridSpan w:val="2"/>
            <w:tcBorders>
              <w:top w:val="single" w:sz="4" w:space="0" w:color="auto"/>
              <w:bottom w:val="single" w:sz="4" w:space="0" w:color="auto"/>
            </w:tcBorders>
            <w:shd w:val="clear" w:color="auto" w:fill="auto"/>
          </w:tcPr>
          <w:p w14:paraId="2B219B3A" w14:textId="77777777" w:rsidR="008A4819" w:rsidRPr="008A4819" w:rsidRDefault="008A4819" w:rsidP="005A7F24">
            <w:pPr>
              <w:suppressAutoHyphens w:val="0"/>
              <w:spacing w:before="40" w:after="120"/>
              <w:ind w:right="113"/>
              <w:jc w:val="both"/>
            </w:pPr>
            <w:r w:rsidRPr="008A4819">
              <w:rPr>
                <w:bCs/>
              </w:rPr>
              <w:lastRenderedPageBreak/>
              <w:t>1.15.2 Procédure d'agrément des sociétés de classification</w:t>
            </w:r>
          </w:p>
        </w:tc>
        <w:tc>
          <w:tcPr>
            <w:tcW w:w="5613" w:type="dxa"/>
            <w:gridSpan w:val="2"/>
            <w:tcBorders>
              <w:top w:val="single" w:sz="4" w:space="0" w:color="auto"/>
              <w:bottom w:val="single" w:sz="4" w:space="0" w:color="auto"/>
            </w:tcBorders>
            <w:shd w:val="clear" w:color="auto" w:fill="auto"/>
          </w:tcPr>
          <w:p w14:paraId="434CC4DB" w14:textId="77777777" w:rsidR="008A4819" w:rsidRPr="008A4819" w:rsidRDefault="008A4819" w:rsidP="005A7F24">
            <w:pPr>
              <w:suppressAutoHyphens w:val="0"/>
              <w:spacing w:before="40" w:after="120"/>
              <w:ind w:right="113"/>
              <w:jc w:val="both"/>
            </w:pPr>
          </w:p>
        </w:tc>
        <w:tc>
          <w:tcPr>
            <w:tcW w:w="2329" w:type="dxa"/>
            <w:tcBorders>
              <w:top w:val="single" w:sz="4" w:space="0" w:color="auto"/>
              <w:bottom w:val="single" w:sz="4" w:space="0" w:color="auto"/>
            </w:tcBorders>
            <w:shd w:val="clear" w:color="auto" w:fill="auto"/>
          </w:tcPr>
          <w:p w14:paraId="7328D5A7" w14:textId="77777777" w:rsidR="008A4819" w:rsidRPr="008A4819" w:rsidRDefault="008A4819" w:rsidP="008A4819">
            <w:pPr>
              <w:suppressAutoHyphens w:val="0"/>
              <w:spacing w:before="40" w:after="120"/>
              <w:ind w:right="113"/>
            </w:pPr>
          </w:p>
        </w:tc>
      </w:tr>
      <w:tr w:rsidR="008A4819" w:rsidRPr="008A4819" w14:paraId="37A0CCF8" w14:textId="77777777" w:rsidTr="005A7F24">
        <w:trPr>
          <w:cantSplit/>
        </w:trPr>
        <w:tc>
          <w:tcPr>
            <w:tcW w:w="1534" w:type="dxa"/>
            <w:tcBorders>
              <w:top w:val="single" w:sz="4" w:space="0" w:color="auto"/>
              <w:bottom w:val="single" w:sz="4" w:space="0" w:color="auto"/>
            </w:tcBorders>
            <w:shd w:val="clear" w:color="auto" w:fill="auto"/>
          </w:tcPr>
          <w:p w14:paraId="19327C2D" w14:textId="77777777" w:rsidR="008A4819" w:rsidRPr="008A4819" w:rsidRDefault="008A4819" w:rsidP="005A7F24">
            <w:pPr>
              <w:suppressAutoHyphens w:val="0"/>
              <w:spacing w:before="40" w:after="120"/>
              <w:ind w:right="113"/>
              <w:jc w:val="both"/>
            </w:pPr>
            <w:r w:rsidRPr="008A4819">
              <w:t>1.15.2.1</w:t>
            </w:r>
          </w:p>
        </w:tc>
        <w:tc>
          <w:tcPr>
            <w:tcW w:w="4619" w:type="dxa"/>
            <w:tcBorders>
              <w:top w:val="single" w:sz="4" w:space="0" w:color="auto"/>
              <w:bottom w:val="single" w:sz="4" w:space="0" w:color="auto"/>
            </w:tcBorders>
            <w:shd w:val="clear" w:color="auto" w:fill="auto"/>
          </w:tcPr>
          <w:p w14:paraId="40D28E3C" w14:textId="77777777" w:rsidR="008A4819" w:rsidRPr="008A4819" w:rsidRDefault="008A4819" w:rsidP="005A7F24">
            <w:pPr>
              <w:suppressAutoHyphens w:val="0"/>
              <w:spacing w:before="40" w:after="120"/>
              <w:ind w:right="113"/>
              <w:jc w:val="both"/>
            </w:pPr>
            <w:r w:rsidRPr="008A4819">
              <w:t>Une société de classification désirant être recommandée pour agrément au sens du présent Accord pose sa candidature à l'agrément conformément aux dispositions du présent chapitre auprès de l'autorité compétente d'une Partie contractante.</w:t>
            </w:r>
          </w:p>
          <w:p w14:paraId="68A76880" w14:textId="77777777" w:rsidR="008A4819" w:rsidRPr="008A4819" w:rsidRDefault="008A4819" w:rsidP="005A7F24">
            <w:pPr>
              <w:suppressAutoHyphens w:val="0"/>
              <w:spacing w:before="40" w:after="120"/>
              <w:ind w:right="113"/>
              <w:jc w:val="both"/>
            </w:pPr>
            <w:r w:rsidRPr="008A4819">
              <w:t>La société de classification doit préparer l'information pertinente en conformité avec les dispositions du présent chapitre. Elle doit la fournir dans au moins une langue officielle de l'État où la demande est soumise et en anglais. La Partie contractante transmet la demande au Comité d'administration sauf si elle considère que les conditions et les critères visés au 1.15.3 ne sont manifestement pas remplis.</w:t>
            </w:r>
          </w:p>
        </w:tc>
        <w:tc>
          <w:tcPr>
            <w:tcW w:w="1254" w:type="dxa"/>
            <w:tcBorders>
              <w:top w:val="single" w:sz="4" w:space="0" w:color="auto"/>
              <w:bottom w:val="single" w:sz="4" w:space="0" w:color="auto"/>
            </w:tcBorders>
            <w:shd w:val="clear" w:color="auto" w:fill="auto"/>
          </w:tcPr>
          <w:p w14:paraId="7960F0C8" w14:textId="77777777" w:rsidR="008A4819" w:rsidRPr="008A4819" w:rsidRDefault="008A4819" w:rsidP="005A7F24">
            <w:pPr>
              <w:suppressAutoHyphens w:val="0"/>
              <w:spacing w:before="40" w:after="120"/>
              <w:ind w:right="113"/>
              <w:jc w:val="center"/>
            </w:pPr>
            <w:r w:rsidRPr="008A4819">
              <w:t>21.2</w:t>
            </w:r>
          </w:p>
        </w:tc>
        <w:tc>
          <w:tcPr>
            <w:tcW w:w="4359" w:type="dxa"/>
            <w:tcBorders>
              <w:top w:val="single" w:sz="4" w:space="0" w:color="auto"/>
              <w:bottom w:val="single" w:sz="4" w:space="0" w:color="auto"/>
            </w:tcBorders>
            <w:shd w:val="clear" w:color="auto" w:fill="auto"/>
          </w:tcPr>
          <w:p w14:paraId="17021348" w14:textId="77777777" w:rsidR="008A4819" w:rsidRPr="008A4819" w:rsidRDefault="008A4819" w:rsidP="005A7F24">
            <w:pPr>
              <w:suppressAutoHyphens w:val="0"/>
              <w:spacing w:before="40" w:after="120"/>
              <w:ind w:right="113"/>
              <w:jc w:val="both"/>
            </w:pPr>
            <w:r w:rsidRPr="008A4819">
              <w:t>Une demande d'agrément est présentée à la Commission par l'État membre dans lequel la société de classification a établi son siège social ou une filiale habilitée à délivrer les attestations établissant que les bâtiments satisfont aux prescriptions visées aux annexes II et V, conformément à la présente directive. Cette demande doit être accompagnée de l'ensemble des informations et des documents nécessaires pour vérifier le respect des critères d'agrément.</w:t>
            </w:r>
          </w:p>
        </w:tc>
        <w:tc>
          <w:tcPr>
            <w:tcW w:w="2329" w:type="dxa"/>
            <w:tcBorders>
              <w:top w:val="single" w:sz="4" w:space="0" w:color="auto"/>
              <w:bottom w:val="single" w:sz="4" w:space="0" w:color="auto"/>
            </w:tcBorders>
            <w:shd w:val="clear" w:color="auto" w:fill="auto"/>
          </w:tcPr>
          <w:p w14:paraId="45AA76EA" w14:textId="77777777" w:rsidR="008A4819" w:rsidRPr="008A4819" w:rsidRDefault="008A4819" w:rsidP="008A4819">
            <w:pPr>
              <w:suppressAutoHyphens w:val="0"/>
              <w:spacing w:before="40" w:after="120"/>
              <w:ind w:right="113"/>
            </w:pPr>
          </w:p>
        </w:tc>
      </w:tr>
      <w:tr w:rsidR="008A4819" w:rsidRPr="008A4819" w14:paraId="623287B1" w14:textId="77777777" w:rsidTr="005A7F24">
        <w:trPr>
          <w:cantSplit/>
        </w:trPr>
        <w:tc>
          <w:tcPr>
            <w:tcW w:w="1534" w:type="dxa"/>
            <w:tcBorders>
              <w:top w:val="single" w:sz="4" w:space="0" w:color="auto"/>
              <w:bottom w:val="single" w:sz="4" w:space="0" w:color="auto"/>
            </w:tcBorders>
            <w:shd w:val="clear" w:color="auto" w:fill="auto"/>
          </w:tcPr>
          <w:p w14:paraId="2EE41764" w14:textId="77777777" w:rsidR="008A4819" w:rsidRPr="008A4819" w:rsidRDefault="008A4819" w:rsidP="005A7F24">
            <w:pPr>
              <w:suppressAutoHyphens w:val="0"/>
              <w:spacing w:before="40" w:after="120"/>
              <w:ind w:right="113"/>
              <w:jc w:val="both"/>
            </w:pPr>
            <w:r w:rsidRPr="008A4819">
              <w:t>1.15.2.2</w:t>
            </w:r>
          </w:p>
        </w:tc>
        <w:tc>
          <w:tcPr>
            <w:tcW w:w="4619" w:type="dxa"/>
            <w:tcBorders>
              <w:top w:val="single" w:sz="4" w:space="0" w:color="auto"/>
              <w:bottom w:val="single" w:sz="4" w:space="0" w:color="auto"/>
            </w:tcBorders>
            <w:shd w:val="clear" w:color="auto" w:fill="auto"/>
          </w:tcPr>
          <w:p w14:paraId="7F62343C" w14:textId="77777777" w:rsidR="008A4819" w:rsidRPr="008A4819" w:rsidRDefault="008A4819" w:rsidP="005A7F24">
            <w:pPr>
              <w:suppressAutoHyphens w:val="0"/>
              <w:spacing w:before="40" w:after="120"/>
              <w:ind w:right="113"/>
              <w:jc w:val="both"/>
            </w:pPr>
            <w:r w:rsidRPr="008A4819">
              <w:t>Le Comité d'administration nomme un comité d'experts dont il définit la composition et le règlement intérieur. Ce comité d'experts examine la demande, détermine si la société de classification répond aux conditions et critères visés au 1.15.3 et formule une recommandation au Comité d'administration dans un délai de six mois.</w:t>
            </w:r>
          </w:p>
        </w:tc>
        <w:tc>
          <w:tcPr>
            <w:tcW w:w="1254" w:type="dxa"/>
            <w:tcBorders>
              <w:top w:val="single" w:sz="4" w:space="0" w:color="auto"/>
              <w:bottom w:val="single" w:sz="4" w:space="0" w:color="auto"/>
            </w:tcBorders>
            <w:shd w:val="clear" w:color="auto" w:fill="auto"/>
          </w:tcPr>
          <w:p w14:paraId="757AEAFD" w14:textId="77777777" w:rsidR="008A4819" w:rsidRPr="008A4819" w:rsidRDefault="008A4819" w:rsidP="005A7F24">
            <w:pPr>
              <w:suppressAutoHyphens w:val="0"/>
              <w:spacing w:before="40" w:after="120"/>
              <w:ind w:right="113"/>
              <w:jc w:val="center"/>
            </w:pPr>
          </w:p>
        </w:tc>
        <w:tc>
          <w:tcPr>
            <w:tcW w:w="4359" w:type="dxa"/>
            <w:tcBorders>
              <w:top w:val="single" w:sz="4" w:space="0" w:color="auto"/>
              <w:bottom w:val="single" w:sz="4" w:space="0" w:color="auto"/>
            </w:tcBorders>
            <w:shd w:val="clear" w:color="auto" w:fill="auto"/>
          </w:tcPr>
          <w:p w14:paraId="0795DC3B" w14:textId="77777777" w:rsidR="008A4819" w:rsidRPr="008A4819" w:rsidRDefault="008A4819" w:rsidP="005A7F24">
            <w:pPr>
              <w:suppressAutoHyphens w:val="0"/>
              <w:spacing w:before="40" w:after="120"/>
              <w:ind w:right="113"/>
              <w:jc w:val="both"/>
            </w:pPr>
          </w:p>
        </w:tc>
        <w:tc>
          <w:tcPr>
            <w:tcW w:w="2329" w:type="dxa"/>
            <w:tcBorders>
              <w:top w:val="single" w:sz="4" w:space="0" w:color="auto"/>
              <w:bottom w:val="single" w:sz="4" w:space="0" w:color="auto"/>
            </w:tcBorders>
            <w:shd w:val="clear" w:color="auto" w:fill="auto"/>
          </w:tcPr>
          <w:p w14:paraId="1B2E81B4" w14:textId="77777777" w:rsidR="008A4819" w:rsidRPr="008A4819" w:rsidRDefault="008A4819" w:rsidP="008A4819">
            <w:pPr>
              <w:suppressAutoHyphens w:val="0"/>
              <w:spacing w:before="40" w:after="120"/>
              <w:ind w:right="113"/>
            </w:pPr>
          </w:p>
        </w:tc>
      </w:tr>
      <w:tr w:rsidR="008A4819" w:rsidRPr="008A4819" w14:paraId="58098456" w14:textId="77777777" w:rsidTr="005A7F24">
        <w:trPr>
          <w:cantSplit/>
        </w:trPr>
        <w:tc>
          <w:tcPr>
            <w:tcW w:w="1534" w:type="dxa"/>
            <w:tcBorders>
              <w:top w:val="single" w:sz="4" w:space="0" w:color="auto"/>
              <w:bottom w:val="single" w:sz="4" w:space="0" w:color="auto"/>
            </w:tcBorders>
            <w:shd w:val="clear" w:color="auto" w:fill="auto"/>
          </w:tcPr>
          <w:p w14:paraId="478C7F12" w14:textId="77777777" w:rsidR="008A4819" w:rsidRPr="008A4819" w:rsidRDefault="008A4819" w:rsidP="005A7F24">
            <w:pPr>
              <w:suppressAutoHyphens w:val="0"/>
              <w:spacing w:before="40" w:after="120"/>
              <w:ind w:right="113"/>
              <w:jc w:val="both"/>
            </w:pPr>
            <w:r w:rsidRPr="008A4819">
              <w:t>1.15.2.3</w:t>
            </w:r>
          </w:p>
        </w:tc>
        <w:tc>
          <w:tcPr>
            <w:tcW w:w="4619" w:type="dxa"/>
            <w:tcBorders>
              <w:top w:val="single" w:sz="4" w:space="0" w:color="auto"/>
              <w:bottom w:val="single" w:sz="4" w:space="0" w:color="auto"/>
            </w:tcBorders>
            <w:shd w:val="clear" w:color="auto" w:fill="auto"/>
          </w:tcPr>
          <w:p w14:paraId="73F3B359" w14:textId="77777777" w:rsidR="008A4819" w:rsidRPr="008A4819" w:rsidRDefault="008A4819" w:rsidP="005A7F24">
            <w:pPr>
              <w:suppressAutoHyphens w:val="0"/>
              <w:spacing w:before="40" w:after="120"/>
              <w:ind w:right="113"/>
              <w:jc w:val="both"/>
            </w:pPr>
            <w:r w:rsidRPr="008A4819">
              <w:t>Le Comité d'administration, après étude du rapport des experts, décide, conformément à la procédure visée au paragraphe 7 c) de l'article 17, dans un délai d'un an au maximum, de recommander ou non aux Parties contractantes d'agréer la société de classification requérante. Il établit une liste des sociétés de classification recommandées aux fins d'agrément par des Parties contractantes.</w:t>
            </w:r>
          </w:p>
        </w:tc>
        <w:tc>
          <w:tcPr>
            <w:tcW w:w="1254" w:type="dxa"/>
            <w:tcBorders>
              <w:top w:val="single" w:sz="4" w:space="0" w:color="auto"/>
              <w:bottom w:val="single" w:sz="4" w:space="0" w:color="auto"/>
            </w:tcBorders>
            <w:shd w:val="clear" w:color="auto" w:fill="auto"/>
          </w:tcPr>
          <w:p w14:paraId="6734470E" w14:textId="77777777" w:rsidR="008A4819" w:rsidRPr="008A4819" w:rsidRDefault="008A4819" w:rsidP="005A7F24">
            <w:pPr>
              <w:suppressAutoHyphens w:val="0"/>
              <w:spacing w:before="40" w:after="120"/>
              <w:ind w:right="113"/>
              <w:jc w:val="center"/>
            </w:pPr>
          </w:p>
        </w:tc>
        <w:tc>
          <w:tcPr>
            <w:tcW w:w="4359" w:type="dxa"/>
            <w:tcBorders>
              <w:top w:val="single" w:sz="4" w:space="0" w:color="auto"/>
              <w:bottom w:val="single" w:sz="4" w:space="0" w:color="auto"/>
            </w:tcBorders>
            <w:shd w:val="clear" w:color="auto" w:fill="auto"/>
          </w:tcPr>
          <w:p w14:paraId="5B96C950" w14:textId="77777777" w:rsidR="008A4819" w:rsidRPr="008A4819" w:rsidRDefault="008A4819" w:rsidP="005A7F24">
            <w:pPr>
              <w:suppressAutoHyphens w:val="0"/>
              <w:spacing w:before="40" w:after="120"/>
              <w:ind w:right="113"/>
              <w:jc w:val="both"/>
            </w:pPr>
          </w:p>
        </w:tc>
        <w:tc>
          <w:tcPr>
            <w:tcW w:w="2329" w:type="dxa"/>
            <w:tcBorders>
              <w:top w:val="single" w:sz="4" w:space="0" w:color="auto"/>
              <w:bottom w:val="single" w:sz="4" w:space="0" w:color="auto"/>
            </w:tcBorders>
            <w:shd w:val="clear" w:color="auto" w:fill="auto"/>
          </w:tcPr>
          <w:p w14:paraId="42B5EB1D" w14:textId="77777777" w:rsidR="008A4819" w:rsidRPr="008A4819" w:rsidRDefault="008A4819" w:rsidP="008A4819">
            <w:pPr>
              <w:suppressAutoHyphens w:val="0"/>
              <w:spacing w:before="40" w:after="120"/>
              <w:ind w:right="113"/>
            </w:pPr>
          </w:p>
        </w:tc>
      </w:tr>
      <w:tr w:rsidR="008A4819" w:rsidRPr="008A4819" w14:paraId="1E749B75" w14:textId="77777777" w:rsidTr="005A7F24">
        <w:tc>
          <w:tcPr>
            <w:tcW w:w="1534" w:type="dxa"/>
            <w:vMerge w:val="restart"/>
            <w:tcBorders>
              <w:top w:val="single" w:sz="4" w:space="0" w:color="auto"/>
              <w:bottom w:val="single" w:sz="4" w:space="0" w:color="auto"/>
            </w:tcBorders>
            <w:shd w:val="clear" w:color="auto" w:fill="auto"/>
          </w:tcPr>
          <w:p w14:paraId="34BB83D7" w14:textId="77777777" w:rsidR="008A4819" w:rsidRPr="008A4819" w:rsidRDefault="008A4819" w:rsidP="00E57615">
            <w:pPr>
              <w:pageBreakBefore/>
              <w:suppressAutoHyphens w:val="0"/>
              <w:spacing w:before="40" w:after="120"/>
              <w:ind w:right="113"/>
              <w:jc w:val="both"/>
            </w:pPr>
            <w:r w:rsidRPr="008A4819">
              <w:lastRenderedPageBreak/>
              <w:t>1.15.2.4</w:t>
            </w:r>
          </w:p>
        </w:tc>
        <w:tc>
          <w:tcPr>
            <w:tcW w:w="4619" w:type="dxa"/>
            <w:vMerge w:val="restart"/>
            <w:tcBorders>
              <w:top w:val="single" w:sz="4" w:space="0" w:color="auto"/>
              <w:bottom w:val="single" w:sz="4" w:space="0" w:color="auto"/>
            </w:tcBorders>
            <w:shd w:val="clear" w:color="auto" w:fill="auto"/>
          </w:tcPr>
          <w:p w14:paraId="18BD947E" w14:textId="77777777" w:rsidR="008A4819" w:rsidRPr="008A4819" w:rsidRDefault="008A4819" w:rsidP="005A7F24">
            <w:pPr>
              <w:suppressAutoHyphens w:val="0"/>
              <w:spacing w:before="40" w:after="120"/>
              <w:ind w:right="113"/>
              <w:jc w:val="both"/>
            </w:pPr>
            <w:r w:rsidRPr="008A4819">
              <w:t>Chaque Partie contractante peut décider, uniquement sur la base de la liste visée au 1.15.2.3, d'agréer ou non les sociétés de classification y figurant. Elle communique cette décision au Comité d'administration et aux autres Parties contractantes.</w:t>
            </w:r>
          </w:p>
          <w:p w14:paraId="3BF660E4" w14:textId="77777777" w:rsidR="008A4819" w:rsidRPr="008A4819" w:rsidRDefault="008A4819" w:rsidP="005A7F24">
            <w:pPr>
              <w:suppressAutoHyphens w:val="0"/>
              <w:spacing w:before="40" w:after="120"/>
              <w:ind w:right="113"/>
              <w:jc w:val="both"/>
            </w:pPr>
            <w:r w:rsidRPr="008A4819">
              <w:t>Le Secrétariat du Comité d'administration tient à jour la liste des agréments accordés par les Parties contractantes.</w:t>
            </w:r>
          </w:p>
        </w:tc>
        <w:tc>
          <w:tcPr>
            <w:tcW w:w="1254" w:type="dxa"/>
            <w:tcBorders>
              <w:top w:val="single" w:sz="4" w:space="0" w:color="auto"/>
              <w:bottom w:val="single" w:sz="4" w:space="0" w:color="auto"/>
            </w:tcBorders>
            <w:shd w:val="clear" w:color="auto" w:fill="auto"/>
          </w:tcPr>
          <w:p w14:paraId="75EFF0BA" w14:textId="77777777" w:rsidR="008A4819" w:rsidRPr="008A4819" w:rsidRDefault="008A4819" w:rsidP="005A7F24">
            <w:pPr>
              <w:suppressAutoHyphens w:val="0"/>
              <w:spacing w:before="40" w:after="120"/>
              <w:ind w:right="113"/>
              <w:jc w:val="center"/>
            </w:pPr>
            <w:r w:rsidRPr="008A4819">
              <w:t>21.4</w:t>
            </w:r>
          </w:p>
        </w:tc>
        <w:tc>
          <w:tcPr>
            <w:tcW w:w="4359" w:type="dxa"/>
            <w:tcBorders>
              <w:top w:val="single" w:sz="4" w:space="0" w:color="auto"/>
              <w:bottom w:val="single" w:sz="4" w:space="0" w:color="auto"/>
            </w:tcBorders>
            <w:shd w:val="clear" w:color="auto" w:fill="auto"/>
          </w:tcPr>
          <w:p w14:paraId="10F310FA" w14:textId="77777777" w:rsidR="008A4819" w:rsidRPr="008A4819" w:rsidRDefault="008A4819" w:rsidP="005A7F24">
            <w:pPr>
              <w:suppressAutoHyphens w:val="0"/>
              <w:spacing w:before="40" w:after="120"/>
              <w:ind w:right="113"/>
              <w:jc w:val="both"/>
            </w:pPr>
            <w:r w:rsidRPr="008A4819">
              <w:t>Les sociétés de classification qui, au plus tard le 6 octobre 2016, ont reçu un agrément conformément à la directive 2006/87/CE conservent cet agrément.</w:t>
            </w:r>
          </w:p>
        </w:tc>
        <w:tc>
          <w:tcPr>
            <w:tcW w:w="2329" w:type="dxa"/>
            <w:vMerge w:val="restart"/>
            <w:tcBorders>
              <w:top w:val="single" w:sz="4" w:space="0" w:color="auto"/>
              <w:bottom w:val="single" w:sz="4" w:space="0" w:color="auto"/>
            </w:tcBorders>
            <w:shd w:val="clear" w:color="auto" w:fill="auto"/>
          </w:tcPr>
          <w:p w14:paraId="57DEEE9B" w14:textId="77777777" w:rsidR="008A4819" w:rsidRPr="008A4819" w:rsidRDefault="008A4819" w:rsidP="00830355">
            <w:pPr>
              <w:suppressAutoHyphens w:val="0"/>
              <w:spacing w:before="40" w:after="120"/>
              <w:ind w:left="140" w:right="113"/>
            </w:pPr>
            <w:r w:rsidRPr="008A4819">
              <w:t>Notions très voisines entre les deux textes</w:t>
            </w:r>
          </w:p>
        </w:tc>
      </w:tr>
      <w:tr w:rsidR="008A4819" w:rsidRPr="008A4819" w14:paraId="72EAC9A2" w14:textId="77777777" w:rsidTr="005A7F24">
        <w:tc>
          <w:tcPr>
            <w:tcW w:w="1534" w:type="dxa"/>
            <w:vMerge/>
            <w:tcBorders>
              <w:top w:val="single" w:sz="4" w:space="0" w:color="auto"/>
              <w:bottom w:val="single" w:sz="4" w:space="0" w:color="auto"/>
            </w:tcBorders>
            <w:shd w:val="clear" w:color="auto" w:fill="auto"/>
          </w:tcPr>
          <w:p w14:paraId="7A7CA799" w14:textId="77777777" w:rsidR="008A4819" w:rsidRPr="008A4819" w:rsidRDefault="008A4819" w:rsidP="005A7F24">
            <w:pPr>
              <w:suppressAutoHyphens w:val="0"/>
              <w:spacing w:before="40" w:after="120"/>
              <w:ind w:right="113"/>
              <w:jc w:val="both"/>
            </w:pPr>
          </w:p>
        </w:tc>
        <w:tc>
          <w:tcPr>
            <w:tcW w:w="4619" w:type="dxa"/>
            <w:vMerge/>
            <w:tcBorders>
              <w:top w:val="single" w:sz="4" w:space="0" w:color="auto"/>
              <w:bottom w:val="single" w:sz="4" w:space="0" w:color="auto"/>
            </w:tcBorders>
            <w:shd w:val="clear" w:color="auto" w:fill="auto"/>
          </w:tcPr>
          <w:p w14:paraId="1B369F75" w14:textId="77777777" w:rsidR="008A4819" w:rsidRPr="008A4819" w:rsidRDefault="008A4819" w:rsidP="005A7F24">
            <w:pPr>
              <w:suppressAutoHyphens w:val="0"/>
              <w:spacing w:before="40" w:after="120"/>
              <w:ind w:right="113"/>
              <w:jc w:val="both"/>
            </w:pPr>
          </w:p>
        </w:tc>
        <w:tc>
          <w:tcPr>
            <w:tcW w:w="1254" w:type="dxa"/>
            <w:tcBorders>
              <w:top w:val="single" w:sz="4" w:space="0" w:color="auto"/>
              <w:bottom w:val="single" w:sz="4" w:space="0" w:color="auto"/>
            </w:tcBorders>
            <w:shd w:val="clear" w:color="auto" w:fill="auto"/>
          </w:tcPr>
          <w:p w14:paraId="198FFD2F" w14:textId="77777777" w:rsidR="008A4819" w:rsidRPr="008A4819" w:rsidRDefault="008A4819" w:rsidP="005A7F24">
            <w:pPr>
              <w:suppressAutoHyphens w:val="0"/>
              <w:spacing w:before="40" w:after="120"/>
              <w:ind w:right="113"/>
              <w:jc w:val="center"/>
            </w:pPr>
            <w:r w:rsidRPr="008A4819">
              <w:t>21.5</w:t>
            </w:r>
          </w:p>
        </w:tc>
        <w:tc>
          <w:tcPr>
            <w:tcW w:w="4359" w:type="dxa"/>
            <w:tcBorders>
              <w:top w:val="single" w:sz="4" w:space="0" w:color="auto"/>
              <w:bottom w:val="single" w:sz="4" w:space="0" w:color="auto"/>
            </w:tcBorders>
            <w:shd w:val="clear" w:color="auto" w:fill="auto"/>
          </w:tcPr>
          <w:p w14:paraId="43F0B7F6" w14:textId="77777777" w:rsidR="008A4819" w:rsidRPr="008A4819" w:rsidRDefault="008A4819" w:rsidP="005A7F24">
            <w:pPr>
              <w:suppressAutoHyphens w:val="0"/>
              <w:spacing w:before="40" w:after="120"/>
              <w:ind w:right="113"/>
              <w:jc w:val="both"/>
            </w:pPr>
            <w:r w:rsidRPr="008A4819">
              <w:t>La Commission publie pour la première fois pour le 7 octobre 2017, sur un site internet approprié, une liste des sociétés de classification agréées conformément au présent article et tient cette liste à jour. Les États membres communiquent à la Commission les éventuels changements de nom ou d'adresse des sociétés de classification pour lesquelles ils ont présenté une demande d'agrément.</w:t>
            </w:r>
          </w:p>
        </w:tc>
        <w:tc>
          <w:tcPr>
            <w:tcW w:w="2329" w:type="dxa"/>
            <w:vMerge/>
            <w:tcBorders>
              <w:top w:val="single" w:sz="4" w:space="0" w:color="auto"/>
              <w:bottom w:val="single" w:sz="4" w:space="0" w:color="auto"/>
            </w:tcBorders>
            <w:shd w:val="clear" w:color="auto" w:fill="auto"/>
          </w:tcPr>
          <w:p w14:paraId="04CE2193" w14:textId="77777777" w:rsidR="008A4819" w:rsidRPr="008A4819" w:rsidRDefault="008A4819" w:rsidP="008A4819">
            <w:pPr>
              <w:suppressAutoHyphens w:val="0"/>
              <w:spacing w:before="40" w:after="120"/>
              <w:ind w:right="113"/>
            </w:pPr>
          </w:p>
        </w:tc>
      </w:tr>
      <w:tr w:rsidR="008A4819" w:rsidRPr="008A4819" w14:paraId="66E18931" w14:textId="77777777" w:rsidTr="005A7F24">
        <w:tc>
          <w:tcPr>
            <w:tcW w:w="1534" w:type="dxa"/>
            <w:tcBorders>
              <w:top w:val="single" w:sz="4" w:space="0" w:color="auto"/>
              <w:bottom w:val="single" w:sz="4" w:space="0" w:color="auto"/>
            </w:tcBorders>
            <w:shd w:val="clear" w:color="auto" w:fill="auto"/>
          </w:tcPr>
          <w:p w14:paraId="344645C3" w14:textId="77777777" w:rsidR="008A4819" w:rsidRPr="008A4819" w:rsidRDefault="008A4819" w:rsidP="005A7F24">
            <w:pPr>
              <w:suppressAutoHyphens w:val="0"/>
              <w:spacing w:before="40" w:after="120"/>
              <w:ind w:right="113"/>
              <w:jc w:val="both"/>
            </w:pPr>
            <w:r w:rsidRPr="008A4819">
              <w:t>1.15.2.5</w:t>
            </w:r>
          </w:p>
        </w:tc>
        <w:tc>
          <w:tcPr>
            <w:tcW w:w="4619" w:type="dxa"/>
            <w:tcBorders>
              <w:top w:val="single" w:sz="4" w:space="0" w:color="auto"/>
              <w:bottom w:val="single" w:sz="4" w:space="0" w:color="auto"/>
            </w:tcBorders>
            <w:shd w:val="clear" w:color="auto" w:fill="auto"/>
          </w:tcPr>
          <w:p w14:paraId="06EF11B3" w14:textId="77777777" w:rsidR="008A4819" w:rsidRPr="008A4819" w:rsidRDefault="008A4819" w:rsidP="005A7F24">
            <w:pPr>
              <w:suppressAutoHyphens w:val="0"/>
              <w:spacing w:before="40" w:after="120"/>
              <w:ind w:right="113"/>
              <w:jc w:val="both"/>
            </w:pPr>
            <w:r w:rsidRPr="008A4819">
              <w:t>Si une Partie contractante estime qu'une société de classification figurant sur la liste ne répond pas aux conditions et critères fixés au 1.15.3, elle peut soumettre au Comité d'administration une proposition de retrait de la liste des sociétés recommandées aux fins d'agrément. Une telle proposition devra être documentée par des informations concrètes permettant de conclure à un manquement.</w:t>
            </w:r>
          </w:p>
        </w:tc>
        <w:tc>
          <w:tcPr>
            <w:tcW w:w="1254" w:type="dxa"/>
            <w:tcBorders>
              <w:top w:val="single" w:sz="4" w:space="0" w:color="auto"/>
              <w:bottom w:val="single" w:sz="4" w:space="0" w:color="auto"/>
            </w:tcBorders>
            <w:shd w:val="clear" w:color="auto" w:fill="auto"/>
          </w:tcPr>
          <w:p w14:paraId="1C86BAEC" w14:textId="77777777" w:rsidR="008A4819" w:rsidRPr="008A4819" w:rsidRDefault="008A4819" w:rsidP="005A7F24">
            <w:pPr>
              <w:suppressAutoHyphens w:val="0"/>
              <w:spacing w:before="40" w:after="120"/>
              <w:ind w:right="113"/>
              <w:jc w:val="center"/>
            </w:pPr>
            <w:r w:rsidRPr="008A4819">
              <w:t>21.3</w:t>
            </w:r>
          </w:p>
        </w:tc>
        <w:tc>
          <w:tcPr>
            <w:tcW w:w="4359" w:type="dxa"/>
            <w:tcBorders>
              <w:top w:val="single" w:sz="4" w:space="0" w:color="auto"/>
              <w:bottom w:val="single" w:sz="4" w:space="0" w:color="auto"/>
            </w:tcBorders>
            <w:shd w:val="clear" w:color="auto" w:fill="auto"/>
          </w:tcPr>
          <w:p w14:paraId="77BDC0BB" w14:textId="77777777" w:rsidR="008A4819" w:rsidRPr="008A4819" w:rsidRDefault="008A4819" w:rsidP="005A7F24">
            <w:pPr>
              <w:suppressAutoHyphens w:val="0"/>
              <w:spacing w:before="40" w:after="120"/>
              <w:ind w:right="113"/>
              <w:jc w:val="both"/>
            </w:pPr>
            <w:r w:rsidRPr="008A4819">
              <w:t>Tout État membre qui estime qu'une société de classification ne remplit plus les critères énoncés à l'annexe VI peut soumettre à la Commission une demande de retrait d'agrément. Cette demande doit être accompagnée de documents probants.</w:t>
            </w:r>
          </w:p>
        </w:tc>
        <w:tc>
          <w:tcPr>
            <w:tcW w:w="2329" w:type="dxa"/>
            <w:tcBorders>
              <w:top w:val="single" w:sz="4" w:space="0" w:color="auto"/>
              <w:bottom w:val="single" w:sz="4" w:space="0" w:color="auto"/>
            </w:tcBorders>
            <w:shd w:val="clear" w:color="auto" w:fill="auto"/>
          </w:tcPr>
          <w:p w14:paraId="4597AD56" w14:textId="77777777" w:rsidR="008A4819" w:rsidRPr="008A4819" w:rsidRDefault="008A4819" w:rsidP="00830355">
            <w:pPr>
              <w:suppressAutoHyphens w:val="0"/>
              <w:spacing w:before="40" w:after="120"/>
              <w:ind w:left="140" w:right="113"/>
            </w:pPr>
            <w:r w:rsidRPr="008A4819">
              <w:t>Notions très voisines entre les deux textes</w:t>
            </w:r>
          </w:p>
        </w:tc>
      </w:tr>
      <w:tr w:rsidR="008A4819" w:rsidRPr="008A4819" w14:paraId="76565FD2" w14:textId="77777777" w:rsidTr="00DE3699">
        <w:tc>
          <w:tcPr>
            <w:tcW w:w="1534" w:type="dxa"/>
            <w:tcBorders>
              <w:top w:val="single" w:sz="4" w:space="0" w:color="auto"/>
              <w:bottom w:val="single" w:sz="4" w:space="0" w:color="auto"/>
            </w:tcBorders>
            <w:shd w:val="clear" w:color="auto" w:fill="auto"/>
          </w:tcPr>
          <w:p w14:paraId="75590B8B" w14:textId="77777777" w:rsidR="008A4819" w:rsidRPr="008A4819" w:rsidRDefault="008A4819" w:rsidP="005A7F24">
            <w:pPr>
              <w:suppressAutoHyphens w:val="0"/>
              <w:spacing w:before="40" w:after="120"/>
              <w:ind w:right="113"/>
              <w:jc w:val="both"/>
            </w:pPr>
            <w:r w:rsidRPr="008A4819">
              <w:t>1.15.2.6</w:t>
            </w:r>
          </w:p>
        </w:tc>
        <w:tc>
          <w:tcPr>
            <w:tcW w:w="4619" w:type="dxa"/>
            <w:tcBorders>
              <w:top w:val="single" w:sz="4" w:space="0" w:color="auto"/>
              <w:bottom w:val="single" w:sz="4" w:space="0" w:color="auto"/>
            </w:tcBorders>
            <w:shd w:val="clear" w:color="auto" w:fill="auto"/>
          </w:tcPr>
          <w:p w14:paraId="741CBF2A" w14:textId="77777777" w:rsidR="008A4819" w:rsidRPr="008A4819" w:rsidRDefault="008A4819" w:rsidP="005A7F24">
            <w:pPr>
              <w:suppressAutoHyphens w:val="0"/>
              <w:spacing w:before="40" w:after="120"/>
              <w:ind w:right="113"/>
              <w:jc w:val="both"/>
            </w:pPr>
            <w:r w:rsidRPr="008A4819">
              <w:t>Le Comité d'administration institue à cet effet un nouveau comité d'experts, conformément à la procédure définie au 1.15.2.2, lequel doit adresser un rapport au Comité d'administration, dans un délai de six mois. Le Comité d’experts doit informer la société de classification et l’inviter à commenter les conclusions.</w:t>
            </w:r>
          </w:p>
        </w:tc>
        <w:tc>
          <w:tcPr>
            <w:tcW w:w="1254" w:type="dxa"/>
            <w:tcBorders>
              <w:top w:val="single" w:sz="4" w:space="0" w:color="auto"/>
              <w:bottom w:val="single" w:sz="4" w:space="0" w:color="auto"/>
            </w:tcBorders>
            <w:shd w:val="clear" w:color="auto" w:fill="auto"/>
          </w:tcPr>
          <w:p w14:paraId="0DDEAF36" w14:textId="77777777" w:rsidR="008A4819" w:rsidRPr="008A4819" w:rsidRDefault="008A4819" w:rsidP="005A7F24">
            <w:pPr>
              <w:suppressAutoHyphens w:val="0"/>
              <w:spacing w:before="40" w:after="120"/>
              <w:ind w:right="113"/>
              <w:jc w:val="center"/>
            </w:pPr>
          </w:p>
        </w:tc>
        <w:tc>
          <w:tcPr>
            <w:tcW w:w="4359" w:type="dxa"/>
            <w:tcBorders>
              <w:top w:val="single" w:sz="4" w:space="0" w:color="auto"/>
              <w:bottom w:val="single" w:sz="4" w:space="0" w:color="auto"/>
            </w:tcBorders>
            <w:shd w:val="clear" w:color="auto" w:fill="auto"/>
          </w:tcPr>
          <w:p w14:paraId="32F47552" w14:textId="77777777" w:rsidR="008A4819" w:rsidRPr="008A4819" w:rsidRDefault="008A4819" w:rsidP="005A7F24">
            <w:pPr>
              <w:suppressAutoHyphens w:val="0"/>
              <w:spacing w:before="40" w:after="120"/>
              <w:ind w:right="113"/>
              <w:jc w:val="both"/>
            </w:pPr>
          </w:p>
        </w:tc>
        <w:tc>
          <w:tcPr>
            <w:tcW w:w="2329" w:type="dxa"/>
            <w:tcBorders>
              <w:top w:val="single" w:sz="4" w:space="0" w:color="auto"/>
              <w:bottom w:val="single" w:sz="4" w:space="0" w:color="auto"/>
            </w:tcBorders>
            <w:shd w:val="clear" w:color="auto" w:fill="auto"/>
          </w:tcPr>
          <w:p w14:paraId="6745A84C" w14:textId="77777777" w:rsidR="008A4819" w:rsidRPr="008A4819" w:rsidRDefault="008A4819" w:rsidP="008A4819">
            <w:pPr>
              <w:suppressAutoHyphens w:val="0"/>
              <w:spacing w:before="40" w:after="120"/>
              <w:ind w:right="113"/>
            </w:pPr>
          </w:p>
        </w:tc>
      </w:tr>
      <w:tr w:rsidR="008A4819" w:rsidRPr="008A4819" w14:paraId="194CA796" w14:textId="77777777" w:rsidTr="00DE3699">
        <w:tc>
          <w:tcPr>
            <w:tcW w:w="1534" w:type="dxa"/>
            <w:tcBorders>
              <w:top w:val="single" w:sz="4" w:space="0" w:color="auto"/>
              <w:bottom w:val="single" w:sz="12" w:space="0" w:color="auto"/>
            </w:tcBorders>
            <w:shd w:val="clear" w:color="auto" w:fill="auto"/>
          </w:tcPr>
          <w:p w14:paraId="6AA6F0ED" w14:textId="77777777" w:rsidR="008A4819" w:rsidRPr="008A4819" w:rsidRDefault="008A4819" w:rsidP="00E57615">
            <w:pPr>
              <w:pageBreakBefore/>
              <w:suppressAutoHyphens w:val="0"/>
              <w:spacing w:before="40" w:after="120"/>
              <w:ind w:right="113"/>
              <w:jc w:val="both"/>
            </w:pPr>
            <w:r w:rsidRPr="008A4819">
              <w:lastRenderedPageBreak/>
              <w:t>1.15.2.7</w:t>
            </w:r>
          </w:p>
        </w:tc>
        <w:tc>
          <w:tcPr>
            <w:tcW w:w="4619" w:type="dxa"/>
            <w:tcBorders>
              <w:top w:val="single" w:sz="4" w:space="0" w:color="auto"/>
              <w:bottom w:val="single" w:sz="12" w:space="0" w:color="auto"/>
            </w:tcBorders>
            <w:shd w:val="clear" w:color="auto" w:fill="auto"/>
          </w:tcPr>
          <w:p w14:paraId="217594D5" w14:textId="77777777" w:rsidR="008A4819" w:rsidRPr="008A4819" w:rsidRDefault="008A4819" w:rsidP="005A7F24">
            <w:pPr>
              <w:suppressAutoHyphens w:val="0"/>
              <w:spacing w:before="40" w:after="120"/>
              <w:ind w:right="113"/>
              <w:jc w:val="both"/>
            </w:pPr>
            <w:r w:rsidRPr="008A4819">
              <w:t>Si elle n’est pas en mesure de remplir les conditions et critères au paragraphe 1.15.3, le Comité d'administration peut décider que la société de classification a la possibilité de soumettre un plan permettant de surmonter dans un délai de six mois le manquement relevé et d’éviter toute récidive, ou, conformément au paragraphe (7) c) de l'article 17, de retirer le nom de la société en question de la liste des sociétés recommandées pour agrément.</w:t>
            </w:r>
          </w:p>
          <w:p w14:paraId="36DB75F6" w14:textId="77777777" w:rsidR="008A4819" w:rsidRPr="008A4819" w:rsidRDefault="008A4819" w:rsidP="005A7F24">
            <w:pPr>
              <w:suppressAutoHyphens w:val="0"/>
              <w:spacing w:before="40" w:after="120"/>
              <w:ind w:right="113"/>
              <w:jc w:val="both"/>
            </w:pPr>
            <w:r w:rsidRPr="008A4819">
              <w:t>Dans un cas pareil, la société en question en est immédiatement avisée. Le Comité d'administration informe toutes les Parties contractantes que la société de classification en question ne répond plus aux exigences pour agir en tant que société de classification agréée dans le cadre de l'Accord et les invite à prendre les mesures qui s'imposent pour rester en conformité avec les exigences de l'Accord.</w:t>
            </w:r>
          </w:p>
        </w:tc>
        <w:tc>
          <w:tcPr>
            <w:tcW w:w="1254" w:type="dxa"/>
            <w:tcBorders>
              <w:top w:val="single" w:sz="4" w:space="0" w:color="auto"/>
              <w:bottom w:val="single" w:sz="12" w:space="0" w:color="auto"/>
            </w:tcBorders>
            <w:shd w:val="clear" w:color="auto" w:fill="auto"/>
          </w:tcPr>
          <w:p w14:paraId="1C493C41" w14:textId="77777777" w:rsidR="008A4819" w:rsidRPr="008A4819" w:rsidRDefault="008A4819" w:rsidP="005A7F24">
            <w:pPr>
              <w:suppressAutoHyphens w:val="0"/>
              <w:spacing w:before="40" w:after="120"/>
              <w:ind w:right="113"/>
              <w:jc w:val="center"/>
            </w:pPr>
          </w:p>
        </w:tc>
        <w:tc>
          <w:tcPr>
            <w:tcW w:w="4359" w:type="dxa"/>
            <w:tcBorders>
              <w:top w:val="single" w:sz="4" w:space="0" w:color="auto"/>
              <w:bottom w:val="single" w:sz="12" w:space="0" w:color="auto"/>
            </w:tcBorders>
            <w:shd w:val="clear" w:color="auto" w:fill="auto"/>
          </w:tcPr>
          <w:p w14:paraId="409953F1" w14:textId="77777777" w:rsidR="008A4819" w:rsidRPr="008A4819" w:rsidRDefault="008A4819" w:rsidP="005A7F24">
            <w:pPr>
              <w:suppressAutoHyphens w:val="0"/>
              <w:spacing w:before="40" w:after="120"/>
              <w:ind w:right="113"/>
              <w:jc w:val="both"/>
            </w:pPr>
          </w:p>
        </w:tc>
        <w:tc>
          <w:tcPr>
            <w:tcW w:w="2329" w:type="dxa"/>
            <w:tcBorders>
              <w:top w:val="single" w:sz="4" w:space="0" w:color="auto"/>
              <w:bottom w:val="single" w:sz="12" w:space="0" w:color="auto"/>
            </w:tcBorders>
            <w:shd w:val="clear" w:color="auto" w:fill="auto"/>
          </w:tcPr>
          <w:p w14:paraId="55362595" w14:textId="77777777" w:rsidR="008A4819" w:rsidRPr="008A4819" w:rsidRDefault="008A4819" w:rsidP="008A4819">
            <w:pPr>
              <w:suppressAutoHyphens w:val="0"/>
              <w:spacing w:before="40" w:after="120"/>
              <w:ind w:right="113"/>
            </w:pPr>
          </w:p>
        </w:tc>
      </w:tr>
    </w:tbl>
    <w:p w14:paraId="6496BA2C" w14:textId="22126025" w:rsidR="00E90986" w:rsidRDefault="00E90986"/>
    <w:p w14:paraId="35FF2523" w14:textId="77777777" w:rsidR="00E90986" w:rsidRDefault="00E90986">
      <w:pPr>
        <w:suppressAutoHyphens w:val="0"/>
        <w:kinsoku/>
        <w:overflowPunct/>
        <w:autoSpaceDE/>
        <w:autoSpaceDN/>
        <w:adjustRightInd/>
        <w:snapToGrid/>
        <w:spacing w:after="200" w:line="276" w:lineRule="auto"/>
      </w:pPr>
      <w:r>
        <w:br w:type="page"/>
      </w:r>
    </w:p>
    <w:tbl>
      <w:tblPr>
        <w:tblStyle w:val="TableGrid"/>
        <w:tblW w:w="14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5019"/>
        <w:gridCol w:w="1254"/>
        <w:gridCol w:w="4359"/>
        <w:gridCol w:w="2329"/>
      </w:tblGrid>
      <w:tr w:rsidR="007D7587" w:rsidRPr="008A4819" w14:paraId="453577D9" w14:textId="77777777" w:rsidTr="007D7587">
        <w:trPr>
          <w:tblHeader/>
        </w:trPr>
        <w:tc>
          <w:tcPr>
            <w:tcW w:w="6153" w:type="dxa"/>
            <w:gridSpan w:val="2"/>
            <w:tcBorders>
              <w:top w:val="single" w:sz="4" w:space="0" w:color="auto"/>
              <w:bottom w:val="single" w:sz="12" w:space="0" w:color="auto"/>
            </w:tcBorders>
            <w:shd w:val="clear" w:color="auto" w:fill="auto"/>
          </w:tcPr>
          <w:p w14:paraId="6A610F6B" w14:textId="342B0131" w:rsidR="007D7587" w:rsidRPr="008A4819" w:rsidRDefault="007D7587" w:rsidP="007D7587">
            <w:pPr>
              <w:suppressAutoHyphens w:val="0"/>
              <w:spacing w:before="40" w:after="120"/>
              <w:ind w:right="113"/>
              <w:jc w:val="center"/>
            </w:pPr>
            <w:r w:rsidRPr="00DE3699">
              <w:rPr>
                <w:bCs/>
                <w:i/>
                <w:iCs/>
                <w:sz w:val="16"/>
                <w:szCs w:val="16"/>
              </w:rPr>
              <w:lastRenderedPageBreak/>
              <w:t>1.15.3 Conditions et critères à remplir par les sociétés de classification aux fins d'agrément</w:t>
            </w:r>
          </w:p>
        </w:tc>
        <w:tc>
          <w:tcPr>
            <w:tcW w:w="5613" w:type="dxa"/>
            <w:gridSpan w:val="2"/>
            <w:tcBorders>
              <w:top w:val="single" w:sz="4" w:space="0" w:color="auto"/>
              <w:bottom w:val="single" w:sz="12" w:space="0" w:color="auto"/>
            </w:tcBorders>
            <w:shd w:val="clear" w:color="auto" w:fill="auto"/>
          </w:tcPr>
          <w:p w14:paraId="28997063" w14:textId="66DB97C9" w:rsidR="007D7587" w:rsidRPr="008A4819" w:rsidRDefault="007D7587" w:rsidP="007D7587">
            <w:pPr>
              <w:suppressAutoHyphens w:val="0"/>
              <w:spacing w:before="40" w:after="120"/>
              <w:ind w:right="113"/>
              <w:jc w:val="center"/>
            </w:pPr>
            <w:r w:rsidRPr="00DE3699">
              <w:rPr>
                <w:i/>
                <w:iCs/>
                <w:sz w:val="16"/>
                <w:szCs w:val="16"/>
              </w:rPr>
              <w:t xml:space="preserve">ANNEXE VI </w:t>
            </w:r>
            <w:r>
              <w:rPr>
                <w:i/>
                <w:iCs/>
                <w:sz w:val="16"/>
                <w:szCs w:val="16"/>
              </w:rPr>
              <w:t xml:space="preserve">  </w:t>
            </w:r>
            <w:r w:rsidRPr="00DE3699">
              <w:rPr>
                <w:i/>
                <w:iCs/>
                <w:sz w:val="16"/>
                <w:szCs w:val="16"/>
              </w:rPr>
              <w:t>SOCIÉTÉS DE CLASSIFICATION</w:t>
            </w:r>
            <w:r>
              <w:rPr>
                <w:i/>
                <w:iCs/>
                <w:sz w:val="16"/>
                <w:szCs w:val="16"/>
              </w:rPr>
              <w:br/>
            </w:r>
            <w:r w:rsidRPr="00DE3699">
              <w:rPr>
                <w:i/>
                <w:iCs/>
                <w:sz w:val="16"/>
                <w:szCs w:val="16"/>
              </w:rPr>
              <w:t>Critères pour l'agrément de sociétés de classification</w:t>
            </w:r>
          </w:p>
        </w:tc>
        <w:tc>
          <w:tcPr>
            <w:tcW w:w="2329" w:type="dxa"/>
            <w:tcBorders>
              <w:top w:val="single" w:sz="4" w:space="0" w:color="auto"/>
              <w:bottom w:val="single" w:sz="12" w:space="0" w:color="auto"/>
            </w:tcBorders>
            <w:shd w:val="clear" w:color="auto" w:fill="auto"/>
          </w:tcPr>
          <w:p w14:paraId="21794AC0" w14:textId="042C93FA" w:rsidR="007D7587" w:rsidRPr="00D4279C" w:rsidRDefault="007D7587" w:rsidP="007D7587">
            <w:pPr>
              <w:suppressAutoHyphens w:val="0"/>
              <w:spacing w:before="40" w:after="120"/>
              <w:ind w:left="140" w:right="113"/>
              <w:jc w:val="center"/>
            </w:pPr>
            <w:r w:rsidRPr="004676E4">
              <w:rPr>
                <w:bCs/>
                <w:i/>
                <w:iCs/>
                <w:sz w:val="16"/>
                <w:szCs w:val="16"/>
              </w:rPr>
              <w:t>Observations</w:t>
            </w:r>
          </w:p>
        </w:tc>
      </w:tr>
      <w:tr w:rsidR="007D7587" w:rsidRPr="008A4819" w14:paraId="71C31E18" w14:textId="77777777" w:rsidTr="007D7587">
        <w:tc>
          <w:tcPr>
            <w:tcW w:w="6153" w:type="dxa"/>
            <w:gridSpan w:val="2"/>
            <w:tcBorders>
              <w:top w:val="single" w:sz="12" w:space="0" w:color="auto"/>
              <w:bottom w:val="single" w:sz="4" w:space="0" w:color="auto"/>
            </w:tcBorders>
            <w:shd w:val="clear" w:color="auto" w:fill="auto"/>
          </w:tcPr>
          <w:p w14:paraId="4BF5E3C0" w14:textId="2D6BB41B" w:rsidR="007D7587" w:rsidRPr="008A4819" w:rsidRDefault="007D7587" w:rsidP="00E6122C">
            <w:pPr>
              <w:suppressAutoHyphens w:val="0"/>
              <w:spacing w:before="40" w:after="120"/>
              <w:ind w:right="113"/>
            </w:pPr>
            <w:r w:rsidRPr="008A4819">
              <w:t xml:space="preserve">Une société de classification demandant à être agréée dans le cadre du présent Accord doit répondre à l'ensemble des conditions et critères </w:t>
            </w:r>
            <w:proofErr w:type="gramStart"/>
            <w:r w:rsidRPr="008A4819">
              <w:t>suivants:</w:t>
            </w:r>
            <w:proofErr w:type="gramEnd"/>
          </w:p>
        </w:tc>
        <w:tc>
          <w:tcPr>
            <w:tcW w:w="5613" w:type="dxa"/>
            <w:gridSpan w:val="2"/>
            <w:tcBorders>
              <w:top w:val="single" w:sz="12" w:space="0" w:color="auto"/>
              <w:bottom w:val="single" w:sz="4" w:space="0" w:color="auto"/>
            </w:tcBorders>
            <w:shd w:val="clear" w:color="auto" w:fill="auto"/>
          </w:tcPr>
          <w:p w14:paraId="31ECA03C" w14:textId="6B7AA9EA" w:rsidR="007D7587" w:rsidRPr="00D4279C" w:rsidRDefault="007D7587" w:rsidP="00E6122C">
            <w:pPr>
              <w:suppressAutoHyphens w:val="0"/>
              <w:spacing w:before="40" w:after="120"/>
              <w:ind w:right="113"/>
            </w:pPr>
            <w:r w:rsidRPr="008A4819">
              <w:t xml:space="preserve">Une société de classification qui souhaite obtenir l'agrément au sens de l'article 21 de la présente directive doit satisfaire aux critères </w:t>
            </w:r>
            <w:proofErr w:type="gramStart"/>
            <w:r w:rsidRPr="008A4819">
              <w:t>suivants:</w:t>
            </w:r>
            <w:proofErr w:type="gramEnd"/>
          </w:p>
        </w:tc>
        <w:tc>
          <w:tcPr>
            <w:tcW w:w="2329" w:type="dxa"/>
            <w:tcBorders>
              <w:top w:val="single" w:sz="12" w:space="0" w:color="auto"/>
              <w:bottom w:val="single" w:sz="4" w:space="0" w:color="auto"/>
            </w:tcBorders>
            <w:shd w:val="clear" w:color="auto" w:fill="auto"/>
          </w:tcPr>
          <w:p w14:paraId="5DCBE2A8" w14:textId="77777777" w:rsidR="007D7587" w:rsidRPr="00D4279C" w:rsidRDefault="007D7587" w:rsidP="00830355">
            <w:pPr>
              <w:suppressAutoHyphens w:val="0"/>
              <w:spacing w:before="40" w:after="120"/>
              <w:ind w:left="140" w:right="113"/>
            </w:pPr>
          </w:p>
        </w:tc>
      </w:tr>
      <w:tr w:rsidR="008A4819" w:rsidRPr="008A4819" w14:paraId="5420D80A" w14:textId="77777777" w:rsidTr="007D7587">
        <w:tc>
          <w:tcPr>
            <w:tcW w:w="1134" w:type="dxa"/>
            <w:tcBorders>
              <w:top w:val="single" w:sz="4" w:space="0" w:color="auto"/>
              <w:bottom w:val="single" w:sz="4" w:space="0" w:color="auto"/>
            </w:tcBorders>
            <w:shd w:val="clear" w:color="auto" w:fill="auto"/>
          </w:tcPr>
          <w:p w14:paraId="3F4CA201" w14:textId="77777777" w:rsidR="008A4819" w:rsidRPr="008A4819" w:rsidRDefault="008A4819" w:rsidP="00DE3699">
            <w:pPr>
              <w:suppressAutoHyphens w:val="0"/>
              <w:spacing w:before="40" w:after="120"/>
              <w:ind w:right="113"/>
              <w:jc w:val="both"/>
            </w:pPr>
            <w:r w:rsidRPr="008A4819">
              <w:t>1.15.3.1</w:t>
            </w:r>
          </w:p>
        </w:tc>
        <w:tc>
          <w:tcPr>
            <w:tcW w:w="5019" w:type="dxa"/>
            <w:tcBorders>
              <w:top w:val="single" w:sz="4" w:space="0" w:color="auto"/>
              <w:bottom w:val="single" w:sz="4" w:space="0" w:color="auto"/>
            </w:tcBorders>
            <w:shd w:val="clear" w:color="auto" w:fill="auto"/>
          </w:tcPr>
          <w:p w14:paraId="79EFD075" w14:textId="77777777" w:rsidR="008A4819" w:rsidRPr="008A4819" w:rsidRDefault="008A4819" w:rsidP="005A7F24">
            <w:pPr>
              <w:suppressAutoHyphens w:val="0"/>
              <w:spacing w:before="40" w:after="120"/>
              <w:ind w:right="113"/>
              <w:jc w:val="both"/>
            </w:pPr>
            <w:r w:rsidRPr="008A4819">
              <w:t>La société de classification est en mesure de justifier d'une connaissance et d'une expérience étendues dans le domaine de l'évaluation, de la conception et de la construction des bateaux de navigation intérieure. La société devrait disposer des règles et règlements exhaustifs sur la conception, la construction et les visites périodiques de bateaux. Ces règles et règlements doivent être publiés, continuellement mis à jour et améliorés au moyen de programmes de recherche et de développement.</w:t>
            </w:r>
          </w:p>
        </w:tc>
        <w:tc>
          <w:tcPr>
            <w:tcW w:w="1254" w:type="dxa"/>
            <w:tcBorders>
              <w:top w:val="single" w:sz="4" w:space="0" w:color="auto"/>
              <w:bottom w:val="single" w:sz="4" w:space="0" w:color="auto"/>
            </w:tcBorders>
            <w:shd w:val="clear" w:color="auto" w:fill="auto"/>
          </w:tcPr>
          <w:p w14:paraId="001D1F61" w14:textId="77A30CBA" w:rsidR="008A4819" w:rsidRPr="008A4819" w:rsidRDefault="008A4819" w:rsidP="005A7F24">
            <w:pPr>
              <w:suppressAutoHyphens w:val="0"/>
              <w:spacing w:before="40" w:after="120"/>
              <w:ind w:right="113"/>
              <w:jc w:val="center"/>
            </w:pPr>
            <w:r w:rsidRPr="008A4819">
              <w:t xml:space="preserve">Annexe VI </w:t>
            </w:r>
            <w:r w:rsidR="00D4279C">
              <w:t xml:space="preserve">para. </w:t>
            </w:r>
            <w:r w:rsidRPr="008A4819">
              <w:t>1</w:t>
            </w:r>
          </w:p>
        </w:tc>
        <w:tc>
          <w:tcPr>
            <w:tcW w:w="4359" w:type="dxa"/>
            <w:tcBorders>
              <w:top w:val="single" w:sz="4" w:space="0" w:color="auto"/>
              <w:bottom w:val="single" w:sz="4" w:space="0" w:color="auto"/>
            </w:tcBorders>
            <w:shd w:val="clear" w:color="auto" w:fill="auto"/>
          </w:tcPr>
          <w:p w14:paraId="78497DEA" w14:textId="77777777" w:rsidR="008A4819" w:rsidRPr="00D4279C" w:rsidRDefault="008A4819" w:rsidP="005A7F24">
            <w:pPr>
              <w:suppressAutoHyphens w:val="0"/>
              <w:spacing w:before="40" w:after="120"/>
              <w:ind w:right="113"/>
              <w:jc w:val="both"/>
            </w:pPr>
            <w:r w:rsidRPr="00D4279C">
              <w:t xml:space="preserve">La société de classification est en mesure de justifier d'une expérience exhaustive dans l'appréciation de la conception et de la construction des bateaux de navigation intérieure. La société de classification dispose de règles et règlements exhaustifs concernant la conception, la construction et la visite périodique des bateaux de navigation intérieure, en particulier pour le calcul de la stabilité conforme à la partie 9 des règlements annexés à l'ADN tel que visé à l'annexe II. </w:t>
            </w:r>
            <w:r w:rsidRPr="00D4279C">
              <w:rPr>
                <w:shd w:val="clear" w:color="auto" w:fill="FFFFFF" w:themeFill="background1"/>
              </w:rPr>
              <w:t xml:space="preserve">Ces règles et règlements sont publiés au moins en allemand, en anglais, en français </w:t>
            </w:r>
            <w:r w:rsidRPr="00D4279C">
              <w:rPr>
                <w:b/>
                <w:bCs/>
                <w:shd w:val="clear" w:color="auto" w:fill="FFFFFF" w:themeFill="background1"/>
              </w:rPr>
              <w:t>et</w:t>
            </w:r>
            <w:r w:rsidRPr="00D4279C">
              <w:rPr>
                <w:shd w:val="clear" w:color="auto" w:fill="FFFFFF" w:themeFill="background1"/>
              </w:rPr>
              <w:t xml:space="preserve"> en néerlandais</w:t>
            </w:r>
            <w:r w:rsidRPr="00D4279C">
              <w:t>, et sont continuellement mis à jour et améliorés au moyen de programmes de recherche et de développement. Ces règles et règlements ne doivent pas être en contradiction avec les dispositions du droit de l'Union et des accords internationaux en vigueur.</w:t>
            </w:r>
          </w:p>
        </w:tc>
        <w:tc>
          <w:tcPr>
            <w:tcW w:w="2329" w:type="dxa"/>
            <w:tcBorders>
              <w:top w:val="single" w:sz="4" w:space="0" w:color="auto"/>
              <w:bottom w:val="single" w:sz="4" w:space="0" w:color="auto"/>
            </w:tcBorders>
            <w:shd w:val="clear" w:color="auto" w:fill="auto"/>
          </w:tcPr>
          <w:p w14:paraId="36706442" w14:textId="77777777" w:rsidR="008A4819" w:rsidRPr="00D4279C" w:rsidRDefault="008A4819" w:rsidP="00830355">
            <w:pPr>
              <w:suppressAutoHyphens w:val="0"/>
              <w:spacing w:before="40" w:after="120"/>
              <w:ind w:left="140" w:right="113"/>
            </w:pPr>
            <w:r w:rsidRPr="00D4279C">
              <w:t>Notions très voisines entre les deux textes</w:t>
            </w:r>
          </w:p>
          <w:p w14:paraId="10C30F92" w14:textId="77777777" w:rsidR="008A4819" w:rsidRPr="00D4279C" w:rsidRDefault="008A4819" w:rsidP="00830355">
            <w:pPr>
              <w:suppressAutoHyphens w:val="0"/>
              <w:spacing w:before="40" w:after="120"/>
              <w:ind w:left="140" w:right="113"/>
            </w:pPr>
          </w:p>
          <w:p w14:paraId="2639147B" w14:textId="77777777" w:rsidR="008A4819" w:rsidRPr="00D4279C" w:rsidRDefault="008A4819" w:rsidP="00830355">
            <w:pPr>
              <w:suppressAutoHyphens w:val="0"/>
              <w:spacing w:before="40" w:after="120"/>
              <w:ind w:left="140" w:right="113"/>
            </w:pPr>
          </w:p>
          <w:p w14:paraId="76D36E40" w14:textId="77777777" w:rsidR="008A4819" w:rsidRPr="00D4279C" w:rsidRDefault="008A4819" w:rsidP="00830355">
            <w:pPr>
              <w:suppressAutoHyphens w:val="0"/>
              <w:spacing w:before="40" w:after="120"/>
              <w:ind w:left="140" w:right="113"/>
            </w:pPr>
            <w:r w:rsidRPr="00D4279C">
              <w:t>La version anglaise de la Directive parle de "</w:t>
            </w:r>
            <w:r w:rsidRPr="00830355">
              <w:t>Dutch, English, French or German"</w:t>
            </w:r>
          </w:p>
          <w:p w14:paraId="2839769A" w14:textId="77777777" w:rsidR="008A4819" w:rsidRPr="00D4279C" w:rsidRDefault="008A4819" w:rsidP="00830355">
            <w:pPr>
              <w:suppressAutoHyphens w:val="0"/>
              <w:spacing w:before="40" w:after="120"/>
              <w:ind w:left="140" w:right="113"/>
            </w:pPr>
          </w:p>
          <w:p w14:paraId="3F87B468" w14:textId="77777777" w:rsidR="008A4819" w:rsidRPr="00D4279C" w:rsidRDefault="008A4819" w:rsidP="00830355">
            <w:pPr>
              <w:suppressAutoHyphens w:val="0"/>
              <w:spacing w:before="40" w:after="120"/>
              <w:ind w:left="140" w:right="113"/>
            </w:pPr>
            <w:r w:rsidRPr="00D4279C">
              <w:t>(Probablement une erreur dans la Version Française)</w:t>
            </w:r>
          </w:p>
        </w:tc>
      </w:tr>
      <w:tr w:rsidR="008A4819" w:rsidRPr="008A4819" w14:paraId="125C2BE4" w14:textId="77777777" w:rsidTr="007D7587">
        <w:tc>
          <w:tcPr>
            <w:tcW w:w="1134" w:type="dxa"/>
            <w:tcBorders>
              <w:top w:val="single" w:sz="4" w:space="0" w:color="auto"/>
              <w:bottom w:val="single" w:sz="4" w:space="0" w:color="auto"/>
            </w:tcBorders>
            <w:shd w:val="clear" w:color="auto" w:fill="auto"/>
          </w:tcPr>
          <w:p w14:paraId="0B0CE4CF" w14:textId="77777777" w:rsidR="008A4819" w:rsidRPr="008A4819" w:rsidRDefault="008A4819" w:rsidP="005A7F24">
            <w:pPr>
              <w:suppressAutoHyphens w:val="0"/>
              <w:spacing w:before="40" w:after="120"/>
              <w:ind w:right="113"/>
              <w:jc w:val="both"/>
            </w:pPr>
            <w:r w:rsidRPr="008A4819">
              <w:t>1.15.3.2</w:t>
            </w:r>
          </w:p>
        </w:tc>
        <w:tc>
          <w:tcPr>
            <w:tcW w:w="5019" w:type="dxa"/>
            <w:tcBorders>
              <w:top w:val="single" w:sz="4" w:space="0" w:color="auto"/>
              <w:bottom w:val="single" w:sz="4" w:space="0" w:color="auto"/>
            </w:tcBorders>
            <w:shd w:val="clear" w:color="auto" w:fill="auto"/>
          </w:tcPr>
          <w:p w14:paraId="08B27F44" w14:textId="77777777" w:rsidR="008A4819" w:rsidRPr="008A4819" w:rsidRDefault="008A4819" w:rsidP="005A7F24">
            <w:pPr>
              <w:suppressAutoHyphens w:val="0"/>
              <w:spacing w:before="40" w:after="120"/>
              <w:ind w:right="113"/>
              <w:jc w:val="both"/>
            </w:pPr>
            <w:r w:rsidRPr="008A4819">
              <w:t>Le registre des bateaux classés par la société de classification est publié annuellement.</w:t>
            </w:r>
          </w:p>
        </w:tc>
        <w:tc>
          <w:tcPr>
            <w:tcW w:w="1254" w:type="dxa"/>
            <w:tcBorders>
              <w:top w:val="single" w:sz="4" w:space="0" w:color="auto"/>
              <w:bottom w:val="single" w:sz="4" w:space="0" w:color="auto"/>
            </w:tcBorders>
            <w:shd w:val="clear" w:color="auto" w:fill="auto"/>
          </w:tcPr>
          <w:p w14:paraId="42C911AB" w14:textId="77F4818D" w:rsidR="008A4819" w:rsidRPr="008A4819" w:rsidRDefault="008A4819" w:rsidP="005A7F24">
            <w:pPr>
              <w:suppressAutoHyphens w:val="0"/>
              <w:spacing w:before="40" w:after="120"/>
              <w:ind w:right="113"/>
              <w:jc w:val="center"/>
            </w:pPr>
            <w:r w:rsidRPr="008A4819">
              <w:t xml:space="preserve">Annexe VI </w:t>
            </w:r>
            <w:r w:rsidR="00D4279C">
              <w:t xml:space="preserve">para. </w:t>
            </w:r>
            <w:r w:rsidRPr="008A4819">
              <w:t>2</w:t>
            </w:r>
          </w:p>
        </w:tc>
        <w:tc>
          <w:tcPr>
            <w:tcW w:w="4359" w:type="dxa"/>
            <w:tcBorders>
              <w:top w:val="single" w:sz="4" w:space="0" w:color="auto"/>
              <w:bottom w:val="single" w:sz="4" w:space="0" w:color="auto"/>
            </w:tcBorders>
            <w:shd w:val="clear" w:color="auto" w:fill="auto"/>
          </w:tcPr>
          <w:p w14:paraId="36B7AF47" w14:textId="77777777" w:rsidR="008A4819" w:rsidRPr="008A4819" w:rsidRDefault="008A4819" w:rsidP="005A7F24">
            <w:pPr>
              <w:suppressAutoHyphens w:val="0"/>
              <w:spacing w:before="40" w:after="120"/>
              <w:ind w:right="113"/>
              <w:jc w:val="both"/>
            </w:pPr>
            <w:r w:rsidRPr="008A4819">
              <w:t>Le registre des bateaux classés par la société de classification est publié annuellement.</w:t>
            </w:r>
          </w:p>
        </w:tc>
        <w:tc>
          <w:tcPr>
            <w:tcW w:w="2329" w:type="dxa"/>
            <w:tcBorders>
              <w:top w:val="single" w:sz="4" w:space="0" w:color="auto"/>
              <w:bottom w:val="single" w:sz="4" w:space="0" w:color="auto"/>
            </w:tcBorders>
            <w:shd w:val="clear" w:color="auto" w:fill="auto"/>
          </w:tcPr>
          <w:p w14:paraId="3FCC0EAF" w14:textId="77777777" w:rsidR="008A4819" w:rsidRPr="008A4819" w:rsidRDefault="008A4819" w:rsidP="00830355">
            <w:pPr>
              <w:suppressAutoHyphens w:val="0"/>
              <w:spacing w:before="40" w:after="120"/>
              <w:ind w:left="140" w:right="113"/>
            </w:pPr>
            <w:r w:rsidRPr="008A4819">
              <w:t>Notions identiques entre les deux textes</w:t>
            </w:r>
          </w:p>
        </w:tc>
      </w:tr>
      <w:tr w:rsidR="008A4819" w:rsidRPr="008A4819" w14:paraId="271702FE" w14:textId="77777777" w:rsidTr="007D7587">
        <w:tc>
          <w:tcPr>
            <w:tcW w:w="1134" w:type="dxa"/>
            <w:tcBorders>
              <w:top w:val="single" w:sz="4" w:space="0" w:color="auto"/>
              <w:bottom w:val="single" w:sz="4" w:space="0" w:color="auto"/>
            </w:tcBorders>
            <w:shd w:val="clear" w:color="auto" w:fill="auto"/>
          </w:tcPr>
          <w:p w14:paraId="750C74E9" w14:textId="77777777" w:rsidR="008A4819" w:rsidRPr="008A4819" w:rsidRDefault="008A4819" w:rsidP="005A7F24">
            <w:pPr>
              <w:suppressAutoHyphens w:val="0"/>
              <w:spacing w:before="40" w:after="120"/>
              <w:ind w:right="113"/>
              <w:jc w:val="both"/>
            </w:pPr>
            <w:r w:rsidRPr="008A4819">
              <w:t>1.15.3.3</w:t>
            </w:r>
          </w:p>
        </w:tc>
        <w:tc>
          <w:tcPr>
            <w:tcW w:w="5019" w:type="dxa"/>
            <w:tcBorders>
              <w:top w:val="single" w:sz="4" w:space="0" w:color="auto"/>
              <w:bottom w:val="single" w:sz="4" w:space="0" w:color="auto"/>
            </w:tcBorders>
            <w:shd w:val="clear" w:color="auto" w:fill="auto"/>
          </w:tcPr>
          <w:p w14:paraId="79EDF97D" w14:textId="77777777" w:rsidR="008A4819" w:rsidRPr="008A4819" w:rsidRDefault="008A4819" w:rsidP="005A7F24">
            <w:pPr>
              <w:suppressAutoHyphens w:val="0"/>
              <w:spacing w:before="40" w:after="120"/>
              <w:ind w:right="113"/>
              <w:jc w:val="both"/>
            </w:pPr>
            <w:r w:rsidRPr="008A4819">
              <w:t>La société de classification ne doit pas être sous le contrôle d'armateurs ou de constructeurs de bateaux, ou d'autres personnes exerçant des activités commerciales dans le domaine de la fabrication, de l'équipement, de la réparation ou de l'exploitation des bateaux. Les recettes de la société de classification ne doivent pas dépendre de manière significative d'une seule entreprise commerciale.</w:t>
            </w:r>
          </w:p>
        </w:tc>
        <w:tc>
          <w:tcPr>
            <w:tcW w:w="1254" w:type="dxa"/>
            <w:tcBorders>
              <w:top w:val="single" w:sz="4" w:space="0" w:color="auto"/>
              <w:bottom w:val="single" w:sz="4" w:space="0" w:color="auto"/>
            </w:tcBorders>
            <w:shd w:val="clear" w:color="auto" w:fill="auto"/>
          </w:tcPr>
          <w:p w14:paraId="39893183" w14:textId="77A83877" w:rsidR="008A4819" w:rsidRPr="008A4819" w:rsidRDefault="008A4819" w:rsidP="005A7F24">
            <w:pPr>
              <w:suppressAutoHyphens w:val="0"/>
              <w:spacing w:before="40" w:after="120"/>
              <w:ind w:right="113"/>
              <w:jc w:val="center"/>
            </w:pPr>
            <w:r w:rsidRPr="008A4819">
              <w:t xml:space="preserve">Annexe VI </w:t>
            </w:r>
            <w:r w:rsidR="00D4279C">
              <w:t xml:space="preserve">para. </w:t>
            </w:r>
            <w:r w:rsidRPr="008A4819">
              <w:t>3</w:t>
            </w:r>
          </w:p>
        </w:tc>
        <w:tc>
          <w:tcPr>
            <w:tcW w:w="4359" w:type="dxa"/>
            <w:tcBorders>
              <w:top w:val="single" w:sz="4" w:space="0" w:color="auto"/>
              <w:bottom w:val="single" w:sz="4" w:space="0" w:color="auto"/>
            </w:tcBorders>
            <w:shd w:val="clear" w:color="auto" w:fill="auto"/>
          </w:tcPr>
          <w:p w14:paraId="5F3D473A" w14:textId="77777777" w:rsidR="008A4819" w:rsidRPr="008A4819" w:rsidRDefault="008A4819" w:rsidP="005A7F24">
            <w:pPr>
              <w:suppressAutoHyphens w:val="0"/>
              <w:spacing w:before="40" w:after="120"/>
              <w:ind w:right="113"/>
              <w:jc w:val="both"/>
            </w:pPr>
            <w:r w:rsidRPr="008A4819">
              <w:t>La société de classification est un organisme indépendant de tout propriétaire de bateau, de toute entreprise ou de tiers exerçant une activité commerciale dans le domaine de la conception, de la construction, de l'équipement, de la réparation, de l'exploitation ou de l'assurance des bateaux. Le chiffre d'affaires de la société de classification ne doit pas être réalisé avec une seule entreprise.</w:t>
            </w:r>
          </w:p>
        </w:tc>
        <w:tc>
          <w:tcPr>
            <w:tcW w:w="2329" w:type="dxa"/>
            <w:tcBorders>
              <w:top w:val="single" w:sz="4" w:space="0" w:color="auto"/>
              <w:bottom w:val="single" w:sz="4" w:space="0" w:color="auto"/>
            </w:tcBorders>
            <w:shd w:val="clear" w:color="auto" w:fill="auto"/>
          </w:tcPr>
          <w:p w14:paraId="4CE277B4" w14:textId="77777777" w:rsidR="008A4819" w:rsidRPr="008A4819" w:rsidRDefault="008A4819" w:rsidP="00830355">
            <w:pPr>
              <w:suppressAutoHyphens w:val="0"/>
              <w:spacing w:before="40" w:after="120"/>
              <w:ind w:left="140" w:right="113"/>
            </w:pPr>
            <w:r w:rsidRPr="008A4819">
              <w:t>Notions identiques entre les deux textes</w:t>
            </w:r>
          </w:p>
        </w:tc>
      </w:tr>
      <w:tr w:rsidR="008A4819" w:rsidRPr="008A4819" w14:paraId="0321C4D8" w14:textId="77777777" w:rsidTr="00E6122C">
        <w:trPr>
          <w:cantSplit/>
        </w:trPr>
        <w:tc>
          <w:tcPr>
            <w:tcW w:w="1134" w:type="dxa"/>
            <w:tcBorders>
              <w:top w:val="single" w:sz="4" w:space="0" w:color="auto"/>
              <w:bottom w:val="single" w:sz="4" w:space="0" w:color="auto"/>
            </w:tcBorders>
            <w:shd w:val="clear" w:color="auto" w:fill="auto"/>
          </w:tcPr>
          <w:p w14:paraId="38DA9281" w14:textId="77777777" w:rsidR="008A4819" w:rsidRPr="008A4819" w:rsidRDefault="008A4819" w:rsidP="005A7F24">
            <w:pPr>
              <w:suppressAutoHyphens w:val="0"/>
              <w:spacing w:before="40" w:after="120"/>
              <w:ind w:right="113"/>
              <w:jc w:val="both"/>
            </w:pPr>
            <w:r w:rsidRPr="008A4819">
              <w:lastRenderedPageBreak/>
              <w:t>1.15.3.4</w:t>
            </w:r>
          </w:p>
        </w:tc>
        <w:tc>
          <w:tcPr>
            <w:tcW w:w="5019" w:type="dxa"/>
            <w:tcBorders>
              <w:top w:val="single" w:sz="4" w:space="0" w:color="auto"/>
              <w:bottom w:val="single" w:sz="4" w:space="0" w:color="auto"/>
            </w:tcBorders>
            <w:shd w:val="clear" w:color="auto" w:fill="auto"/>
          </w:tcPr>
          <w:p w14:paraId="34333C9A" w14:textId="77777777" w:rsidR="008A4819" w:rsidRPr="008A4819" w:rsidRDefault="008A4819" w:rsidP="005A7F24">
            <w:pPr>
              <w:suppressAutoHyphens w:val="0"/>
              <w:spacing w:before="40" w:after="120"/>
              <w:ind w:right="113"/>
              <w:jc w:val="both"/>
            </w:pPr>
            <w:r w:rsidRPr="008A4819">
              <w:t>Le siège ou une succursale de la société de classification ayant pouvoir et capacité de statuer et d'agir dans tous les domaines qui lui incombent dans le cadre des règlements qui régissent la navigation intérieure est situé dans l'une des Parties contractantes.</w:t>
            </w:r>
          </w:p>
        </w:tc>
        <w:tc>
          <w:tcPr>
            <w:tcW w:w="1254" w:type="dxa"/>
            <w:tcBorders>
              <w:top w:val="single" w:sz="4" w:space="0" w:color="auto"/>
              <w:bottom w:val="single" w:sz="4" w:space="0" w:color="auto"/>
            </w:tcBorders>
            <w:shd w:val="clear" w:color="auto" w:fill="auto"/>
          </w:tcPr>
          <w:p w14:paraId="2CA89C57" w14:textId="71F6B420" w:rsidR="008A4819" w:rsidRPr="008A4819" w:rsidRDefault="008A4819" w:rsidP="005A7F24">
            <w:pPr>
              <w:suppressAutoHyphens w:val="0"/>
              <w:spacing w:before="40" w:after="120"/>
              <w:ind w:right="113"/>
              <w:jc w:val="center"/>
            </w:pPr>
            <w:r w:rsidRPr="008A4819">
              <w:t xml:space="preserve">Annexe VI </w:t>
            </w:r>
            <w:r w:rsidR="00D4279C">
              <w:t xml:space="preserve">para. </w:t>
            </w:r>
            <w:r w:rsidRPr="008A4819">
              <w:t>4</w:t>
            </w:r>
          </w:p>
        </w:tc>
        <w:tc>
          <w:tcPr>
            <w:tcW w:w="4359" w:type="dxa"/>
            <w:tcBorders>
              <w:top w:val="single" w:sz="4" w:space="0" w:color="auto"/>
              <w:bottom w:val="single" w:sz="4" w:space="0" w:color="auto"/>
            </w:tcBorders>
            <w:shd w:val="clear" w:color="auto" w:fill="auto"/>
          </w:tcPr>
          <w:p w14:paraId="5B827884" w14:textId="77777777" w:rsidR="008A4819" w:rsidRPr="008A4819" w:rsidRDefault="008A4819" w:rsidP="005A7F24">
            <w:pPr>
              <w:suppressAutoHyphens w:val="0"/>
              <w:spacing w:before="40" w:after="120"/>
              <w:ind w:right="113"/>
              <w:jc w:val="both"/>
            </w:pPr>
            <w:r w:rsidRPr="008A4819">
              <w:t>Le siège ou une filiale de la société de classification ayant pouvoir et capacité de statuer et d'agir dans tous les domaines qui lui incombent dans le cadre des règlements qui régissent la navigation intérieure sont situés dans l'un des États membres.</w:t>
            </w:r>
          </w:p>
        </w:tc>
        <w:tc>
          <w:tcPr>
            <w:tcW w:w="2329" w:type="dxa"/>
            <w:tcBorders>
              <w:top w:val="single" w:sz="4" w:space="0" w:color="auto"/>
              <w:bottom w:val="single" w:sz="4" w:space="0" w:color="auto"/>
            </w:tcBorders>
            <w:shd w:val="clear" w:color="auto" w:fill="auto"/>
          </w:tcPr>
          <w:p w14:paraId="375641A9" w14:textId="77777777" w:rsidR="008A4819" w:rsidRPr="008A4819" w:rsidRDefault="008A4819" w:rsidP="00830355">
            <w:pPr>
              <w:suppressAutoHyphens w:val="0"/>
              <w:spacing w:before="40" w:after="120"/>
              <w:ind w:left="140" w:right="113"/>
            </w:pPr>
            <w:r w:rsidRPr="008A4819">
              <w:t>Notions très voisines entre les deux textes</w:t>
            </w:r>
          </w:p>
        </w:tc>
      </w:tr>
      <w:tr w:rsidR="008A4819" w:rsidRPr="008A4819" w14:paraId="264AAB4F" w14:textId="77777777" w:rsidTr="007D7587">
        <w:tc>
          <w:tcPr>
            <w:tcW w:w="1134" w:type="dxa"/>
            <w:tcBorders>
              <w:top w:val="single" w:sz="4" w:space="0" w:color="auto"/>
              <w:bottom w:val="single" w:sz="4" w:space="0" w:color="auto"/>
            </w:tcBorders>
            <w:shd w:val="clear" w:color="auto" w:fill="auto"/>
          </w:tcPr>
          <w:p w14:paraId="41893AC8" w14:textId="77777777" w:rsidR="008A4819" w:rsidRPr="008A4819" w:rsidRDefault="008A4819" w:rsidP="005A7F24">
            <w:pPr>
              <w:suppressAutoHyphens w:val="0"/>
              <w:spacing w:before="40" w:after="120"/>
              <w:ind w:right="113"/>
              <w:jc w:val="both"/>
            </w:pPr>
            <w:r w:rsidRPr="008A4819">
              <w:t>1.15.3.5</w:t>
            </w:r>
          </w:p>
        </w:tc>
        <w:tc>
          <w:tcPr>
            <w:tcW w:w="5019" w:type="dxa"/>
            <w:tcBorders>
              <w:top w:val="single" w:sz="4" w:space="0" w:color="auto"/>
              <w:bottom w:val="single" w:sz="4" w:space="0" w:color="auto"/>
            </w:tcBorders>
            <w:shd w:val="clear" w:color="auto" w:fill="auto"/>
          </w:tcPr>
          <w:p w14:paraId="48A0D9DC" w14:textId="77777777" w:rsidR="008A4819" w:rsidRPr="008A4819" w:rsidRDefault="008A4819" w:rsidP="005A7F24">
            <w:pPr>
              <w:suppressAutoHyphens w:val="0"/>
              <w:spacing w:before="40" w:after="120"/>
              <w:ind w:right="113"/>
              <w:jc w:val="both"/>
            </w:pPr>
            <w:r w:rsidRPr="008A4819">
              <w:t>La société de classification ainsi que ses experts ont une bonne renommée dans la navigation intérieure; ceux-ci peuvent justifier de leurs capacités professionnelles.</w:t>
            </w:r>
          </w:p>
        </w:tc>
        <w:tc>
          <w:tcPr>
            <w:tcW w:w="1254" w:type="dxa"/>
            <w:tcBorders>
              <w:top w:val="single" w:sz="4" w:space="0" w:color="auto"/>
              <w:bottom w:val="single" w:sz="4" w:space="0" w:color="auto"/>
            </w:tcBorders>
            <w:shd w:val="clear" w:color="auto" w:fill="auto"/>
          </w:tcPr>
          <w:p w14:paraId="5DD2972D" w14:textId="7C20A36C" w:rsidR="008A4819" w:rsidRPr="008A4819" w:rsidRDefault="008A4819" w:rsidP="005A7F24">
            <w:pPr>
              <w:suppressAutoHyphens w:val="0"/>
              <w:spacing w:before="40" w:after="120"/>
              <w:ind w:right="113"/>
              <w:jc w:val="center"/>
            </w:pPr>
            <w:r w:rsidRPr="008A4819">
              <w:t xml:space="preserve">Annexe VI </w:t>
            </w:r>
            <w:r w:rsidR="00D4279C">
              <w:t xml:space="preserve">para. </w:t>
            </w:r>
            <w:r w:rsidRPr="008A4819">
              <w:t>5</w:t>
            </w:r>
          </w:p>
        </w:tc>
        <w:tc>
          <w:tcPr>
            <w:tcW w:w="4359" w:type="dxa"/>
            <w:tcBorders>
              <w:top w:val="single" w:sz="4" w:space="0" w:color="auto"/>
              <w:bottom w:val="single" w:sz="4" w:space="0" w:color="auto"/>
            </w:tcBorders>
            <w:shd w:val="clear" w:color="auto" w:fill="auto"/>
          </w:tcPr>
          <w:p w14:paraId="72FE7369" w14:textId="77777777" w:rsidR="008A4819" w:rsidRPr="008A4819" w:rsidRDefault="008A4819" w:rsidP="005A7F24">
            <w:pPr>
              <w:suppressAutoHyphens w:val="0"/>
              <w:spacing w:before="40" w:after="120"/>
              <w:ind w:right="113"/>
              <w:jc w:val="both"/>
            </w:pPr>
            <w:r w:rsidRPr="008A4819">
              <w:t>La société de classification ainsi que ses experts ont une bonne renommée dans la navigation intérieure; les experts doivent être en mesure de justifier leur qualification professionnelle. Ils doivent agir sous la responsabilité de la société de classification;</w:t>
            </w:r>
          </w:p>
        </w:tc>
        <w:tc>
          <w:tcPr>
            <w:tcW w:w="2329" w:type="dxa"/>
            <w:tcBorders>
              <w:top w:val="single" w:sz="4" w:space="0" w:color="auto"/>
              <w:bottom w:val="single" w:sz="4" w:space="0" w:color="auto"/>
            </w:tcBorders>
            <w:shd w:val="clear" w:color="auto" w:fill="auto"/>
          </w:tcPr>
          <w:p w14:paraId="269E69B9" w14:textId="77777777" w:rsidR="008A4819" w:rsidRPr="008A4819" w:rsidRDefault="008A4819" w:rsidP="00830355">
            <w:pPr>
              <w:suppressAutoHyphens w:val="0"/>
              <w:spacing w:before="40" w:after="120"/>
              <w:ind w:left="140" w:right="113"/>
            </w:pPr>
            <w:r w:rsidRPr="008A4819">
              <w:t>Notions très voisines entre les deux textes</w:t>
            </w:r>
          </w:p>
        </w:tc>
      </w:tr>
      <w:tr w:rsidR="008A4819" w:rsidRPr="008A4819" w14:paraId="50CE0A57" w14:textId="77777777" w:rsidTr="007D7587">
        <w:tc>
          <w:tcPr>
            <w:tcW w:w="1134" w:type="dxa"/>
            <w:tcBorders>
              <w:top w:val="single" w:sz="4" w:space="0" w:color="auto"/>
              <w:bottom w:val="single" w:sz="4" w:space="0" w:color="auto"/>
            </w:tcBorders>
            <w:shd w:val="clear" w:color="auto" w:fill="auto"/>
          </w:tcPr>
          <w:p w14:paraId="199ACC05" w14:textId="77777777" w:rsidR="008A4819" w:rsidRPr="008A4819" w:rsidRDefault="008A4819" w:rsidP="005A7F24">
            <w:pPr>
              <w:suppressAutoHyphens w:val="0"/>
              <w:spacing w:before="40" w:after="120"/>
              <w:ind w:right="113"/>
              <w:jc w:val="both"/>
            </w:pPr>
            <w:r w:rsidRPr="008A4819">
              <w:t>1.15.3.6</w:t>
            </w:r>
          </w:p>
        </w:tc>
        <w:tc>
          <w:tcPr>
            <w:tcW w:w="5019" w:type="dxa"/>
            <w:tcBorders>
              <w:top w:val="single" w:sz="4" w:space="0" w:color="auto"/>
              <w:bottom w:val="single" w:sz="4" w:space="0" w:color="auto"/>
            </w:tcBorders>
            <w:shd w:val="clear" w:color="auto" w:fill="auto"/>
          </w:tcPr>
          <w:p w14:paraId="629198E2" w14:textId="77777777" w:rsidR="008A4819" w:rsidRPr="008A4819" w:rsidRDefault="008A4819" w:rsidP="005A7F24">
            <w:pPr>
              <w:suppressAutoHyphens w:val="0"/>
              <w:spacing w:before="40" w:after="120"/>
              <w:ind w:right="113"/>
              <w:jc w:val="both"/>
            </w:pPr>
            <w:r w:rsidRPr="008A4819">
              <w:t>La société de classification :</w:t>
            </w:r>
          </w:p>
          <w:p w14:paraId="06A2F15E" w14:textId="3B37E63D" w:rsidR="008A4819" w:rsidRPr="008A4819" w:rsidRDefault="00275408" w:rsidP="005A7F24">
            <w:pPr>
              <w:suppressAutoHyphens w:val="0"/>
              <w:spacing w:before="40" w:after="120"/>
              <w:ind w:right="113"/>
              <w:jc w:val="both"/>
            </w:pPr>
            <w:r>
              <w:t xml:space="preserve">- </w:t>
            </w:r>
            <w:r w:rsidR="008A4819" w:rsidRPr="008A4819">
              <w:t>Dispose d'un nombre suffisant de collaborateurs et d'ingénieurs pour les tâches techniques de surveillance et d'inspection ainsi que pour les tâches de direction, de soutien et de recherche, proportionné aux tâches et au nombre des bateaux classés et suffisant en outre pour le maintien à jour des prescriptions et pour leur développement conforme aux exigences de qualité ;</w:t>
            </w:r>
          </w:p>
          <w:p w14:paraId="34125FC4" w14:textId="138C6C62" w:rsidR="008A4819" w:rsidRPr="008A4819" w:rsidRDefault="00275408" w:rsidP="005A7F24">
            <w:pPr>
              <w:suppressAutoHyphens w:val="0"/>
              <w:spacing w:before="40" w:after="120"/>
              <w:ind w:right="113"/>
              <w:jc w:val="both"/>
            </w:pPr>
            <w:r>
              <w:t xml:space="preserve">- </w:t>
            </w:r>
            <w:r w:rsidR="008A4819" w:rsidRPr="008A4819">
              <w:t>Maintient des experts dans au moins deux Parties contractantes.</w:t>
            </w:r>
          </w:p>
        </w:tc>
        <w:tc>
          <w:tcPr>
            <w:tcW w:w="1254" w:type="dxa"/>
            <w:tcBorders>
              <w:top w:val="single" w:sz="4" w:space="0" w:color="auto"/>
              <w:bottom w:val="single" w:sz="4" w:space="0" w:color="auto"/>
            </w:tcBorders>
            <w:shd w:val="clear" w:color="auto" w:fill="auto"/>
          </w:tcPr>
          <w:p w14:paraId="3FF0BA05" w14:textId="7102728A" w:rsidR="008A4819" w:rsidRPr="008A4819" w:rsidRDefault="008A4819" w:rsidP="005A7F24">
            <w:pPr>
              <w:suppressAutoHyphens w:val="0"/>
              <w:spacing w:before="40" w:after="120"/>
              <w:ind w:right="113"/>
              <w:jc w:val="center"/>
            </w:pPr>
            <w:r w:rsidRPr="008A4819">
              <w:t xml:space="preserve">Annexe VI </w:t>
            </w:r>
            <w:r w:rsidR="00D4279C">
              <w:t xml:space="preserve">para. </w:t>
            </w:r>
            <w:r w:rsidRPr="008A4819">
              <w:t>6</w:t>
            </w:r>
          </w:p>
        </w:tc>
        <w:tc>
          <w:tcPr>
            <w:tcW w:w="4359" w:type="dxa"/>
            <w:tcBorders>
              <w:top w:val="single" w:sz="4" w:space="0" w:color="auto"/>
              <w:bottom w:val="single" w:sz="4" w:space="0" w:color="auto"/>
            </w:tcBorders>
            <w:shd w:val="clear" w:color="auto" w:fill="auto"/>
          </w:tcPr>
          <w:p w14:paraId="111D272A" w14:textId="77777777" w:rsidR="008A4819" w:rsidRPr="008A4819" w:rsidRDefault="008A4819" w:rsidP="005A7F24">
            <w:pPr>
              <w:suppressAutoHyphens w:val="0"/>
              <w:spacing w:before="40" w:after="120"/>
              <w:ind w:right="113"/>
              <w:jc w:val="both"/>
            </w:pPr>
            <w:r w:rsidRPr="008A4819">
              <w:t>La société de classification dispose de personnel en nombre suffisant et proportionnel aux tâches à accomplir et au nombre de bateaux classés pour effectuer les travaux techniques de gestion, de soutien, de contrôle, de visite, de recherche et pour veiller à l'adaptation permanente des capacités ainsi que du règlement. Elle assure la présence d'inspecteurs dans au moins un État membre;</w:t>
            </w:r>
          </w:p>
        </w:tc>
        <w:tc>
          <w:tcPr>
            <w:tcW w:w="2329" w:type="dxa"/>
            <w:tcBorders>
              <w:top w:val="single" w:sz="4" w:space="0" w:color="auto"/>
              <w:bottom w:val="single" w:sz="4" w:space="0" w:color="auto"/>
            </w:tcBorders>
            <w:shd w:val="clear" w:color="auto" w:fill="auto"/>
          </w:tcPr>
          <w:p w14:paraId="26742577" w14:textId="77777777" w:rsidR="008A4819" w:rsidRPr="008A4819" w:rsidRDefault="008A4819" w:rsidP="00830355">
            <w:pPr>
              <w:suppressAutoHyphens w:val="0"/>
              <w:spacing w:before="40" w:after="120"/>
              <w:ind w:left="140" w:right="113"/>
            </w:pPr>
            <w:r w:rsidRPr="008A4819">
              <w:t>Notions très voisines entre les deux textes</w:t>
            </w:r>
          </w:p>
        </w:tc>
      </w:tr>
      <w:tr w:rsidR="008A4819" w:rsidRPr="008A4819" w14:paraId="1DDDFD15" w14:textId="77777777" w:rsidTr="007D7587">
        <w:tc>
          <w:tcPr>
            <w:tcW w:w="1134" w:type="dxa"/>
            <w:tcBorders>
              <w:top w:val="single" w:sz="4" w:space="0" w:color="auto"/>
              <w:bottom w:val="single" w:sz="4" w:space="0" w:color="auto"/>
            </w:tcBorders>
            <w:shd w:val="clear" w:color="auto" w:fill="auto"/>
          </w:tcPr>
          <w:p w14:paraId="0B6F89B8" w14:textId="77777777" w:rsidR="008A4819" w:rsidRPr="008A4819" w:rsidRDefault="008A4819" w:rsidP="005A7F24">
            <w:pPr>
              <w:suppressAutoHyphens w:val="0"/>
              <w:spacing w:before="40" w:after="120"/>
              <w:ind w:right="113"/>
              <w:jc w:val="both"/>
            </w:pPr>
            <w:r w:rsidRPr="008A4819">
              <w:t>1.15.3.7</w:t>
            </w:r>
          </w:p>
        </w:tc>
        <w:tc>
          <w:tcPr>
            <w:tcW w:w="5019" w:type="dxa"/>
            <w:tcBorders>
              <w:top w:val="single" w:sz="4" w:space="0" w:color="auto"/>
              <w:bottom w:val="single" w:sz="4" w:space="0" w:color="auto"/>
            </w:tcBorders>
            <w:shd w:val="clear" w:color="auto" w:fill="auto"/>
          </w:tcPr>
          <w:p w14:paraId="510310B7" w14:textId="77777777" w:rsidR="008A4819" w:rsidRPr="008A4819" w:rsidRDefault="008A4819" w:rsidP="005A7F24">
            <w:pPr>
              <w:suppressAutoHyphens w:val="0"/>
              <w:spacing w:before="40" w:after="120"/>
              <w:ind w:right="113"/>
              <w:jc w:val="both"/>
            </w:pPr>
            <w:r w:rsidRPr="008A4819">
              <w:t>La société de classification est régie par un code de déontologie.</w:t>
            </w:r>
          </w:p>
        </w:tc>
        <w:tc>
          <w:tcPr>
            <w:tcW w:w="1254" w:type="dxa"/>
            <w:tcBorders>
              <w:top w:val="single" w:sz="4" w:space="0" w:color="auto"/>
              <w:bottom w:val="single" w:sz="4" w:space="0" w:color="auto"/>
            </w:tcBorders>
            <w:shd w:val="clear" w:color="auto" w:fill="auto"/>
          </w:tcPr>
          <w:p w14:paraId="7DA51125" w14:textId="0903BDD3" w:rsidR="008A4819" w:rsidRPr="008A4819" w:rsidRDefault="008A4819" w:rsidP="005A7F24">
            <w:pPr>
              <w:suppressAutoHyphens w:val="0"/>
              <w:spacing w:before="40" w:after="120"/>
              <w:ind w:right="113"/>
              <w:jc w:val="center"/>
            </w:pPr>
            <w:r w:rsidRPr="008A4819">
              <w:t xml:space="preserve">Annexe VI </w:t>
            </w:r>
            <w:r w:rsidR="00D4279C">
              <w:t xml:space="preserve">para. </w:t>
            </w:r>
            <w:r w:rsidRPr="008A4819">
              <w:t>7</w:t>
            </w:r>
          </w:p>
        </w:tc>
        <w:tc>
          <w:tcPr>
            <w:tcW w:w="4359" w:type="dxa"/>
            <w:tcBorders>
              <w:top w:val="single" w:sz="4" w:space="0" w:color="auto"/>
              <w:bottom w:val="single" w:sz="4" w:space="0" w:color="auto"/>
            </w:tcBorders>
            <w:shd w:val="clear" w:color="auto" w:fill="auto"/>
          </w:tcPr>
          <w:p w14:paraId="408FC262" w14:textId="77777777" w:rsidR="008A4819" w:rsidRPr="008A4819" w:rsidRDefault="008A4819" w:rsidP="005A7F24">
            <w:pPr>
              <w:suppressAutoHyphens w:val="0"/>
              <w:spacing w:before="40" w:after="120"/>
              <w:ind w:right="113"/>
              <w:jc w:val="both"/>
            </w:pPr>
            <w:r w:rsidRPr="008A4819">
              <w:t>La société de classification intervient conformément aux principes du code de déontologie</w:t>
            </w:r>
          </w:p>
        </w:tc>
        <w:tc>
          <w:tcPr>
            <w:tcW w:w="2329" w:type="dxa"/>
            <w:tcBorders>
              <w:top w:val="single" w:sz="4" w:space="0" w:color="auto"/>
              <w:bottom w:val="single" w:sz="4" w:space="0" w:color="auto"/>
            </w:tcBorders>
            <w:shd w:val="clear" w:color="auto" w:fill="auto"/>
          </w:tcPr>
          <w:p w14:paraId="662112E0" w14:textId="77777777" w:rsidR="008A4819" w:rsidRPr="008A4819" w:rsidRDefault="008A4819" w:rsidP="00830355">
            <w:pPr>
              <w:suppressAutoHyphens w:val="0"/>
              <w:spacing w:before="40" w:after="120"/>
              <w:ind w:left="140" w:right="113"/>
            </w:pPr>
            <w:r w:rsidRPr="008A4819">
              <w:t>Notions identiques entre les deux textes</w:t>
            </w:r>
          </w:p>
        </w:tc>
      </w:tr>
      <w:tr w:rsidR="008A4819" w:rsidRPr="008A4819" w14:paraId="22D27AE9" w14:textId="77777777" w:rsidTr="007D7587">
        <w:tc>
          <w:tcPr>
            <w:tcW w:w="1134" w:type="dxa"/>
            <w:tcBorders>
              <w:top w:val="single" w:sz="4" w:space="0" w:color="auto"/>
              <w:bottom w:val="single" w:sz="4" w:space="0" w:color="auto"/>
            </w:tcBorders>
            <w:shd w:val="clear" w:color="auto" w:fill="auto"/>
          </w:tcPr>
          <w:p w14:paraId="6842E312" w14:textId="77777777" w:rsidR="008A4819" w:rsidRPr="008A4819" w:rsidRDefault="008A4819" w:rsidP="005A7F24">
            <w:pPr>
              <w:suppressAutoHyphens w:val="0"/>
              <w:spacing w:before="40" w:after="120"/>
              <w:ind w:right="113"/>
              <w:jc w:val="both"/>
            </w:pPr>
          </w:p>
        </w:tc>
        <w:tc>
          <w:tcPr>
            <w:tcW w:w="5019" w:type="dxa"/>
            <w:tcBorders>
              <w:top w:val="single" w:sz="4" w:space="0" w:color="auto"/>
              <w:bottom w:val="single" w:sz="4" w:space="0" w:color="auto"/>
            </w:tcBorders>
            <w:shd w:val="clear" w:color="auto" w:fill="auto"/>
          </w:tcPr>
          <w:p w14:paraId="690E1E93" w14:textId="77777777" w:rsidR="008A4819" w:rsidRPr="008A4819" w:rsidRDefault="008A4819" w:rsidP="005A7F24">
            <w:pPr>
              <w:suppressAutoHyphens w:val="0"/>
              <w:spacing w:before="40" w:after="120"/>
              <w:ind w:right="113"/>
              <w:jc w:val="both"/>
            </w:pPr>
          </w:p>
        </w:tc>
        <w:tc>
          <w:tcPr>
            <w:tcW w:w="1254" w:type="dxa"/>
            <w:tcBorders>
              <w:top w:val="single" w:sz="4" w:space="0" w:color="auto"/>
              <w:bottom w:val="single" w:sz="4" w:space="0" w:color="auto"/>
            </w:tcBorders>
            <w:shd w:val="clear" w:color="auto" w:fill="auto"/>
          </w:tcPr>
          <w:p w14:paraId="5DB7E2F7" w14:textId="66F29C9E" w:rsidR="008A4819" w:rsidRPr="008A4819" w:rsidRDefault="008A4819" w:rsidP="005A7F24">
            <w:pPr>
              <w:suppressAutoHyphens w:val="0"/>
              <w:spacing w:before="40" w:after="120"/>
              <w:ind w:right="113"/>
              <w:jc w:val="center"/>
            </w:pPr>
            <w:r w:rsidRPr="008A4819">
              <w:t xml:space="preserve">Annexe VI </w:t>
            </w:r>
            <w:r w:rsidR="00D4279C">
              <w:t xml:space="preserve">para. </w:t>
            </w:r>
            <w:r w:rsidRPr="008A4819">
              <w:t>8</w:t>
            </w:r>
          </w:p>
        </w:tc>
        <w:tc>
          <w:tcPr>
            <w:tcW w:w="4359" w:type="dxa"/>
            <w:tcBorders>
              <w:top w:val="single" w:sz="4" w:space="0" w:color="auto"/>
              <w:bottom w:val="single" w:sz="4" w:space="0" w:color="auto"/>
            </w:tcBorders>
            <w:shd w:val="clear" w:color="auto" w:fill="auto"/>
          </w:tcPr>
          <w:p w14:paraId="728AF758" w14:textId="77777777" w:rsidR="008A4819" w:rsidRPr="008A4819" w:rsidRDefault="008A4819" w:rsidP="005A7F24">
            <w:pPr>
              <w:suppressAutoHyphens w:val="0"/>
              <w:spacing w:before="40" w:after="120"/>
              <w:ind w:right="113"/>
              <w:jc w:val="both"/>
            </w:pPr>
            <w:r w:rsidRPr="008A4819">
              <w:t>La société de classification est gérée et administrée de manière à garantir la confidentialité des renseignements exigés par un État membre</w:t>
            </w:r>
          </w:p>
        </w:tc>
        <w:tc>
          <w:tcPr>
            <w:tcW w:w="2329" w:type="dxa"/>
            <w:tcBorders>
              <w:top w:val="single" w:sz="4" w:space="0" w:color="auto"/>
              <w:bottom w:val="single" w:sz="4" w:space="0" w:color="auto"/>
            </w:tcBorders>
            <w:shd w:val="clear" w:color="auto" w:fill="auto"/>
          </w:tcPr>
          <w:p w14:paraId="583FCE19" w14:textId="77777777" w:rsidR="008A4819" w:rsidRPr="008A4819" w:rsidRDefault="008A4819" w:rsidP="008A4819">
            <w:pPr>
              <w:suppressAutoHyphens w:val="0"/>
              <w:spacing w:before="40" w:after="120"/>
              <w:ind w:right="113"/>
            </w:pPr>
          </w:p>
        </w:tc>
      </w:tr>
      <w:tr w:rsidR="008A4819" w:rsidRPr="008A4819" w14:paraId="2D600636" w14:textId="77777777" w:rsidTr="007D7587">
        <w:tc>
          <w:tcPr>
            <w:tcW w:w="1134" w:type="dxa"/>
            <w:tcBorders>
              <w:top w:val="single" w:sz="4" w:space="0" w:color="auto"/>
              <w:bottom w:val="single" w:sz="4" w:space="0" w:color="auto"/>
            </w:tcBorders>
            <w:shd w:val="clear" w:color="auto" w:fill="auto"/>
          </w:tcPr>
          <w:p w14:paraId="7FC210B6" w14:textId="77777777" w:rsidR="008A4819" w:rsidRPr="008A4819" w:rsidRDefault="008A4819" w:rsidP="005A7F24">
            <w:pPr>
              <w:suppressAutoHyphens w:val="0"/>
              <w:spacing w:before="40" w:after="120"/>
              <w:ind w:right="113"/>
              <w:jc w:val="both"/>
            </w:pPr>
          </w:p>
        </w:tc>
        <w:tc>
          <w:tcPr>
            <w:tcW w:w="5019" w:type="dxa"/>
            <w:tcBorders>
              <w:top w:val="single" w:sz="4" w:space="0" w:color="auto"/>
              <w:bottom w:val="single" w:sz="4" w:space="0" w:color="auto"/>
            </w:tcBorders>
            <w:shd w:val="clear" w:color="auto" w:fill="auto"/>
          </w:tcPr>
          <w:p w14:paraId="53080EAD" w14:textId="77777777" w:rsidR="008A4819" w:rsidRPr="008A4819" w:rsidRDefault="008A4819" w:rsidP="005A7F24">
            <w:pPr>
              <w:suppressAutoHyphens w:val="0"/>
              <w:spacing w:before="40" w:after="120"/>
              <w:ind w:right="113"/>
              <w:jc w:val="both"/>
            </w:pPr>
          </w:p>
        </w:tc>
        <w:tc>
          <w:tcPr>
            <w:tcW w:w="1254" w:type="dxa"/>
            <w:tcBorders>
              <w:top w:val="single" w:sz="4" w:space="0" w:color="auto"/>
              <w:bottom w:val="single" w:sz="4" w:space="0" w:color="auto"/>
            </w:tcBorders>
            <w:shd w:val="clear" w:color="auto" w:fill="auto"/>
          </w:tcPr>
          <w:p w14:paraId="7727E6B9" w14:textId="3A8EAB81" w:rsidR="008A4819" w:rsidRPr="008A4819" w:rsidRDefault="008A4819" w:rsidP="005A7F24">
            <w:pPr>
              <w:suppressAutoHyphens w:val="0"/>
              <w:spacing w:before="40" w:after="120"/>
              <w:ind w:right="113"/>
              <w:jc w:val="center"/>
            </w:pPr>
            <w:r w:rsidRPr="008A4819">
              <w:t xml:space="preserve">Annexe VI </w:t>
            </w:r>
            <w:r w:rsidR="00D4279C">
              <w:t xml:space="preserve">para. </w:t>
            </w:r>
            <w:r w:rsidRPr="008A4819">
              <w:t>10</w:t>
            </w:r>
          </w:p>
        </w:tc>
        <w:tc>
          <w:tcPr>
            <w:tcW w:w="4359" w:type="dxa"/>
            <w:tcBorders>
              <w:top w:val="single" w:sz="4" w:space="0" w:color="auto"/>
              <w:bottom w:val="single" w:sz="4" w:space="0" w:color="auto"/>
            </w:tcBorders>
            <w:shd w:val="clear" w:color="auto" w:fill="auto"/>
          </w:tcPr>
          <w:p w14:paraId="50CB4C47" w14:textId="77777777" w:rsidR="008A4819" w:rsidRPr="008A4819" w:rsidRDefault="008A4819" w:rsidP="005A7F24">
            <w:pPr>
              <w:suppressAutoHyphens w:val="0"/>
              <w:spacing w:before="40" w:after="120"/>
              <w:ind w:right="113"/>
              <w:jc w:val="both"/>
            </w:pPr>
            <w:r w:rsidRPr="008A4819">
              <w:t>La direction de la société de classification a défini et documenté sa politique et ses objectifs en matière de qualité, ainsi que son attachement à ces objectifs et s'est assurée que cette politique est comprise, appliquée et maintenue à tous les niveaux de la société de classification</w:t>
            </w:r>
          </w:p>
        </w:tc>
        <w:tc>
          <w:tcPr>
            <w:tcW w:w="2329" w:type="dxa"/>
            <w:tcBorders>
              <w:top w:val="single" w:sz="4" w:space="0" w:color="auto"/>
              <w:bottom w:val="single" w:sz="4" w:space="0" w:color="auto"/>
            </w:tcBorders>
            <w:shd w:val="clear" w:color="auto" w:fill="auto"/>
          </w:tcPr>
          <w:p w14:paraId="223A306A" w14:textId="77777777" w:rsidR="008A4819" w:rsidRPr="008A4819" w:rsidRDefault="008A4819" w:rsidP="00830355">
            <w:pPr>
              <w:suppressAutoHyphens w:val="0"/>
              <w:spacing w:before="40" w:after="120"/>
              <w:ind w:left="140" w:right="113"/>
            </w:pPr>
            <w:r w:rsidRPr="008A4819">
              <w:t>Très comparable aux exigences générales de la Norme ISO 9001</w:t>
            </w:r>
          </w:p>
        </w:tc>
      </w:tr>
      <w:tr w:rsidR="008A4819" w:rsidRPr="008A4819" w14:paraId="6C81DBB1" w14:textId="77777777" w:rsidTr="007D7587">
        <w:tc>
          <w:tcPr>
            <w:tcW w:w="1134" w:type="dxa"/>
            <w:vMerge w:val="restart"/>
            <w:tcBorders>
              <w:top w:val="single" w:sz="4" w:space="0" w:color="auto"/>
              <w:bottom w:val="single" w:sz="4" w:space="0" w:color="auto"/>
            </w:tcBorders>
            <w:shd w:val="clear" w:color="auto" w:fill="auto"/>
          </w:tcPr>
          <w:p w14:paraId="57DB05D4" w14:textId="77777777" w:rsidR="008A4819" w:rsidRPr="008A4819" w:rsidRDefault="008A4819" w:rsidP="00E57615">
            <w:pPr>
              <w:pageBreakBefore/>
              <w:suppressAutoHyphens w:val="0"/>
              <w:spacing w:before="40" w:after="120"/>
              <w:ind w:right="113"/>
              <w:jc w:val="both"/>
            </w:pPr>
            <w:r w:rsidRPr="008A4819">
              <w:lastRenderedPageBreak/>
              <w:t>1.15.3.8</w:t>
            </w:r>
          </w:p>
        </w:tc>
        <w:tc>
          <w:tcPr>
            <w:tcW w:w="5019" w:type="dxa"/>
            <w:vMerge w:val="restart"/>
            <w:tcBorders>
              <w:top w:val="single" w:sz="4" w:space="0" w:color="auto"/>
              <w:bottom w:val="single" w:sz="4" w:space="0" w:color="auto"/>
            </w:tcBorders>
            <w:shd w:val="clear" w:color="auto" w:fill="auto"/>
          </w:tcPr>
          <w:p w14:paraId="087B8969" w14:textId="77777777" w:rsidR="008A4819" w:rsidRPr="008A4819" w:rsidRDefault="008A4819" w:rsidP="005A7F24">
            <w:pPr>
              <w:suppressAutoHyphens w:val="0"/>
              <w:spacing w:before="40" w:after="120"/>
              <w:ind w:right="113"/>
              <w:jc w:val="both"/>
            </w:pPr>
            <w:r w:rsidRPr="008A4819">
              <w:t>La société de classification a élaboré, a mis en œuvre et maintient un système efficace de qualité interne fondé sur les aspects pertinents des normes de qualité internationalement reconnues et conforme aux normes EN ISO/IEC 17020:2012 (sauf clause 8.1.3) (organismes de contrôle) et ISO 9001 ou EN ISO 9001:2015. Ce système est certifié par un corps indépendant de vérificateurs reconnus par l'administration de l'État dans lequel il est implanté.</w:t>
            </w:r>
          </w:p>
          <w:p w14:paraId="06532A22" w14:textId="77777777" w:rsidR="008A4819" w:rsidRPr="008A4819" w:rsidRDefault="008A4819" w:rsidP="005A7F24">
            <w:pPr>
              <w:suppressAutoHyphens w:val="0"/>
              <w:spacing w:before="40" w:after="120"/>
              <w:ind w:right="113"/>
              <w:jc w:val="both"/>
            </w:pPr>
          </w:p>
          <w:p w14:paraId="4A215805" w14:textId="74034E3D" w:rsidR="008A4819" w:rsidRPr="008A4819" w:rsidRDefault="008A4819" w:rsidP="005A7F24">
            <w:pPr>
              <w:suppressAutoHyphens w:val="0"/>
              <w:spacing w:before="40" w:after="120"/>
              <w:ind w:right="113"/>
              <w:jc w:val="both"/>
              <w:rPr>
                <w:i/>
                <w:lang w:val="en-GB"/>
              </w:rPr>
            </w:pPr>
          </w:p>
        </w:tc>
        <w:tc>
          <w:tcPr>
            <w:tcW w:w="1254" w:type="dxa"/>
            <w:tcBorders>
              <w:top w:val="single" w:sz="4" w:space="0" w:color="auto"/>
              <w:bottom w:val="single" w:sz="4" w:space="0" w:color="auto"/>
            </w:tcBorders>
            <w:shd w:val="clear" w:color="auto" w:fill="auto"/>
          </w:tcPr>
          <w:p w14:paraId="7C3A9E51" w14:textId="1D99DEF7" w:rsidR="008A4819" w:rsidRPr="008A4819" w:rsidRDefault="008A4819" w:rsidP="005A7F24">
            <w:pPr>
              <w:suppressAutoHyphens w:val="0"/>
              <w:spacing w:before="40" w:after="120"/>
              <w:ind w:right="113"/>
              <w:jc w:val="center"/>
            </w:pPr>
            <w:r w:rsidRPr="008A4819">
              <w:t xml:space="preserve">Annexe VI </w:t>
            </w:r>
            <w:r w:rsidR="00D4279C">
              <w:t xml:space="preserve">para. </w:t>
            </w:r>
            <w:r w:rsidRPr="008A4819">
              <w:t>11</w:t>
            </w:r>
          </w:p>
        </w:tc>
        <w:tc>
          <w:tcPr>
            <w:tcW w:w="4359" w:type="dxa"/>
            <w:tcBorders>
              <w:top w:val="single" w:sz="4" w:space="0" w:color="auto"/>
              <w:bottom w:val="single" w:sz="4" w:space="0" w:color="auto"/>
            </w:tcBorders>
            <w:shd w:val="clear" w:color="auto" w:fill="auto"/>
          </w:tcPr>
          <w:p w14:paraId="6FD875D8" w14:textId="77777777" w:rsidR="008A4819" w:rsidRPr="008A4819" w:rsidRDefault="008A4819" w:rsidP="005A7F24">
            <w:pPr>
              <w:suppressAutoHyphens w:val="0"/>
              <w:spacing w:before="40" w:after="120"/>
              <w:ind w:right="113"/>
              <w:jc w:val="both"/>
            </w:pPr>
            <w:r w:rsidRPr="008A4819">
              <w:t xml:space="preserve">La société de classification élabore, met en œuvre et maintient un système efficace de qualité interne fondé sur les éléments pertinents de normes de qualité reconnues sur le plan international et conforme aux normes </w:t>
            </w:r>
            <w:r w:rsidRPr="00D4279C">
              <w:rPr>
                <w:shd w:val="clear" w:color="auto" w:fill="FFFFFF" w:themeFill="background1"/>
              </w:rPr>
              <w:t>EN ISO/IEC 17020:2004, dans l'interprétation qui en est faite par les prescriptions du programme de certification de qualité de l'IACS</w:t>
            </w:r>
            <w:r w:rsidRPr="008A4819">
              <w:t>. Le système de garantie de qualité doit être certifié par un organisme indépendant reconnu par l'administration de l'État dans lequel la société de classification a établi son siège ou la succursale visés au point 4 et assure notamment que :</w:t>
            </w:r>
          </w:p>
          <w:p w14:paraId="5E2DD960" w14:textId="46C9C374" w:rsidR="008A4819" w:rsidRPr="008A4819" w:rsidRDefault="008A4819" w:rsidP="005A7F24">
            <w:pPr>
              <w:tabs>
                <w:tab w:val="left" w:pos="536"/>
              </w:tabs>
              <w:suppressAutoHyphens w:val="0"/>
              <w:spacing w:before="40" w:after="120"/>
              <w:ind w:right="113" w:firstLine="252"/>
              <w:jc w:val="both"/>
            </w:pPr>
            <w:r w:rsidRPr="008A4819">
              <w:t xml:space="preserve">a) </w:t>
            </w:r>
            <w:r w:rsidR="00D4279C">
              <w:tab/>
            </w:r>
            <w:r w:rsidRPr="008A4819">
              <w:t>les règles et règlements de la société de classification sont établis et maintenus de manière systématique,</w:t>
            </w:r>
          </w:p>
          <w:p w14:paraId="1FF92619" w14:textId="455C092A" w:rsidR="008A4819" w:rsidRPr="008A4819" w:rsidRDefault="008A4819" w:rsidP="005A7F24">
            <w:pPr>
              <w:tabs>
                <w:tab w:val="left" w:pos="536"/>
              </w:tabs>
              <w:suppressAutoHyphens w:val="0"/>
              <w:spacing w:before="40" w:after="120"/>
              <w:ind w:right="113" w:firstLine="252"/>
              <w:jc w:val="both"/>
            </w:pPr>
            <w:r w:rsidRPr="008A4819">
              <w:t xml:space="preserve">b) </w:t>
            </w:r>
            <w:r w:rsidR="00D4279C">
              <w:tab/>
            </w:r>
            <w:r w:rsidRPr="008A4819">
              <w:t>les règles et règlements de la société de classification sont respectés,</w:t>
            </w:r>
          </w:p>
          <w:p w14:paraId="343747FA" w14:textId="76D869CB" w:rsidR="008A4819" w:rsidRPr="008A4819" w:rsidRDefault="008A4819" w:rsidP="005A7F24">
            <w:pPr>
              <w:tabs>
                <w:tab w:val="left" w:pos="536"/>
              </w:tabs>
              <w:suppressAutoHyphens w:val="0"/>
              <w:spacing w:before="40" w:after="120"/>
              <w:ind w:right="113" w:firstLine="252"/>
              <w:jc w:val="both"/>
            </w:pPr>
            <w:r w:rsidRPr="008A4819">
              <w:t xml:space="preserve">c) </w:t>
            </w:r>
            <w:r w:rsidR="00D4279C">
              <w:tab/>
            </w:r>
            <w:r w:rsidRPr="008A4819">
              <w:t>les normes du travail réglementaire pour lequel la société de classification est habilitée sont respectées,</w:t>
            </w:r>
          </w:p>
          <w:p w14:paraId="47D112D1" w14:textId="675F9345" w:rsidR="008A4819" w:rsidRPr="008A4819" w:rsidRDefault="008A4819" w:rsidP="005A7F24">
            <w:pPr>
              <w:tabs>
                <w:tab w:val="left" w:pos="536"/>
              </w:tabs>
              <w:suppressAutoHyphens w:val="0"/>
              <w:spacing w:before="40" w:after="120"/>
              <w:ind w:right="113" w:firstLine="252"/>
              <w:jc w:val="both"/>
            </w:pPr>
            <w:r w:rsidRPr="008A4819">
              <w:t xml:space="preserve">d) </w:t>
            </w:r>
            <w:r w:rsidR="00D4279C">
              <w:tab/>
            </w:r>
            <w:r w:rsidRPr="008A4819">
              <w:t>les responsabilités, les pouvoirs et les relations entre les membres du personnel dont le travail influe sur la qualité des services offerts par la société de classification sont définis et documentés,</w:t>
            </w:r>
          </w:p>
          <w:p w14:paraId="3ACBC354" w14:textId="58A1A817" w:rsidR="008A4819" w:rsidRPr="008A4819" w:rsidRDefault="008A4819" w:rsidP="005A7F24">
            <w:pPr>
              <w:tabs>
                <w:tab w:val="left" w:pos="536"/>
              </w:tabs>
              <w:suppressAutoHyphens w:val="0"/>
              <w:spacing w:before="40" w:after="120"/>
              <w:ind w:right="113" w:firstLine="252"/>
              <w:jc w:val="both"/>
            </w:pPr>
            <w:r w:rsidRPr="008A4819">
              <w:t xml:space="preserve">e) </w:t>
            </w:r>
            <w:r w:rsidR="00D4279C">
              <w:tab/>
            </w:r>
            <w:r w:rsidRPr="008A4819">
              <w:t>tous les travaux sont effectués sous contrôle,</w:t>
            </w:r>
          </w:p>
          <w:p w14:paraId="36113A78" w14:textId="4CBA5505" w:rsidR="008A4819" w:rsidRPr="008A4819" w:rsidRDefault="008A4819" w:rsidP="005A7F24">
            <w:pPr>
              <w:tabs>
                <w:tab w:val="left" w:pos="536"/>
              </w:tabs>
              <w:suppressAutoHyphens w:val="0"/>
              <w:spacing w:before="40" w:after="120"/>
              <w:ind w:right="113" w:firstLine="252"/>
              <w:jc w:val="both"/>
            </w:pPr>
            <w:r w:rsidRPr="008A4819">
              <w:t xml:space="preserve">f) </w:t>
            </w:r>
            <w:r w:rsidR="00D4279C">
              <w:tab/>
            </w:r>
            <w:r w:rsidRPr="008A4819">
              <w:t>un système de supervision permet de contrôler les mesures prises et les travaux effectués par les inspecteurs et le personnel technique et administratif directement employés par la société de classification,</w:t>
            </w:r>
          </w:p>
          <w:p w14:paraId="4DFCD5F9" w14:textId="1A1EB153" w:rsidR="008A4819" w:rsidRPr="008A4819" w:rsidRDefault="008A4819" w:rsidP="005A7F24">
            <w:pPr>
              <w:tabs>
                <w:tab w:val="left" w:pos="536"/>
              </w:tabs>
              <w:suppressAutoHyphens w:val="0"/>
              <w:spacing w:before="40" w:after="120"/>
              <w:ind w:right="113" w:firstLine="252"/>
              <w:jc w:val="both"/>
            </w:pPr>
            <w:r w:rsidRPr="008A4819">
              <w:t xml:space="preserve">g) </w:t>
            </w:r>
            <w:r w:rsidR="00D4279C">
              <w:tab/>
            </w:r>
            <w:r w:rsidRPr="008A4819">
              <w:t xml:space="preserve">les normes des principaux travaux réglementaires pour lesquels la société de classification est habilitée ne sont appliquées ou directement supervisées que par ses inspecteurs </w:t>
            </w:r>
            <w:r w:rsidRPr="008A4819">
              <w:lastRenderedPageBreak/>
              <w:t>exclusifs ou par des inspecteurs exclusifs d'autres sociétés de classification agréées,</w:t>
            </w:r>
          </w:p>
          <w:p w14:paraId="77A99D20" w14:textId="2685755A" w:rsidR="008A4819" w:rsidRPr="008A4819" w:rsidRDefault="008A4819" w:rsidP="005A7F24">
            <w:pPr>
              <w:tabs>
                <w:tab w:val="left" w:pos="536"/>
              </w:tabs>
              <w:suppressAutoHyphens w:val="0"/>
              <w:spacing w:before="40" w:after="120"/>
              <w:ind w:right="113" w:firstLine="252"/>
              <w:jc w:val="both"/>
            </w:pPr>
            <w:r w:rsidRPr="008A4819">
              <w:t xml:space="preserve">h) </w:t>
            </w:r>
            <w:r w:rsidR="00D4279C">
              <w:tab/>
            </w:r>
            <w:r w:rsidRPr="008A4819">
              <w:t>il existe un système de qualification des inspecteurs et de mise à jour régulière de leurs connaissances,</w:t>
            </w:r>
          </w:p>
          <w:p w14:paraId="40FDD580" w14:textId="68F3BA03" w:rsidR="008A4819" w:rsidRPr="008A4819" w:rsidRDefault="008A4819" w:rsidP="005A7F24">
            <w:pPr>
              <w:tabs>
                <w:tab w:val="left" w:pos="536"/>
              </w:tabs>
              <w:suppressAutoHyphens w:val="0"/>
              <w:spacing w:before="40" w:after="120"/>
              <w:ind w:right="113" w:firstLine="252"/>
              <w:jc w:val="both"/>
            </w:pPr>
            <w:r w:rsidRPr="008A4819">
              <w:t xml:space="preserve">i) </w:t>
            </w:r>
            <w:r w:rsidR="00D4279C">
              <w:tab/>
            </w:r>
            <w:r w:rsidRPr="008A4819">
              <w:t>des livres sont tenus, montrant que les normes prescrites ont été respectées dans les différents domaines où des services ont été fournis et que le système de qualité fonctionne efficacement, et</w:t>
            </w:r>
          </w:p>
          <w:p w14:paraId="64F47986" w14:textId="547C6A93" w:rsidR="008A4819" w:rsidRPr="008A4819" w:rsidRDefault="008A4819" w:rsidP="005A7F24">
            <w:pPr>
              <w:tabs>
                <w:tab w:val="left" w:pos="536"/>
              </w:tabs>
              <w:suppressAutoHyphens w:val="0"/>
              <w:spacing w:before="40" w:after="120"/>
              <w:ind w:right="113" w:firstLine="252"/>
              <w:jc w:val="both"/>
            </w:pPr>
            <w:r w:rsidRPr="008A4819">
              <w:t xml:space="preserve">j) </w:t>
            </w:r>
            <w:r w:rsidR="00D4279C">
              <w:tab/>
            </w:r>
            <w:r w:rsidRPr="008A4819">
              <w:t>il existe un système général de vérifications internes, planifié et documenté, des activités liées à la qualité, où qu'elles aient été exercées.</w:t>
            </w:r>
          </w:p>
        </w:tc>
        <w:tc>
          <w:tcPr>
            <w:tcW w:w="2329" w:type="dxa"/>
            <w:tcBorders>
              <w:top w:val="single" w:sz="4" w:space="0" w:color="auto"/>
              <w:bottom w:val="single" w:sz="4" w:space="0" w:color="auto"/>
            </w:tcBorders>
            <w:shd w:val="clear" w:color="auto" w:fill="auto"/>
          </w:tcPr>
          <w:p w14:paraId="11E6E459" w14:textId="77777777" w:rsidR="008A4819" w:rsidRPr="008A4819" w:rsidRDefault="008A4819" w:rsidP="00830355">
            <w:pPr>
              <w:suppressAutoHyphens w:val="0"/>
              <w:spacing w:before="40" w:after="120"/>
              <w:ind w:left="140" w:right="113"/>
            </w:pPr>
            <w:r w:rsidRPr="008A4819">
              <w:lastRenderedPageBreak/>
              <w:t>L’énumération des critères a) à j) dans la Directive couvre les 8.1.1, 8.1.2, et 8.2 à 8.6 de la Norme ISO 17020</w:t>
            </w:r>
          </w:p>
          <w:p w14:paraId="61D2D590" w14:textId="77777777" w:rsidR="008A4819" w:rsidRPr="008A4819" w:rsidRDefault="008A4819" w:rsidP="00830355">
            <w:pPr>
              <w:suppressAutoHyphens w:val="0"/>
              <w:spacing w:before="40" w:after="120"/>
              <w:ind w:left="140" w:right="113"/>
            </w:pPr>
          </w:p>
          <w:p w14:paraId="7057EE18" w14:textId="77777777" w:rsidR="008A4819" w:rsidRPr="008A4819" w:rsidRDefault="008A4819" w:rsidP="00830355">
            <w:pPr>
              <w:suppressAutoHyphens w:val="0"/>
              <w:spacing w:before="40" w:after="120"/>
              <w:ind w:left="140" w:right="113"/>
            </w:pPr>
            <w:r w:rsidRPr="008A4819">
              <w:t>La principale différence apparente entre les deux textes se situe dans le rattachement du corps indépendant de vérificateurs :</w:t>
            </w:r>
          </w:p>
          <w:p w14:paraId="7856076D" w14:textId="1F036ED7" w:rsidR="008A4819" w:rsidRPr="008A4819" w:rsidRDefault="00275408" w:rsidP="00830355">
            <w:pPr>
              <w:suppressAutoHyphens w:val="0"/>
              <w:spacing w:before="40" w:after="120"/>
              <w:ind w:left="140" w:right="113"/>
            </w:pPr>
            <w:r>
              <w:t xml:space="preserve">- </w:t>
            </w:r>
            <w:r w:rsidR="008A4819" w:rsidRPr="008A4819">
              <w:t>Dans l’État de rattachement du corps de vérificateurs (VF de l’ADN, avec une ambiguïté dans le texte anglais de l’ADN) ;</w:t>
            </w:r>
          </w:p>
          <w:p w14:paraId="1767D26B" w14:textId="18F3262A" w:rsidR="008A4819" w:rsidRPr="008A4819" w:rsidRDefault="00275408" w:rsidP="00830355">
            <w:pPr>
              <w:suppressAutoHyphens w:val="0"/>
              <w:spacing w:before="40" w:after="120"/>
              <w:ind w:left="140" w:right="113"/>
            </w:pPr>
            <w:r>
              <w:t xml:space="preserve">- </w:t>
            </w:r>
            <w:r w:rsidR="008A4819" w:rsidRPr="008A4819">
              <w:t>Dans l’État de rattachement de la SC dans le texte de la Directive</w:t>
            </w:r>
          </w:p>
          <w:p w14:paraId="0500030E" w14:textId="77777777" w:rsidR="008A4819" w:rsidRPr="008A4819" w:rsidRDefault="008A4819" w:rsidP="00830355">
            <w:pPr>
              <w:suppressAutoHyphens w:val="0"/>
              <w:spacing w:before="40" w:after="120"/>
              <w:ind w:left="140" w:right="113"/>
            </w:pPr>
            <w:r w:rsidRPr="008A4819">
              <w:t>Le texte de la Directive est plus clair et semble plus cohérent que l’ADN en français.</w:t>
            </w:r>
          </w:p>
        </w:tc>
      </w:tr>
      <w:tr w:rsidR="008A4819" w:rsidRPr="008A4819" w14:paraId="52554875" w14:textId="77777777" w:rsidTr="007D7587">
        <w:tc>
          <w:tcPr>
            <w:tcW w:w="1134" w:type="dxa"/>
            <w:vMerge/>
            <w:tcBorders>
              <w:top w:val="single" w:sz="4" w:space="0" w:color="auto"/>
              <w:bottom w:val="single" w:sz="4" w:space="0" w:color="auto"/>
            </w:tcBorders>
            <w:shd w:val="clear" w:color="auto" w:fill="auto"/>
          </w:tcPr>
          <w:p w14:paraId="4CD60A90" w14:textId="77777777" w:rsidR="008A4819" w:rsidRPr="008A4819" w:rsidRDefault="008A4819" w:rsidP="005A7F24">
            <w:pPr>
              <w:suppressAutoHyphens w:val="0"/>
              <w:spacing w:before="40" w:after="120"/>
              <w:ind w:right="113"/>
              <w:jc w:val="both"/>
            </w:pPr>
          </w:p>
        </w:tc>
        <w:tc>
          <w:tcPr>
            <w:tcW w:w="5019" w:type="dxa"/>
            <w:vMerge/>
            <w:tcBorders>
              <w:top w:val="single" w:sz="4" w:space="0" w:color="auto"/>
              <w:bottom w:val="single" w:sz="4" w:space="0" w:color="auto"/>
            </w:tcBorders>
            <w:shd w:val="clear" w:color="auto" w:fill="auto"/>
          </w:tcPr>
          <w:p w14:paraId="4A601A7E" w14:textId="77777777" w:rsidR="008A4819" w:rsidRPr="008A4819" w:rsidRDefault="008A4819" w:rsidP="005A7F24">
            <w:pPr>
              <w:suppressAutoHyphens w:val="0"/>
              <w:spacing w:before="40" w:after="120"/>
              <w:ind w:right="113"/>
              <w:jc w:val="both"/>
            </w:pPr>
          </w:p>
        </w:tc>
        <w:tc>
          <w:tcPr>
            <w:tcW w:w="1254" w:type="dxa"/>
            <w:tcBorders>
              <w:top w:val="single" w:sz="4" w:space="0" w:color="auto"/>
              <w:bottom w:val="single" w:sz="4" w:space="0" w:color="auto"/>
            </w:tcBorders>
            <w:shd w:val="clear" w:color="auto" w:fill="auto"/>
          </w:tcPr>
          <w:p w14:paraId="63E527FE" w14:textId="57EC35F0" w:rsidR="008A4819" w:rsidRPr="008A4819" w:rsidRDefault="008A4819" w:rsidP="005A7F24">
            <w:pPr>
              <w:suppressAutoHyphens w:val="0"/>
              <w:spacing w:before="40" w:after="120"/>
              <w:ind w:right="113"/>
              <w:jc w:val="center"/>
            </w:pPr>
            <w:r w:rsidRPr="008A4819">
              <w:t xml:space="preserve">Annexe VI </w:t>
            </w:r>
            <w:r w:rsidR="00D4279C">
              <w:t xml:space="preserve">para. </w:t>
            </w:r>
            <w:r w:rsidRPr="008A4819">
              <w:t>12</w:t>
            </w:r>
          </w:p>
        </w:tc>
        <w:tc>
          <w:tcPr>
            <w:tcW w:w="4359" w:type="dxa"/>
            <w:tcBorders>
              <w:top w:val="single" w:sz="4" w:space="0" w:color="auto"/>
              <w:bottom w:val="single" w:sz="4" w:space="0" w:color="auto"/>
            </w:tcBorders>
            <w:shd w:val="clear" w:color="auto" w:fill="auto"/>
          </w:tcPr>
          <w:p w14:paraId="693C1B67" w14:textId="77777777" w:rsidR="008A4819" w:rsidRPr="008A4819" w:rsidRDefault="008A4819" w:rsidP="005A7F24">
            <w:pPr>
              <w:suppressAutoHyphens w:val="0"/>
              <w:spacing w:before="40" w:after="120"/>
              <w:ind w:right="113"/>
              <w:jc w:val="both"/>
            </w:pPr>
            <w:r w:rsidRPr="008A4819">
              <w:t>Le système de garantie de qualité doit être certifié par un organisme indépendant reconnu par l'administration de l'État membre dans lequel la société de classification a établi son siège ou la succursale visés au point 4</w:t>
            </w:r>
          </w:p>
        </w:tc>
        <w:tc>
          <w:tcPr>
            <w:tcW w:w="2329" w:type="dxa"/>
            <w:tcBorders>
              <w:top w:val="single" w:sz="4" w:space="0" w:color="auto"/>
              <w:bottom w:val="single" w:sz="4" w:space="0" w:color="auto"/>
            </w:tcBorders>
            <w:shd w:val="clear" w:color="auto" w:fill="auto"/>
          </w:tcPr>
          <w:p w14:paraId="41F44058" w14:textId="77777777" w:rsidR="008A4819" w:rsidRPr="008A4819" w:rsidRDefault="008A4819" w:rsidP="00830355">
            <w:pPr>
              <w:suppressAutoHyphens w:val="0"/>
              <w:spacing w:before="40" w:after="120"/>
              <w:ind w:left="140" w:right="113"/>
            </w:pPr>
            <w:r w:rsidRPr="008A4819">
              <w:t>Doublon avec le §11 de l’Annexe VI</w:t>
            </w:r>
          </w:p>
        </w:tc>
      </w:tr>
      <w:tr w:rsidR="00275408" w:rsidRPr="008A4819" w14:paraId="3AB8B50D" w14:textId="77777777" w:rsidTr="007D7587">
        <w:trPr>
          <w:gridAfter w:val="2"/>
          <w:wAfter w:w="6688" w:type="dxa"/>
        </w:trPr>
        <w:tc>
          <w:tcPr>
            <w:tcW w:w="6153" w:type="dxa"/>
            <w:gridSpan w:val="2"/>
            <w:tcBorders>
              <w:top w:val="single" w:sz="4" w:space="0" w:color="auto"/>
              <w:bottom w:val="single" w:sz="4" w:space="0" w:color="auto"/>
            </w:tcBorders>
            <w:shd w:val="clear" w:color="auto" w:fill="auto"/>
          </w:tcPr>
          <w:p w14:paraId="4DC6E15E" w14:textId="6379374F" w:rsidR="00275408" w:rsidRPr="008A4819" w:rsidRDefault="00275408" w:rsidP="005A7F24">
            <w:pPr>
              <w:suppressAutoHyphens w:val="0"/>
              <w:spacing w:before="40" w:after="120"/>
              <w:ind w:right="113"/>
              <w:jc w:val="both"/>
            </w:pPr>
            <w:r w:rsidRPr="008A4819">
              <w:rPr>
                <w:bCs/>
              </w:rPr>
              <w:t>1.15.4 Obligations des sociétés de classification recommandées</w:t>
            </w:r>
          </w:p>
        </w:tc>
        <w:tc>
          <w:tcPr>
            <w:tcW w:w="1254" w:type="dxa"/>
            <w:tcBorders>
              <w:top w:val="single" w:sz="4" w:space="0" w:color="auto"/>
              <w:bottom w:val="single" w:sz="4" w:space="0" w:color="auto"/>
            </w:tcBorders>
            <w:shd w:val="clear" w:color="auto" w:fill="auto"/>
          </w:tcPr>
          <w:p w14:paraId="61C0C0FE" w14:textId="77777777" w:rsidR="00275408" w:rsidRPr="008A4819" w:rsidRDefault="00275408" w:rsidP="005A7F24">
            <w:pPr>
              <w:suppressAutoHyphens w:val="0"/>
              <w:spacing w:before="40" w:after="120"/>
              <w:ind w:right="113"/>
              <w:jc w:val="center"/>
            </w:pPr>
          </w:p>
        </w:tc>
      </w:tr>
      <w:tr w:rsidR="008A4819" w:rsidRPr="008A4819" w14:paraId="20F9CBA1" w14:textId="77777777" w:rsidTr="007D7587">
        <w:tc>
          <w:tcPr>
            <w:tcW w:w="1134" w:type="dxa"/>
            <w:tcBorders>
              <w:top w:val="single" w:sz="4" w:space="0" w:color="auto"/>
              <w:bottom w:val="single" w:sz="4" w:space="0" w:color="auto"/>
            </w:tcBorders>
            <w:shd w:val="clear" w:color="auto" w:fill="auto"/>
          </w:tcPr>
          <w:p w14:paraId="5B069953" w14:textId="77777777" w:rsidR="008A4819" w:rsidRPr="008A4819" w:rsidRDefault="008A4819" w:rsidP="005A7F24">
            <w:pPr>
              <w:suppressAutoHyphens w:val="0"/>
              <w:spacing w:before="40" w:after="120"/>
              <w:ind w:right="113"/>
              <w:jc w:val="both"/>
            </w:pPr>
            <w:r w:rsidRPr="008A4819">
              <w:t>1.15.4.1</w:t>
            </w:r>
          </w:p>
        </w:tc>
        <w:tc>
          <w:tcPr>
            <w:tcW w:w="5019" w:type="dxa"/>
            <w:tcBorders>
              <w:top w:val="single" w:sz="4" w:space="0" w:color="auto"/>
              <w:bottom w:val="single" w:sz="4" w:space="0" w:color="auto"/>
            </w:tcBorders>
            <w:shd w:val="clear" w:color="auto" w:fill="auto"/>
          </w:tcPr>
          <w:p w14:paraId="2734EAAF" w14:textId="77777777" w:rsidR="008A4819" w:rsidRPr="008A4819" w:rsidRDefault="008A4819" w:rsidP="005A7F24">
            <w:pPr>
              <w:suppressAutoHyphens w:val="0"/>
              <w:spacing w:before="40" w:after="120"/>
              <w:ind w:right="113"/>
              <w:jc w:val="both"/>
            </w:pPr>
            <w:r w:rsidRPr="008A4819">
              <w:t>Les sociétés de classification recommandées s’engagent à coopérer entre elles de manière à garantir l’équivalence, du point de vue du niveau de sécurité de leurs normes techniques qui sont concernées par la mise en œuvre des dispositions du présent Accord.</w:t>
            </w:r>
          </w:p>
        </w:tc>
        <w:tc>
          <w:tcPr>
            <w:tcW w:w="1254" w:type="dxa"/>
            <w:vMerge w:val="restart"/>
            <w:tcBorders>
              <w:top w:val="single" w:sz="4" w:space="0" w:color="auto"/>
              <w:bottom w:val="single" w:sz="4" w:space="0" w:color="auto"/>
            </w:tcBorders>
            <w:shd w:val="clear" w:color="auto" w:fill="auto"/>
          </w:tcPr>
          <w:p w14:paraId="341BF3C6" w14:textId="3593B81B" w:rsidR="008A4819" w:rsidRPr="008A4819" w:rsidRDefault="008A4819" w:rsidP="005A7F24">
            <w:pPr>
              <w:suppressAutoHyphens w:val="0"/>
              <w:spacing w:before="40" w:after="120"/>
              <w:ind w:right="113"/>
              <w:jc w:val="center"/>
            </w:pPr>
            <w:r w:rsidRPr="008A4819">
              <w:t xml:space="preserve">Annexe VI </w:t>
            </w:r>
            <w:r w:rsidR="00D4279C">
              <w:t xml:space="preserve">para. </w:t>
            </w:r>
            <w:r w:rsidRPr="008A4819">
              <w:t>14</w:t>
            </w:r>
          </w:p>
        </w:tc>
        <w:tc>
          <w:tcPr>
            <w:tcW w:w="4359" w:type="dxa"/>
            <w:vMerge w:val="restart"/>
            <w:tcBorders>
              <w:top w:val="single" w:sz="4" w:space="0" w:color="auto"/>
              <w:bottom w:val="single" w:sz="4" w:space="0" w:color="auto"/>
            </w:tcBorders>
            <w:shd w:val="clear" w:color="auto" w:fill="auto"/>
          </w:tcPr>
          <w:p w14:paraId="2F63AF40" w14:textId="77777777" w:rsidR="008A4819" w:rsidRPr="008A4819" w:rsidRDefault="008A4819" w:rsidP="005A7F24">
            <w:pPr>
              <w:suppressAutoHyphens w:val="0"/>
              <w:spacing w:before="40" w:after="120"/>
              <w:ind w:right="113"/>
              <w:jc w:val="both"/>
            </w:pPr>
            <w:r w:rsidRPr="008A4819">
              <w:t>La société de classification s'engage à consulter régulièrement les sociétés de classification ayant déjà obtenu l'agrément afin d'assurer l'équivalence de ses normes techniques et de leur application et à permettre aux représentants d'un État membre et aux autres parties concernées de participer à l'élaboration de ses règles et règlements.</w:t>
            </w:r>
          </w:p>
        </w:tc>
        <w:tc>
          <w:tcPr>
            <w:tcW w:w="2329" w:type="dxa"/>
            <w:vMerge w:val="restart"/>
            <w:tcBorders>
              <w:top w:val="single" w:sz="4" w:space="0" w:color="auto"/>
              <w:bottom w:val="single" w:sz="4" w:space="0" w:color="auto"/>
            </w:tcBorders>
            <w:shd w:val="clear" w:color="auto" w:fill="auto"/>
          </w:tcPr>
          <w:p w14:paraId="1E46E632" w14:textId="77777777" w:rsidR="008A4819" w:rsidRPr="008A4819" w:rsidRDefault="008A4819" w:rsidP="00830355">
            <w:pPr>
              <w:suppressAutoHyphens w:val="0"/>
              <w:spacing w:before="40" w:after="120"/>
              <w:ind w:left="140" w:right="113"/>
            </w:pPr>
            <w:r w:rsidRPr="008A4819">
              <w:t>Notions très voisines entre les deux textes</w:t>
            </w:r>
          </w:p>
        </w:tc>
      </w:tr>
      <w:tr w:rsidR="008A4819" w:rsidRPr="008A4819" w14:paraId="7D1817F9" w14:textId="77777777" w:rsidTr="007D7587">
        <w:tc>
          <w:tcPr>
            <w:tcW w:w="1134" w:type="dxa"/>
            <w:tcBorders>
              <w:top w:val="single" w:sz="4" w:space="0" w:color="auto"/>
              <w:bottom w:val="single" w:sz="4" w:space="0" w:color="auto"/>
            </w:tcBorders>
            <w:shd w:val="clear" w:color="auto" w:fill="auto"/>
          </w:tcPr>
          <w:p w14:paraId="2A05B38F" w14:textId="77777777" w:rsidR="008A4819" w:rsidRPr="008A4819" w:rsidRDefault="008A4819" w:rsidP="005A7F24">
            <w:pPr>
              <w:suppressAutoHyphens w:val="0"/>
              <w:spacing w:before="40" w:after="120"/>
              <w:ind w:right="113"/>
              <w:jc w:val="both"/>
            </w:pPr>
            <w:r w:rsidRPr="008A4819">
              <w:t>1.15.4.2</w:t>
            </w:r>
          </w:p>
        </w:tc>
        <w:tc>
          <w:tcPr>
            <w:tcW w:w="5019" w:type="dxa"/>
            <w:tcBorders>
              <w:top w:val="single" w:sz="4" w:space="0" w:color="auto"/>
              <w:bottom w:val="single" w:sz="4" w:space="0" w:color="auto"/>
            </w:tcBorders>
            <w:shd w:val="clear" w:color="auto" w:fill="auto"/>
          </w:tcPr>
          <w:p w14:paraId="37C64725" w14:textId="77777777" w:rsidR="008A4819" w:rsidRPr="008A4819" w:rsidRDefault="008A4819" w:rsidP="005A7F24">
            <w:pPr>
              <w:suppressAutoHyphens w:val="0"/>
              <w:spacing w:before="40" w:after="120"/>
              <w:ind w:right="113"/>
              <w:jc w:val="both"/>
            </w:pPr>
            <w:r w:rsidRPr="008A4819">
              <w:t>Elles échangent leurs expériences au moins une fois par année lors de réunions communes et rendent compte annuellement au Comité de sécurité. Il y a lieu d’informer le secrétariat du Comité de sécurité de la tenue de ces réunions, ainsi que de donner aux Parties contractantes la possibilité d’y participer en qualité d’observateurs.</w:t>
            </w:r>
          </w:p>
        </w:tc>
        <w:tc>
          <w:tcPr>
            <w:tcW w:w="1254" w:type="dxa"/>
            <w:vMerge/>
            <w:tcBorders>
              <w:top w:val="single" w:sz="4" w:space="0" w:color="auto"/>
              <w:bottom w:val="single" w:sz="4" w:space="0" w:color="auto"/>
            </w:tcBorders>
            <w:shd w:val="clear" w:color="auto" w:fill="auto"/>
          </w:tcPr>
          <w:p w14:paraId="4CA43A3F" w14:textId="77777777" w:rsidR="008A4819" w:rsidRPr="008A4819" w:rsidRDefault="008A4819" w:rsidP="005A7F24">
            <w:pPr>
              <w:suppressAutoHyphens w:val="0"/>
              <w:spacing w:before="40" w:after="120"/>
              <w:ind w:right="113"/>
              <w:jc w:val="both"/>
            </w:pPr>
          </w:p>
        </w:tc>
        <w:tc>
          <w:tcPr>
            <w:tcW w:w="4359" w:type="dxa"/>
            <w:vMerge/>
            <w:tcBorders>
              <w:top w:val="single" w:sz="4" w:space="0" w:color="auto"/>
              <w:bottom w:val="single" w:sz="4" w:space="0" w:color="auto"/>
            </w:tcBorders>
            <w:shd w:val="clear" w:color="auto" w:fill="auto"/>
          </w:tcPr>
          <w:p w14:paraId="535B5AA0" w14:textId="77777777" w:rsidR="008A4819" w:rsidRPr="008A4819" w:rsidRDefault="008A4819" w:rsidP="005A7F24">
            <w:pPr>
              <w:suppressAutoHyphens w:val="0"/>
              <w:spacing w:before="40" w:after="120"/>
              <w:ind w:right="113"/>
              <w:jc w:val="both"/>
            </w:pPr>
          </w:p>
        </w:tc>
        <w:tc>
          <w:tcPr>
            <w:tcW w:w="2329" w:type="dxa"/>
            <w:vMerge/>
            <w:tcBorders>
              <w:top w:val="single" w:sz="4" w:space="0" w:color="auto"/>
              <w:bottom w:val="single" w:sz="4" w:space="0" w:color="auto"/>
            </w:tcBorders>
            <w:shd w:val="clear" w:color="auto" w:fill="auto"/>
          </w:tcPr>
          <w:p w14:paraId="72B0A0DC" w14:textId="77777777" w:rsidR="008A4819" w:rsidRPr="008A4819" w:rsidRDefault="008A4819" w:rsidP="008A4819">
            <w:pPr>
              <w:suppressAutoHyphens w:val="0"/>
              <w:spacing w:before="40" w:after="120"/>
              <w:ind w:right="113"/>
            </w:pPr>
          </w:p>
        </w:tc>
      </w:tr>
      <w:tr w:rsidR="008A4819" w:rsidRPr="008A4819" w14:paraId="5844FD7C" w14:textId="77777777" w:rsidTr="00E6122C">
        <w:trPr>
          <w:cantSplit/>
        </w:trPr>
        <w:tc>
          <w:tcPr>
            <w:tcW w:w="1134" w:type="dxa"/>
            <w:vMerge w:val="restart"/>
            <w:tcBorders>
              <w:top w:val="single" w:sz="4" w:space="0" w:color="auto"/>
            </w:tcBorders>
            <w:shd w:val="clear" w:color="auto" w:fill="auto"/>
          </w:tcPr>
          <w:p w14:paraId="205C95A2" w14:textId="77777777" w:rsidR="008A4819" w:rsidRPr="008A4819" w:rsidRDefault="008A4819" w:rsidP="005A7F24">
            <w:pPr>
              <w:suppressAutoHyphens w:val="0"/>
              <w:spacing w:before="40" w:after="120"/>
              <w:ind w:right="113"/>
              <w:jc w:val="both"/>
            </w:pPr>
            <w:r w:rsidRPr="008A4819">
              <w:lastRenderedPageBreak/>
              <w:t>1.15.4.3</w:t>
            </w:r>
          </w:p>
        </w:tc>
        <w:tc>
          <w:tcPr>
            <w:tcW w:w="5019" w:type="dxa"/>
            <w:vMerge w:val="restart"/>
            <w:tcBorders>
              <w:top w:val="single" w:sz="4" w:space="0" w:color="auto"/>
            </w:tcBorders>
            <w:shd w:val="clear" w:color="auto" w:fill="auto"/>
          </w:tcPr>
          <w:p w14:paraId="1AE52A2A" w14:textId="77777777" w:rsidR="008A4819" w:rsidRPr="008A4819" w:rsidRDefault="008A4819" w:rsidP="005A7F24">
            <w:pPr>
              <w:suppressAutoHyphens w:val="0"/>
              <w:spacing w:before="40" w:after="120"/>
              <w:ind w:right="113"/>
              <w:jc w:val="both"/>
            </w:pPr>
            <w:r w:rsidRPr="008A4819">
              <w:t>Les sociétés de classification recommandées s’engagent à appliquer les dispositions présentes et futures de l’Accord en tenant compte de leur date d’entrée en vigueur. Les sociétés de classification recommandées fournissent à la demande de l’autorité compétente tous les renseignements pertinents au sujet de leurs prescriptions techniques.</w:t>
            </w:r>
          </w:p>
        </w:tc>
        <w:tc>
          <w:tcPr>
            <w:tcW w:w="1254" w:type="dxa"/>
            <w:tcBorders>
              <w:top w:val="single" w:sz="4" w:space="0" w:color="auto"/>
            </w:tcBorders>
            <w:shd w:val="clear" w:color="auto" w:fill="auto"/>
          </w:tcPr>
          <w:p w14:paraId="648F5D94" w14:textId="5A42992A" w:rsidR="008A4819" w:rsidRPr="008A4819" w:rsidRDefault="008A4819" w:rsidP="005A7F24">
            <w:pPr>
              <w:suppressAutoHyphens w:val="0"/>
              <w:spacing w:before="40" w:after="120"/>
              <w:ind w:right="113"/>
              <w:jc w:val="center"/>
            </w:pPr>
            <w:r w:rsidRPr="008A4819">
              <w:t xml:space="preserve">Annexe VI </w:t>
            </w:r>
            <w:r w:rsidR="00D4279C">
              <w:t xml:space="preserve">para. </w:t>
            </w:r>
            <w:r w:rsidRPr="008A4819">
              <w:t>13</w:t>
            </w:r>
          </w:p>
        </w:tc>
        <w:tc>
          <w:tcPr>
            <w:tcW w:w="4359" w:type="dxa"/>
            <w:tcBorders>
              <w:top w:val="single" w:sz="4" w:space="0" w:color="auto"/>
            </w:tcBorders>
            <w:shd w:val="clear" w:color="auto" w:fill="auto"/>
          </w:tcPr>
          <w:p w14:paraId="6B05EC2D" w14:textId="77777777" w:rsidR="008A4819" w:rsidRPr="008A4819" w:rsidRDefault="008A4819" w:rsidP="005A7F24">
            <w:pPr>
              <w:suppressAutoHyphens w:val="0"/>
              <w:spacing w:before="40" w:after="120"/>
              <w:ind w:right="113"/>
              <w:jc w:val="both"/>
            </w:pPr>
            <w:r w:rsidRPr="008A4819">
              <w:t>La société de classification s'engage à adapter ses réglementations en tenant compte des directives pertinentes de l'Union et à fournir toute information utile à la Commission dans les délais appropriés</w:t>
            </w:r>
          </w:p>
        </w:tc>
        <w:tc>
          <w:tcPr>
            <w:tcW w:w="2329" w:type="dxa"/>
            <w:vMerge w:val="restart"/>
            <w:tcBorders>
              <w:top w:val="single" w:sz="4" w:space="0" w:color="auto"/>
            </w:tcBorders>
            <w:shd w:val="clear" w:color="auto" w:fill="auto"/>
          </w:tcPr>
          <w:p w14:paraId="5D426C63" w14:textId="77777777" w:rsidR="008A4819" w:rsidRPr="008A4819" w:rsidRDefault="008A4819" w:rsidP="00830355">
            <w:pPr>
              <w:suppressAutoHyphens w:val="0"/>
              <w:spacing w:before="40" w:after="120"/>
              <w:ind w:left="140" w:right="113"/>
            </w:pPr>
            <w:r w:rsidRPr="008A4819">
              <w:t>Notions très voisines entre les deux textes</w:t>
            </w:r>
          </w:p>
        </w:tc>
      </w:tr>
      <w:tr w:rsidR="008A4819" w:rsidRPr="008A4819" w14:paraId="6B4F73AF" w14:textId="77777777" w:rsidTr="007D7587">
        <w:tc>
          <w:tcPr>
            <w:tcW w:w="1134" w:type="dxa"/>
            <w:vMerge/>
            <w:tcBorders>
              <w:bottom w:val="single" w:sz="12" w:space="0" w:color="auto"/>
            </w:tcBorders>
            <w:shd w:val="clear" w:color="auto" w:fill="auto"/>
          </w:tcPr>
          <w:p w14:paraId="69BD70FC" w14:textId="77777777" w:rsidR="008A4819" w:rsidRPr="008A4819" w:rsidRDefault="008A4819" w:rsidP="005A7F24">
            <w:pPr>
              <w:suppressAutoHyphens w:val="0"/>
              <w:spacing w:before="40" w:after="120"/>
              <w:ind w:right="113"/>
              <w:jc w:val="both"/>
            </w:pPr>
          </w:p>
        </w:tc>
        <w:tc>
          <w:tcPr>
            <w:tcW w:w="5019" w:type="dxa"/>
            <w:vMerge/>
            <w:tcBorders>
              <w:bottom w:val="single" w:sz="12" w:space="0" w:color="auto"/>
            </w:tcBorders>
            <w:shd w:val="clear" w:color="auto" w:fill="auto"/>
          </w:tcPr>
          <w:p w14:paraId="23A465D1" w14:textId="77777777" w:rsidR="008A4819" w:rsidRPr="008A4819" w:rsidRDefault="008A4819" w:rsidP="005A7F24">
            <w:pPr>
              <w:suppressAutoHyphens w:val="0"/>
              <w:spacing w:before="40" w:after="120"/>
              <w:ind w:right="113"/>
              <w:jc w:val="both"/>
            </w:pPr>
          </w:p>
        </w:tc>
        <w:tc>
          <w:tcPr>
            <w:tcW w:w="1254" w:type="dxa"/>
            <w:tcBorders>
              <w:bottom w:val="single" w:sz="12" w:space="0" w:color="auto"/>
            </w:tcBorders>
            <w:shd w:val="clear" w:color="auto" w:fill="auto"/>
          </w:tcPr>
          <w:p w14:paraId="74E2B679" w14:textId="7B8B02AE" w:rsidR="008A4819" w:rsidRPr="008A4819" w:rsidRDefault="008A4819" w:rsidP="005A7F24">
            <w:pPr>
              <w:suppressAutoHyphens w:val="0"/>
              <w:spacing w:before="40" w:after="120"/>
              <w:ind w:right="113"/>
              <w:jc w:val="center"/>
            </w:pPr>
            <w:r w:rsidRPr="008A4819">
              <w:t xml:space="preserve">Annexe VI </w:t>
            </w:r>
            <w:r w:rsidR="00D4279C">
              <w:t xml:space="preserve">para. </w:t>
            </w:r>
            <w:r w:rsidRPr="008A4819">
              <w:t>9</w:t>
            </w:r>
          </w:p>
        </w:tc>
        <w:tc>
          <w:tcPr>
            <w:tcW w:w="4359" w:type="dxa"/>
            <w:tcBorders>
              <w:bottom w:val="single" w:sz="12" w:space="0" w:color="auto"/>
            </w:tcBorders>
            <w:shd w:val="clear" w:color="auto" w:fill="auto"/>
          </w:tcPr>
          <w:p w14:paraId="387F3EF6" w14:textId="77777777" w:rsidR="008A4819" w:rsidRPr="008A4819" w:rsidRDefault="008A4819" w:rsidP="005A7F24">
            <w:pPr>
              <w:suppressAutoHyphens w:val="0"/>
              <w:spacing w:before="40" w:after="120"/>
              <w:ind w:right="113"/>
              <w:jc w:val="both"/>
            </w:pPr>
            <w:r w:rsidRPr="008A4819">
              <w:t>La société de classification s'engage à fournir toute information utile à un État membre</w:t>
            </w:r>
          </w:p>
        </w:tc>
        <w:tc>
          <w:tcPr>
            <w:tcW w:w="2329" w:type="dxa"/>
            <w:vMerge/>
            <w:tcBorders>
              <w:bottom w:val="single" w:sz="12" w:space="0" w:color="auto"/>
            </w:tcBorders>
            <w:shd w:val="clear" w:color="auto" w:fill="auto"/>
          </w:tcPr>
          <w:p w14:paraId="049F38B7" w14:textId="77777777" w:rsidR="008A4819" w:rsidRPr="008A4819" w:rsidRDefault="008A4819" w:rsidP="008A4819">
            <w:pPr>
              <w:suppressAutoHyphens w:val="0"/>
              <w:spacing w:before="40" w:after="120"/>
              <w:ind w:right="113"/>
            </w:pPr>
          </w:p>
        </w:tc>
      </w:tr>
    </w:tbl>
    <w:p w14:paraId="637DDCFC" w14:textId="44117F44" w:rsidR="00356169" w:rsidRPr="00D4279C" w:rsidRDefault="00D4279C" w:rsidP="00D4279C">
      <w:pPr>
        <w:spacing w:before="240"/>
        <w:jc w:val="center"/>
        <w:rPr>
          <w:u w:val="single"/>
        </w:rPr>
      </w:pPr>
      <w:r>
        <w:rPr>
          <w:u w:val="single"/>
        </w:rPr>
        <w:tab/>
      </w:r>
      <w:r>
        <w:rPr>
          <w:u w:val="single"/>
        </w:rPr>
        <w:tab/>
      </w:r>
      <w:r>
        <w:rPr>
          <w:u w:val="single"/>
        </w:rPr>
        <w:tab/>
      </w:r>
    </w:p>
    <w:sectPr w:rsidR="00356169" w:rsidRPr="00D4279C" w:rsidSect="008A4819">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BA220" w14:textId="77777777" w:rsidR="00400B8B" w:rsidRDefault="00400B8B" w:rsidP="00F95C08">
      <w:pPr>
        <w:spacing w:line="240" w:lineRule="auto"/>
      </w:pPr>
    </w:p>
  </w:endnote>
  <w:endnote w:type="continuationSeparator" w:id="0">
    <w:p w14:paraId="0DB22B54" w14:textId="77777777" w:rsidR="00400B8B" w:rsidRPr="00AC3823" w:rsidRDefault="00400B8B" w:rsidP="00AC3823">
      <w:pPr>
        <w:pStyle w:val="Footer"/>
      </w:pPr>
    </w:p>
  </w:endnote>
  <w:endnote w:type="continuationNotice" w:id="1">
    <w:p w14:paraId="14D53EB2" w14:textId="77777777" w:rsidR="00400B8B" w:rsidRDefault="00400B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506B" w14:textId="77777777" w:rsidR="00400B8B" w:rsidRPr="00400B8B" w:rsidRDefault="00400B8B" w:rsidP="00400B8B">
    <w:pPr>
      <w:pStyle w:val="Footer"/>
      <w:tabs>
        <w:tab w:val="right" w:pos="9638"/>
      </w:tabs>
      <w:rPr>
        <w:sz w:val="18"/>
      </w:rPr>
    </w:pPr>
    <w:r w:rsidRPr="00400B8B">
      <w:rPr>
        <w:b/>
        <w:sz w:val="18"/>
      </w:rPr>
      <w:fldChar w:fldCharType="begin"/>
    </w:r>
    <w:r w:rsidRPr="00400B8B">
      <w:rPr>
        <w:b/>
        <w:sz w:val="18"/>
      </w:rPr>
      <w:instrText xml:space="preserve"> PAGE  \* MERGEFORMAT </w:instrText>
    </w:r>
    <w:r w:rsidRPr="00400B8B">
      <w:rPr>
        <w:b/>
        <w:sz w:val="18"/>
      </w:rPr>
      <w:fldChar w:fldCharType="separate"/>
    </w:r>
    <w:r w:rsidRPr="00400B8B">
      <w:rPr>
        <w:b/>
        <w:noProof/>
        <w:sz w:val="18"/>
      </w:rPr>
      <w:t>2</w:t>
    </w:r>
    <w:r w:rsidRPr="00400B8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3B657" w14:textId="77777777" w:rsidR="00400B8B" w:rsidRPr="00400B8B" w:rsidRDefault="00400B8B" w:rsidP="00400B8B">
    <w:pPr>
      <w:pStyle w:val="Footer"/>
      <w:tabs>
        <w:tab w:val="right" w:pos="9638"/>
      </w:tabs>
      <w:rPr>
        <w:b/>
        <w:sz w:val="18"/>
      </w:rPr>
    </w:pPr>
    <w:r>
      <w:tab/>
    </w:r>
    <w:r w:rsidRPr="00400B8B">
      <w:rPr>
        <w:b/>
        <w:sz w:val="18"/>
      </w:rPr>
      <w:fldChar w:fldCharType="begin"/>
    </w:r>
    <w:r w:rsidRPr="00400B8B">
      <w:rPr>
        <w:b/>
        <w:sz w:val="18"/>
      </w:rPr>
      <w:instrText xml:space="preserve"> PAGE  \* MERGEFORMAT </w:instrText>
    </w:r>
    <w:r w:rsidRPr="00400B8B">
      <w:rPr>
        <w:b/>
        <w:sz w:val="18"/>
      </w:rPr>
      <w:fldChar w:fldCharType="separate"/>
    </w:r>
    <w:r w:rsidRPr="00400B8B">
      <w:rPr>
        <w:b/>
        <w:noProof/>
        <w:sz w:val="18"/>
      </w:rPr>
      <w:t>3</w:t>
    </w:r>
    <w:r w:rsidRPr="00400B8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8977" w14:textId="7EE5E5AB" w:rsidR="000D3EE9" w:rsidRPr="00400B8B" w:rsidRDefault="000D3EE9" w:rsidP="0001207F">
    <w:pPr>
      <w:pStyle w:val="Footer"/>
      <w:spacing w:before="12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F206" w14:textId="658CDB8C" w:rsidR="008A4819" w:rsidRPr="008A4819" w:rsidRDefault="008A4819" w:rsidP="008A4819">
    <w:pPr>
      <w:pStyle w:val="Footer"/>
    </w:pPr>
    <w:r>
      <w:rPr>
        <w:noProof/>
      </w:rPr>
      <mc:AlternateContent>
        <mc:Choice Requires="wps">
          <w:drawing>
            <wp:anchor distT="0" distB="0" distL="114300" distR="114300" simplePos="0" relativeHeight="251662848" behindDoc="0" locked="0" layoutInCell="1" allowOverlap="1" wp14:anchorId="67CF86C3" wp14:editId="3518D30B">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92621FF" w14:textId="77777777" w:rsidR="008A4819" w:rsidRPr="00400B8B" w:rsidRDefault="008A4819" w:rsidP="008A4819">
                          <w:pPr>
                            <w:pStyle w:val="Footer"/>
                            <w:tabs>
                              <w:tab w:val="right" w:pos="9638"/>
                            </w:tabs>
                            <w:rPr>
                              <w:sz w:val="18"/>
                            </w:rPr>
                          </w:pPr>
                          <w:r w:rsidRPr="00400B8B">
                            <w:rPr>
                              <w:b/>
                              <w:sz w:val="18"/>
                            </w:rPr>
                            <w:fldChar w:fldCharType="begin"/>
                          </w:r>
                          <w:r w:rsidRPr="00400B8B">
                            <w:rPr>
                              <w:b/>
                              <w:sz w:val="18"/>
                            </w:rPr>
                            <w:instrText xml:space="preserve"> PAGE  \* MERGEFORMAT </w:instrText>
                          </w:r>
                          <w:r w:rsidRPr="00400B8B">
                            <w:rPr>
                              <w:b/>
                              <w:sz w:val="18"/>
                            </w:rPr>
                            <w:fldChar w:fldCharType="separate"/>
                          </w:r>
                          <w:r>
                            <w:rPr>
                              <w:b/>
                              <w:sz w:val="18"/>
                            </w:rPr>
                            <w:t>6</w:t>
                          </w:r>
                          <w:r w:rsidRPr="00400B8B">
                            <w:rPr>
                              <w:b/>
                              <w:sz w:val="18"/>
                            </w:rPr>
                            <w:fldChar w:fldCharType="end"/>
                          </w:r>
                          <w:r>
                            <w:rPr>
                              <w:sz w:val="18"/>
                            </w:rPr>
                            <w:tab/>
                          </w:r>
                        </w:p>
                        <w:p w14:paraId="7B29A4FD" w14:textId="77777777" w:rsidR="008A4819" w:rsidRDefault="008A481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7CF86C3" id="_x0000_t202" coordsize="21600,21600" o:spt="202" path="m,l,21600r21600,l21600,xe">
              <v:stroke joinstyle="miter"/>
              <v:path gradientshapeok="t" o:connecttype="rect"/>
            </v:shapetype>
            <v:shape id="Text Box 6" o:spid="_x0000_s1028" type="#_x0000_t202" style="position:absolute;margin-left:-34pt;margin-top:0;width:17pt;height:481.9pt;z-index:2516628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53+AIAALM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OmQEsUaPNGD2HpyqbdkGN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xjcx13LbPQxQ6dZDUYDoo5w+c1Sr5mzt8x&#10;i9EDJcapv8VSSg1y6L1ESaXtt9/pg31Owwo2YZSBqF9XzIJb8pPCrIBL3wm2ExadoFbNlUbPZDGb&#10;KOKC9bITS6ubR0zZaYiCI6Y4MskporXilW8HKqY0F9NpNMJ0M8xfq3vDg+vAy/C0D9tHZs2+wz3Q&#10;u9HdkGPjF43e2oabSk9XXpd1nAIB1xZFIB82mIzxDfZTPIzeX/fR6ulfM/kJ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Dlx+&#10;d/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14:paraId="092621FF" w14:textId="77777777" w:rsidR="008A4819" w:rsidRPr="00400B8B" w:rsidRDefault="008A4819" w:rsidP="008A4819">
                    <w:pPr>
                      <w:pStyle w:val="Footer"/>
                      <w:tabs>
                        <w:tab w:val="right" w:pos="9638"/>
                      </w:tabs>
                      <w:rPr>
                        <w:sz w:val="18"/>
                      </w:rPr>
                    </w:pPr>
                    <w:r w:rsidRPr="00400B8B">
                      <w:rPr>
                        <w:b/>
                        <w:sz w:val="18"/>
                      </w:rPr>
                      <w:fldChar w:fldCharType="begin"/>
                    </w:r>
                    <w:r w:rsidRPr="00400B8B">
                      <w:rPr>
                        <w:b/>
                        <w:sz w:val="18"/>
                      </w:rPr>
                      <w:instrText xml:space="preserve"> PAGE  \* MERGEFORMAT </w:instrText>
                    </w:r>
                    <w:r w:rsidRPr="00400B8B">
                      <w:rPr>
                        <w:b/>
                        <w:sz w:val="18"/>
                      </w:rPr>
                      <w:fldChar w:fldCharType="separate"/>
                    </w:r>
                    <w:r>
                      <w:rPr>
                        <w:b/>
                        <w:sz w:val="18"/>
                      </w:rPr>
                      <w:t>6</w:t>
                    </w:r>
                    <w:r w:rsidRPr="00400B8B">
                      <w:rPr>
                        <w:b/>
                        <w:sz w:val="18"/>
                      </w:rPr>
                      <w:fldChar w:fldCharType="end"/>
                    </w:r>
                    <w:r>
                      <w:rPr>
                        <w:sz w:val="18"/>
                      </w:rPr>
                      <w:tab/>
                    </w:r>
                  </w:p>
                  <w:p w14:paraId="7B29A4FD" w14:textId="77777777" w:rsidR="008A4819" w:rsidRDefault="008A481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D454" w14:textId="546A15F3" w:rsidR="008A4819" w:rsidRPr="008A4819" w:rsidRDefault="008A4819" w:rsidP="008A4819">
    <w:pPr>
      <w:pStyle w:val="Footer"/>
    </w:pPr>
    <w:r>
      <w:rPr>
        <w:noProof/>
      </w:rPr>
      <mc:AlternateContent>
        <mc:Choice Requires="wps">
          <w:drawing>
            <wp:anchor distT="0" distB="0" distL="114300" distR="114300" simplePos="0" relativeHeight="251660800" behindDoc="0" locked="0" layoutInCell="1" allowOverlap="1" wp14:anchorId="04D8DC0E" wp14:editId="1EC60142">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1067F2D" w14:textId="77777777" w:rsidR="008A4819" w:rsidRPr="00400B8B" w:rsidRDefault="008A4819" w:rsidP="008A4819">
                          <w:pPr>
                            <w:pStyle w:val="Footer"/>
                            <w:tabs>
                              <w:tab w:val="right" w:pos="9638"/>
                            </w:tabs>
                            <w:rPr>
                              <w:b/>
                              <w:sz w:val="18"/>
                            </w:rPr>
                          </w:pPr>
                          <w:r>
                            <w:tab/>
                          </w:r>
                          <w:r w:rsidRPr="00400B8B">
                            <w:rPr>
                              <w:b/>
                              <w:sz w:val="18"/>
                            </w:rPr>
                            <w:fldChar w:fldCharType="begin"/>
                          </w:r>
                          <w:r w:rsidRPr="00400B8B">
                            <w:rPr>
                              <w:b/>
                              <w:sz w:val="18"/>
                            </w:rPr>
                            <w:instrText xml:space="preserve"> PAGE  \* MERGEFORMAT </w:instrText>
                          </w:r>
                          <w:r w:rsidRPr="00400B8B">
                            <w:rPr>
                              <w:b/>
                              <w:sz w:val="18"/>
                            </w:rPr>
                            <w:fldChar w:fldCharType="separate"/>
                          </w:r>
                          <w:r>
                            <w:rPr>
                              <w:b/>
                              <w:sz w:val="18"/>
                            </w:rPr>
                            <w:t>5</w:t>
                          </w:r>
                          <w:r w:rsidRPr="00400B8B">
                            <w:rPr>
                              <w:b/>
                              <w:sz w:val="18"/>
                            </w:rPr>
                            <w:fldChar w:fldCharType="end"/>
                          </w:r>
                        </w:p>
                        <w:p w14:paraId="12113CA8" w14:textId="77777777" w:rsidR="008A4819" w:rsidRDefault="008A481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D8DC0E" id="_x0000_t202" coordsize="21600,21600" o:spt="202" path="m,l,21600r21600,l21600,xe">
              <v:stroke joinstyle="miter"/>
              <v:path gradientshapeok="t" o:connecttype="rect"/>
            </v:shapetype>
            <v:shape id="Text Box 4" o:spid="_x0000_s1029" type="#_x0000_t202" style="position:absolute;margin-left:-34pt;margin-top:0;width:17pt;height:481.9pt;z-index:2516608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RvIm&#10;lv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14:paraId="11067F2D" w14:textId="77777777" w:rsidR="008A4819" w:rsidRPr="00400B8B" w:rsidRDefault="008A4819" w:rsidP="008A4819">
                    <w:pPr>
                      <w:pStyle w:val="Footer"/>
                      <w:tabs>
                        <w:tab w:val="right" w:pos="9638"/>
                      </w:tabs>
                      <w:rPr>
                        <w:b/>
                        <w:sz w:val="18"/>
                      </w:rPr>
                    </w:pPr>
                    <w:r>
                      <w:tab/>
                    </w:r>
                    <w:r w:rsidRPr="00400B8B">
                      <w:rPr>
                        <w:b/>
                        <w:sz w:val="18"/>
                      </w:rPr>
                      <w:fldChar w:fldCharType="begin"/>
                    </w:r>
                    <w:r w:rsidRPr="00400B8B">
                      <w:rPr>
                        <w:b/>
                        <w:sz w:val="18"/>
                      </w:rPr>
                      <w:instrText xml:space="preserve"> PAGE  \* MERGEFORMAT </w:instrText>
                    </w:r>
                    <w:r w:rsidRPr="00400B8B">
                      <w:rPr>
                        <w:b/>
                        <w:sz w:val="18"/>
                      </w:rPr>
                      <w:fldChar w:fldCharType="separate"/>
                    </w:r>
                    <w:r>
                      <w:rPr>
                        <w:b/>
                        <w:sz w:val="18"/>
                      </w:rPr>
                      <w:t>5</w:t>
                    </w:r>
                    <w:r w:rsidRPr="00400B8B">
                      <w:rPr>
                        <w:b/>
                        <w:sz w:val="18"/>
                      </w:rPr>
                      <w:fldChar w:fldCharType="end"/>
                    </w:r>
                  </w:p>
                  <w:p w14:paraId="12113CA8" w14:textId="77777777" w:rsidR="008A4819" w:rsidRDefault="008A4819"/>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8340A" w14:textId="77777777" w:rsidR="00400B8B" w:rsidRPr="00AC3823" w:rsidRDefault="00400B8B" w:rsidP="00AC3823">
      <w:pPr>
        <w:pStyle w:val="Footer"/>
        <w:tabs>
          <w:tab w:val="right" w:pos="2155"/>
        </w:tabs>
        <w:spacing w:after="80" w:line="240" w:lineRule="atLeast"/>
        <w:ind w:left="680"/>
        <w:rPr>
          <w:u w:val="single"/>
        </w:rPr>
      </w:pPr>
      <w:r>
        <w:rPr>
          <w:u w:val="single"/>
        </w:rPr>
        <w:tab/>
      </w:r>
    </w:p>
  </w:footnote>
  <w:footnote w:type="continuationSeparator" w:id="0">
    <w:p w14:paraId="67BD7492" w14:textId="77777777" w:rsidR="00400B8B" w:rsidRPr="00AC3823" w:rsidRDefault="00400B8B" w:rsidP="00AC3823">
      <w:pPr>
        <w:pStyle w:val="Footer"/>
        <w:tabs>
          <w:tab w:val="right" w:pos="2155"/>
        </w:tabs>
        <w:spacing w:after="80" w:line="240" w:lineRule="atLeast"/>
        <w:ind w:left="680"/>
        <w:rPr>
          <w:u w:val="single"/>
        </w:rPr>
      </w:pPr>
      <w:r>
        <w:rPr>
          <w:u w:val="single"/>
        </w:rPr>
        <w:tab/>
      </w:r>
    </w:p>
  </w:footnote>
  <w:footnote w:type="continuationNotice" w:id="1">
    <w:p w14:paraId="7D05ACD2" w14:textId="77777777" w:rsidR="00400B8B" w:rsidRPr="00AC3823" w:rsidRDefault="00400B8B">
      <w:pPr>
        <w:spacing w:line="240" w:lineRule="auto"/>
        <w:rPr>
          <w:sz w:val="2"/>
          <w:szCs w:val="2"/>
        </w:rPr>
      </w:pPr>
    </w:p>
  </w:footnote>
  <w:footnote w:id="2">
    <w:p w14:paraId="22E6CB76" w14:textId="23CFF252" w:rsidR="00F36321" w:rsidRPr="00BD650C" w:rsidRDefault="00F36321" w:rsidP="00F36321">
      <w:pPr>
        <w:pStyle w:val="FootnoteText"/>
      </w:pPr>
      <w:r>
        <w:rPr>
          <w:rStyle w:val="FootnoteReference"/>
        </w:rPr>
        <w:tab/>
      </w:r>
      <w:r w:rsidRPr="00C60354">
        <w:rPr>
          <w:rStyle w:val="FootnoteReference"/>
          <w:sz w:val="20"/>
        </w:rPr>
        <w:t>*</w:t>
      </w:r>
      <w:r>
        <w:rPr>
          <w:rStyle w:val="FootnoteReference"/>
          <w:sz w:val="20"/>
          <w:vertAlign w:val="baseline"/>
        </w:rPr>
        <w:tab/>
      </w:r>
      <w:r w:rsidRPr="00904815">
        <w:rPr>
          <w:lang w:val="fr-FR"/>
        </w:rPr>
        <w:t>Diffusé en langue allemande par la Commission centrale pour la navigation du Rhin sous la cote CCNR/ZKR/ADN/WP.15/AC.2/2020/</w:t>
      </w:r>
      <w:r w:rsidR="00E16F6D">
        <w:rPr>
          <w:lang w:val="fr-FR"/>
        </w:rPr>
        <w:t>32</w:t>
      </w:r>
      <w:r w:rsidRPr="00904815">
        <w:rPr>
          <w:lang w:val="fr-FR"/>
        </w:rPr>
        <w:t>.</w:t>
      </w:r>
    </w:p>
  </w:footnote>
  <w:footnote w:id="3">
    <w:p w14:paraId="0B1844A3" w14:textId="4CB11F00" w:rsidR="00F36321" w:rsidRPr="00C60354" w:rsidRDefault="00F36321" w:rsidP="00F36321">
      <w:pPr>
        <w:pStyle w:val="FootnoteText"/>
      </w:pPr>
      <w:r w:rsidRPr="00C60354">
        <w:rPr>
          <w:rStyle w:val="FootnoteReference"/>
        </w:rPr>
        <w:tab/>
      </w:r>
      <w:r w:rsidRPr="00C60354">
        <w:rPr>
          <w:rStyle w:val="FootnoteReference"/>
          <w:sz w:val="20"/>
        </w:rPr>
        <w:t>**</w:t>
      </w:r>
      <w:r>
        <w:rPr>
          <w:rStyle w:val="FootnoteReference"/>
          <w:sz w:val="20"/>
          <w:vertAlign w:val="baseline"/>
        </w:rPr>
        <w:tab/>
      </w:r>
      <w:r w:rsidRPr="00274FFA">
        <w:t>Conformément au programme de travail du Comité des transports intérieurs pour 2020 tel qu’il figure dans le projet de budget-programme pour 2020 (A/74/6 (titre V, chap. 20), par. 20.37)</w:t>
      </w:r>
      <w:r w:rsidRPr="00904815">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7A33" w14:textId="77777777" w:rsidR="00400B8B" w:rsidRPr="00400B8B" w:rsidRDefault="00E6122C">
    <w:pPr>
      <w:pStyle w:val="Header"/>
    </w:pPr>
    <w:r>
      <w:fldChar w:fldCharType="begin"/>
    </w:r>
    <w:r>
      <w:instrText xml:space="preserve"> TITLE  \* MERGEFORMAT </w:instrText>
    </w:r>
    <w:r>
      <w:fldChar w:fldCharType="separate"/>
    </w:r>
    <w:r w:rsidR="00400B8B">
      <w:t>ECE/TRANS/WP.15/AC.2/2020/32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6ED03" w14:textId="77777777" w:rsidR="00400B8B" w:rsidRPr="00400B8B" w:rsidRDefault="00E6122C" w:rsidP="00400B8B">
    <w:pPr>
      <w:pStyle w:val="Header"/>
      <w:jc w:val="right"/>
    </w:pPr>
    <w:r>
      <w:fldChar w:fldCharType="begin"/>
    </w:r>
    <w:r>
      <w:instrText xml:space="preserve"> TITLE  \* MERGEFORMAT </w:instrText>
    </w:r>
    <w:r>
      <w:fldChar w:fldCharType="separate"/>
    </w:r>
    <w:r w:rsidR="00400B8B">
      <w:t>ECE/TRANS/WP.15/AC.2/2020/32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301FF" w14:textId="73A72F77" w:rsidR="008A4819" w:rsidRPr="008A4819" w:rsidRDefault="008A4819" w:rsidP="008A4819">
    <w:r>
      <w:rPr>
        <w:noProof/>
      </w:rPr>
      <mc:AlternateContent>
        <mc:Choice Requires="wps">
          <w:drawing>
            <wp:anchor distT="0" distB="0" distL="114300" distR="114300" simplePos="0" relativeHeight="251661824" behindDoc="0" locked="0" layoutInCell="1" allowOverlap="1" wp14:anchorId="6FD4D673" wp14:editId="3F114CE2">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BB3AECB" w14:textId="77777777" w:rsidR="008A4819" w:rsidRPr="00400B8B" w:rsidRDefault="00461BBA" w:rsidP="008A4819">
                          <w:pPr>
                            <w:pStyle w:val="Header"/>
                          </w:pPr>
                          <w:fldSimple w:instr=" TITLE  \* MERGEFORMAT ">
                            <w:r w:rsidR="008A4819">
                              <w:t>ECE/TRANS/WP.15/AC.2/2020/32</w:t>
                            </w:r>
                          </w:fldSimple>
                        </w:p>
                        <w:p w14:paraId="792796DD" w14:textId="77777777" w:rsidR="008A4819" w:rsidRDefault="008A481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FD4D673" id="_x0000_t202" coordsize="21600,21600" o:spt="202" path="m,l,21600r21600,l21600,xe">
              <v:stroke joinstyle="miter"/>
              <v:path gradientshapeok="t" o:connecttype="rect"/>
            </v:shapetype>
            <v:shape id="Text Box 5" o:spid="_x0000_s1026" type="#_x0000_t202" style="position:absolute;margin-left:782.35pt;margin-top:0;width:17pt;height:481.9pt;z-index:2516618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" fillcolor="#4f81bd [3204]" stroked="f" strokeweight=".5pt">
              <v:fill opacity="0"/>
              <v:path arrowok="t"/>
              <v:textbox style="layout-flow:vertical" inset="0,0,0,0">
                <w:txbxContent>
                  <w:p w14:paraId="0BB3AECB" w14:textId="77777777" w:rsidR="008A4819" w:rsidRPr="00400B8B" w:rsidRDefault="008A4819" w:rsidP="008A4819">
                    <w:pPr>
                      <w:pStyle w:val="Header"/>
                    </w:pPr>
                    <w:r>
                      <w:fldChar w:fldCharType="begin"/>
                    </w:r>
                    <w:r>
                      <w:instrText xml:space="preserve"> TITLE  \* MERGEFORMAT </w:instrText>
                    </w:r>
                    <w:r>
                      <w:fldChar w:fldCharType="separate"/>
                    </w:r>
                    <w:r>
                      <w:t>ECE/TRANS/WP.15/AC.2/2020/32</w:t>
                    </w:r>
                    <w:r>
                      <w:fldChar w:fldCharType="end"/>
                    </w:r>
                  </w:p>
                  <w:p w14:paraId="792796DD" w14:textId="77777777" w:rsidR="008A4819" w:rsidRDefault="008A481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E6D7" w14:textId="7741C91B" w:rsidR="008A4819" w:rsidRPr="008A4819" w:rsidRDefault="008A4819" w:rsidP="008A4819">
    <w:r>
      <w:rPr>
        <w:noProof/>
      </w:rPr>
      <mc:AlternateContent>
        <mc:Choice Requires="wps">
          <w:drawing>
            <wp:anchor distT="0" distB="0" distL="114300" distR="114300" simplePos="0" relativeHeight="251659776" behindDoc="0" locked="0" layoutInCell="1" allowOverlap="1" wp14:anchorId="31CD1A0A" wp14:editId="4340AF41">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14DB7A6" w14:textId="77777777" w:rsidR="008A4819" w:rsidRPr="00400B8B" w:rsidRDefault="00461BBA" w:rsidP="008A4819">
                          <w:pPr>
                            <w:pStyle w:val="Header"/>
                            <w:jc w:val="right"/>
                          </w:pPr>
                          <w:fldSimple w:instr=" TITLE  \* MERGEFORMAT ">
                            <w:r w:rsidR="008A4819">
                              <w:t>ECE/TRANS/WP.15/AC.2/2020/32</w:t>
                            </w:r>
                          </w:fldSimple>
                        </w:p>
                        <w:p w14:paraId="14D2EF4A" w14:textId="77777777" w:rsidR="008A4819" w:rsidRDefault="008A481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CD1A0A" id="_x0000_t202" coordsize="21600,21600" o:spt="202" path="m,l,21600r21600,l21600,xe">
              <v:stroke joinstyle="miter"/>
              <v:path gradientshapeok="t" o:connecttype="rect"/>
            </v:shapetype>
            <v:shape id="Text Box 2" o:spid="_x0000_s1027" type="#_x0000_t202" style="position:absolute;margin-left:782.35pt;margin-top:0;width:17pt;height:481.9pt;z-index:2516597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8n9AIAAKw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GmfEsUaPNGD2HpyqbekH9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" fillcolor="#4f81bd [3204]" stroked="f" strokeweight=".5pt">
              <v:fill opacity="0"/>
              <v:stroke joinstyle="round"/>
              <v:textbox style="layout-flow:vertical" inset="0,0,0,0">
                <w:txbxContent>
                  <w:p w14:paraId="714DB7A6" w14:textId="77777777" w:rsidR="008A4819" w:rsidRPr="00400B8B" w:rsidRDefault="008A4819" w:rsidP="008A4819">
                    <w:pPr>
                      <w:pStyle w:val="Header"/>
                      <w:jc w:val="right"/>
                    </w:pPr>
                    <w:r>
                      <w:fldChar w:fldCharType="begin"/>
                    </w:r>
                    <w:r>
                      <w:instrText xml:space="preserve"> TITLE  \* MERGEFORMAT </w:instrText>
                    </w:r>
                    <w:r>
                      <w:fldChar w:fldCharType="separate"/>
                    </w:r>
                    <w:r>
                      <w:t>ECE/TRANS/WP.15/AC.2/2020/32</w:t>
                    </w:r>
                    <w:r>
                      <w:fldChar w:fldCharType="end"/>
                    </w:r>
                  </w:p>
                  <w:p w14:paraId="14D2EF4A" w14:textId="77777777" w:rsidR="008A4819" w:rsidRDefault="008A4819"/>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5258A"/>
    <w:multiLevelType w:val="hybridMultilevel"/>
    <w:tmpl w:val="BEFEC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6C16EB5"/>
    <w:multiLevelType w:val="hybridMultilevel"/>
    <w:tmpl w:val="C6A8A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DC32F6"/>
    <w:multiLevelType w:val="hybridMultilevel"/>
    <w:tmpl w:val="D5665752"/>
    <w:lvl w:ilvl="0" w:tplc="E45C1868">
      <w:start w:val="1"/>
      <w:numFmt w:val="lowerLetter"/>
      <w:lvlText w:val="%1)"/>
      <w:lvlJc w:val="left"/>
      <w:pPr>
        <w:ind w:left="2271" w:hanging="57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D86788E"/>
    <w:multiLevelType w:val="hybridMultilevel"/>
    <w:tmpl w:val="B672C1A8"/>
    <w:lvl w:ilvl="0" w:tplc="5CF2063A">
      <w:start w:val="1"/>
      <w:numFmt w:val="decimal"/>
      <w:lvlText w:val="%1."/>
      <w:lvlJc w:val="left"/>
      <w:pPr>
        <w:ind w:left="1710" w:hanging="576"/>
      </w:pPr>
      <w:rPr>
        <w:rFonts w:cs="Times New Roman" w:hint="default"/>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400B8B"/>
    <w:rsid w:val="0001207F"/>
    <w:rsid w:val="00017F94"/>
    <w:rsid w:val="00023842"/>
    <w:rsid w:val="000334F9"/>
    <w:rsid w:val="0007796D"/>
    <w:rsid w:val="000942EE"/>
    <w:rsid w:val="000A52BF"/>
    <w:rsid w:val="000B7790"/>
    <w:rsid w:val="000D3EE9"/>
    <w:rsid w:val="000D62F3"/>
    <w:rsid w:val="00111F2F"/>
    <w:rsid w:val="001433FD"/>
    <w:rsid w:val="0014365E"/>
    <w:rsid w:val="001541D3"/>
    <w:rsid w:val="00176178"/>
    <w:rsid w:val="001D400F"/>
    <w:rsid w:val="001F525A"/>
    <w:rsid w:val="00223272"/>
    <w:rsid w:val="0023215B"/>
    <w:rsid w:val="00240333"/>
    <w:rsid w:val="0024779E"/>
    <w:rsid w:val="00275408"/>
    <w:rsid w:val="002832AC"/>
    <w:rsid w:val="002D7C93"/>
    <w:rsid w:val="00356169"/>
    <w:rsid w:val="0037241C"/>
    <w:rsid w:val="003819FF"/>
    <w:rsid w:val="00400B8B"/>
    <w:rsid w:val="004342FC"/>
    <w:rsid w:val="00441C3B"/>
    <w:rsid w:val="00446B0A"/>
    <w:rsid w:val="00446FE5"/>
    <w:rsid w:val="00452396"/>
    <w:rsid w:val="00461BBA"/>
    <w:rsid w:val="004676E4"/>
    <w:rsid w:val="0049687C"/>
    <w:rsid w:val="004E468C"/>
    <w:rsid w:val="005316B0"/>
    <w:rsid w:val="005505B7"/>
    <w:rsid w:val="00573BE5"/>
    <w:rsid w:val="00586ED3"/>
    <w:rsid w:val="00596AA9"/>
    <w:rsid w:val="005A7F24"/>
    <w:rsid w:val="005B4D0F"/>
    <w:rsid w:val="0063409E"/>
    <w:rsid w:val="00663D17"/>
    <w:rsid w:val="00703D0F"/>
    <w:rsid w:val="00706363"/>
    <w:rsid w:val="0071601D"/>
    <w:rsid w:val="00734511"/>
    <w:rsid w:val="0073510B"/>
    <w:rsid w:val="00793210"/>
    <w:rsid w:val="007A62E6"/>
    <w:rsid w:val="007D7587"/>
    <w:rsid w:val="0080684C"/>
    <w:rsid w:val="008204DA"/>
    <w:rsid w:val="00830355"/>
    <w:rsid w:val="00871C75"/>
    <w:rsid w:val="008767E8"/>
    <w:rsid w:val="008776DC"/>
    <w:rsid w:val="00883605"/>
    <w:rsid w:val="008A4819"/>
    <w:rsid w:val="008E6043"/>
    <w:rsid w:val="00961E7B"/>
    <w:rsid w:val="009705C8"/>
    <w:rsid w:val="009C1CF4"/>
    <w:rsid w:val="009F02C9"/>
    <w:rsid w:val="00A30353"/>
    <w:rsid w:val="00A3244A"/>
    <w:rsid w:val="00A62D91"/>
    <w:rsid w:val="00A90D54"/>
    <w:rsid w:val="00AA113A"/>
    <w:rsid w:val="00AC3823"/>
    <w:rsid w:val="00AE323C"/>
    <w:rsid w:val="00AF774C"/>
    <w:rsid w:val="00B00181"/>
    <w:rsid w:val="00B00B0D"/>
    <w:rsid w:val="00B40927"/>
    <w:rsid w:val="00B50E25"/>
    <w:rsid w:val="00B64918"/>
    <w:rsid w:val="00B765F7"/>
    <w:rsid w:val="00BA0CA9"/>
    <w:rsid w:val="00C02897"/>
    <w:rsid w:val="00C7616F"/>
    <w:rsid w:val="00CB16B5"/>
    <w:rsid w:val="00CE0608"/>
    <w:rsid w:val="00D3439C"/>
    <w:rsid w:val="00D3775F"/>
    <w:rsid w:val="00D4279C"/>
    <w:rsid w:val="00D44CF3"/>
    <w:rsid w:val="00DB1831"/>
    <w:rsid w:val="00DD3BFD"/>
    <w:rsid w:val="00DE239D"/>
    <w:rsid w:val="00DE3699"/>
    <w:rsid w:val="00DF0B00"/>
    <w:rsid w:val="00DF431C"/>
    <w:rsid w:val="00DF6678"/>
    <w:rsid w:val="00E07AEB"/>
    <w:rsid w:val="00E16F6D"/>
    <w:rsid w:val="00E57615"/>
    <w:rsid w:val="00E6122C"/>
    <w:rsid w:val="00E90986"/>
    <w:rsid w:val="00EA62E8"/>
    <w:rsid w:val="00EF2E22"/>
    <w:rsid w:val="00F0592C"/>
    <w:rsid w:val="00F06ED4"/>
    <w:rsid w:val="00F36321"/>
    <w:rsid w:val="00F4328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C722BC"/>
  <w15:docId w15:val="{3DE6995E-9201-4625-8EA2-A8CC603A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uiPriority w:val="99"/>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39"/>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character" w:styleId="UnresolvedMention">
    <w:name w:val="Unresolved Mention"/>
    <w:basedOn w:val="DefaultParagraphFont"/>
    <w:uiPriority w:val="99"/>
    <w:semiHidden/>
    <w:unhideWhenUsed/>
    <w:rsid w:val="00734511"/>
    <w:rPr>
      <w:color w:val="605E5C"/>
      <w:shd w:val="clear" w:color="auto" w:fill="E1DFDD"/>
    </w:rPr>
  </w:style>
  <w:style w:type="paragraph" w:styleId="ListParagraph">
    <w:name w:val="List Paragraph"/>
    <w:basedOn w:val="Normal"/>
    <w:uiPriority w:val="34"/>
    <w:qFormat/>
    <w:rsid w:val="008A4819"/>
    <w:pPr>
      <w:kinsoku/>
      <w:overflowPunct/>
      <w:autoSpaceDE/>
      <w:autoSpaceDN/>
      <w:adjustRightInd/>
      <w:snapToGrid/>
      <w:ind w:left="720"/>
      <w:contextualSpacing/>
    </w:pPr>
    <w:rPr>
      <w:lang w:val="fr-FR" w:eastAsia="en-US"/>
    </w:rPr>
  </w:style>
  <w:style w:type="character" w:styleId="CommentReference">
    <w:name w:val="annotation reference"/>
    <w:basedOn w:val="DefaultParagraphFont"/>
    <w:uiPriority w:val="99"/>
    <w:semiHidden/>
    <w:unhideWhenUsed/>
    <w:rsid w:val="00EA62E8"/>
    <w:rPr>
      <w:sz w:val="16"/>
      <w:szCs w:val="16"/>
    </w:rPr>
  </w:style>
  <w:style w:type="paragraph" w:styleId="CommentText">
    <w:name w:val="annotation text"/>
    <w:basedOn w:val="Normal"/>
    <w:link w:val="CommentTextChar"/>
    <w:uiPriority w:val="99"/>
    <w:semiHidden/>
    <w:unhideWhenUsed/>
    <w:rsid w:val="00EA62E8"/>
    <w:pPr>
      <w:spacing w:line="240" w:lineRule="auto"/>
    </w:pPr>
  </w:style>
  <w:style w:type="character" w:customStyle="1" w:styleId="CommentTextChar">
    <w:name w:val="Comment Text Char"/>
    <w:basedOn w:val="DefaultParagraphFont"/>
    <w:link w:val="CommentText"/>
    <w:uiPriority w:val="99"/>
    <w:semiHidden/>
    <w:rsid w:val="00EA62E8"/>
  </w:style>
  <w:style w:type="paragraph" w:styleId="CommentSubject">
    <w:name w:val="annotation subject"/>
    <w:basedOn w:val="CommentText"/>
    <w:next w:val="CommentText"/>
    <w:link w:val="CommentSubjectChar"/>
    <w:uiPriority w:val="99"/>
    <w:semiHidden/>
    <w:unhideWhenUsed/>
    <w:rsid w:val="00EA62E8"/>
    <w:rPr>
      <w:b/>
      <w:bCs/>
    </w:rPr>
  </w:style>
  <w:style w:type="character" w:customStyle="1" w:styleId="CommentSubjectChar">
    <w:name w:val="Comment Subject Char"/>
    <w:basedOn w:val="CommentTextChar"/>
    <w:link w:val="CommentSubject"/>
    <w:uiPriority w:val="99"/>
    <w:semiHidden/>
    <w:rsid w:val="00EA6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acs.org.uk/download/1790"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0CB84-E051-4E27-AE54-58CBF750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TRANS_F.dotm</Template>
  <TotalTime>100</TotalTime>
  <Pages>13</Pages>
  <Words>4155</Words>
  <Characters>23687</Characters>
  <Application>Microsoft Office Word</Application>
  <DocSecurity>0</DocSecurity>
  <Lines>197</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ECE/TRANS/WP.15/AC.2/2020/32</vt:lpstr>
      <vt:lpstr>ECE/EX/22</vt:lpstr>
    </vt:vector>
  </TitlesOfParts>
  <Company>DCM</Company>
  <LinksUpToDate>false</LinksUpToDate>
  <CharactersWithSpaces>27787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ECE/TRANS/WP.15/AC.2/2020/32</dc:title>
  <dc:subject>FINAL</dc:subject>
  <dc:creator>Secretariat</dc:creator>
  <cp:keywords/>
  <dc:description/>
  <cp:lastModifiedBy>Secretariat</cp:lastModifiedBy>
  <cp:revision>17</cp:revision>
  <cp:lastPrinted>2014-05-14T10:59:00Z</cp:lastPrinted>
  <dcterms:created xsi:type="dcterms:W3CDTF">2020-05-29T07:35:00Z</dcterms:created>
  <dcterms:modified xsi:type="dcterms:W3CDTF">2020-05-29T10:05:00Z</dcterms:modified>
</cp:coreProperties>
</file>