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BA22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CB45BC" w14:textId="77777777" w:rsidR="002D5AAC" w:rsidRDefault="002D5AAC" w:rsidP="00CB62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3F0A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92E078" w14:textId="77777777" w:rsidR="002D5AAC" w:rsidRDefault="00CB62EC" w:rsidP="00CB62EC">
            <w:pPr>
              <w:jc w:val="right"/>
            </w:pPr>
            <w:r w:rsidRPr="00CB62EC">
              <w:rPr>
                <w:sz w:val="40"/>
              </w:rPr>
              <w:t>ECE</w:t>
            </w:r>
            <w:r>
              <w:t>/TRANS/WP.15/AC.2/2020/31</w:t>
            </w:r>
          </w:p>
        </w:tc>
      </w:tr>
      <w:tr w:rsidR="002D5AAC" w:rsidRPr="00720178" w14:paraId="11F21D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BDF63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8B9C6C" wp14:editId="29FCDF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9C26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6F91A9" w14:textId="77777777" w:rsidR="002D5AAC" w:rsidRDefault="00CB62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33D9F0" w14:textId="77777777" w:rsidR="00CB62EC" w:rsidRDefault="00CB62EC" w:rsidP="00CB6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463C81FC" w14:textId="77777777" w:rsidR="00CB62EC" w:rsidRDefault="00CB62EC" w:rsidP="00CB6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538A6C" w14:textId="77777777" w:rsidR="00CB62EC" w:rsidRPr="008D53B6" w:rsidRDefault="00CB62EC" w:rsidP="00CB6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744036" w14:textId="77777777" w:rsidR="00CB62E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D002ED" w14:textId="77777777" w:rsidR="004856A2" w:rsidRPr="00A07C66" w:rsidRDefault="004856A2" w:rsidP="004856A2">
      <w:pPr>
        <w:spacing w:before="120"/>
        <w:rPr>
          <w:sz w:val="28"/>
          <w:szCs w:val="28"/>
        </w:rPr>
      </w:pPr>
      <w:r w:rsidRPr="00A07C66">
        <w:rPr>
          <w:sz w:val="28"/>
          <w:szCs w:val="28"/>
        </w:rPr>
        <w:t>Комитет по внутреннему транспорту</w:t>
      </w:r>
    </w:p>
    <w:p w14:paraId="050D177E" w14:textId="77777777" w:rsidR="004856A2" w:rsidRPr="00A07C66" w:rsidRDefault="004856A2" w:rsidP="004856A2">
      <w:pPr>
        <w:spacing w:before="120"/>
        <w:rPr>
          <w:b/>
          <w:sz w:val="24"/>
          <w:szCs w:val="24"/>
        </w:rPr>
      </w:pPr>
      <w:r w:rsidRPr="00A07C66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4AE4A2" w14:textId="77777777" w:rsidR="004856A2" w:rsidRPr="00A07C66" w:rsidRDefault="004856A2" w:rsidP="004856A2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6E320CF7" w14:textId="77777777" w:rsidR="004856A2" w:rsidRPr="00A07C66" w:rsidRDefault="004856A2" w:rsidP="004856A2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11285213" w14:textId="77777777" w:rsidR="004856A2" w:rsidRPr="00A07C66" w:rsidRDefault="004856A2" w:rsidP="004856A2">
      <w:r>
        <w:t>Женева, 24–28 августа 2020 года</w:t>
      </w:r>
    </w:p>
    <w:p w14:paraId="52E15D92" w14:textId="77777777" w:rsidR="004856A2" w:rsidRPr="00A07C66" w:rsidRDefault="004856A2" w:rsidP="004856A2">
      <w:r>
        <w:t>Пункт 3 c) предварительной повестки дня</w:t>
      </w:r>
    </w:p>
    <w:p w14:paraId="2ACF8C7F" w14:textId="77777777" w:rsidR="004856A2" w:rsidRPr="00A07C66" w:rsidRDefault="004856A2" w:rsidP="004856A2">
      <w:pPr>
        <w:rPr>
          <w:b/>
          <w:bCs/>
        </w:rPr>
      </w:pPr>
      <w:r>
        <w:rPr>
          <w:b/>
          <w:bCs/>
        </w:rPr>
        <w:t>Применение Европейского соглашения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(ВОПОГ):</w:t>
      </w:r>
    </w:p>
    <w:p w14:paraId="774DB189" w14:textId="77777777" w:rsidR="004856A2" w:rsidRPr="00A07C66" w:rsidRDefault="004856A2" w:rsidP="004856A2">
      <w:pPr>
        <w:rPr>
          <w:b/>
        </w:rPr>
      </w:pPr>
      <w:r>
        <w:rPr>
          <w:b/>
          <w:bCs/>
        </w:rPr>
        <w:t>толкование Правил, прилагаемых к ВОПОГ</w:t>
      </w:r>
    </w:p>
    <w:p w14:paraId="7AA0C6F5" w14:textId="77777777" w:rsidR="004856A2" w:rsidRPr="00A07C66" w:rsidRDefault="004856A2" w:rsidP="004856A2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Не поддающиеся измерению вещества, для которых требуется наличие на борту токсиметра</w:t>
      </w:r>
    </w:p>
    <w:p w14:paraId="04FD9E51" w14:textId="77777777" w:rsidR="004856A2" w:rsidRPr="00A07C66" w:rsidRDefault="004856A2" w:rsidP="004856A2">
      <w:pPr>
        <w:pStyle w:val="H1G"/>
        <w:rPr>
          <w:b w:val="0"/>
        </w:rPr>
      </w:pPr>
      <w:r>
        <w:tab/>
      </w:r>
      <w:r>
        <w:tab/>
        <w:t>Передано Европейским союзом речного судоходства (ЕСРС) и</w:t>
      </w:r>
      <w:r>
        <w:rPr>
          <w:lang w:val="en-US"/>
        </w:rPr>
        <w:t> </w:t>
      </w:r>
      <w:r>
        <w:t>Европейской организацией судоводителей (ЕОС)</w:t>
      </w:r>
      <w:r w:rsidRPr="004856A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856A2">
        <w:rPr>
          <w:b w:val="0"/>
          <w:bCs/>
          <w:sz w:val="20"/>
        </w:rPr>
        <w:t xml:space="preserve"> </w:t>
      </w:r>
      <w:r w:rsidRPr="004856A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10AF3FE7" w14:textId="77777777" w:rsidR="004856A2" w:rsidRPr="00A07C66" w:rsidRDefault="004856A2" w:rsidP="004856A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E33366B" w14:textId="77777777" w:rsidR="004856A2" w:rsidRPr="00A07C66" w:rsidRDefault="004856A2" w:rsidP="004856A2">
      <w:pPr>
        <w:pStyle w:val="SingleTxtG"/>
      </w:pPr>
      <w:r>
        <w:t>1.</w:t>
      </w:r>
      <w:r>
        <w:tab/>
        <w:t>В соответствии со схемой принятия решения, приведенной в подразделе 3.2.3.3 ВОПОГ, токсиметр требуется для следующих веществ:</w:t>
      </w:r>
    </w:p>
    <w:p w14:paraId="7DBB74DE" w14:textId="77777777" w:rsidR="004856A2" w:rsidRPr="00A07C66" w:rsidRDefault="00720178" w:rsidP="004856A2">
      <w:pPr>
        <w:pStyle w:val="SingleTxtG"/>
      </w:pPr>
      <w:r>
        <w:tab/>
      </w:r>
      <w:r>
        <w:tab/>
      </w:r>
      <w:r w:rsidR="004856A2">
        <w:t xml:space="preserve">– </w:t>
      </w:r>
      <w:r w:rsidR="004856A2">
        <w:tab/>
        <w:t>всех веществ класса 6.1,</w:t>
      </w:r>
    </w:p>
    <w:p w14:paraId="1B7F6C3A" w14:textId="77777777" w:rsidR="004856A2" w:rsidRPr="00A07C66" w:rsidRDefault="004856A2" w:rsidP="00720178">
      <w:pPr>
        <w:pStyle w:val="SingleTxtG"/>
        <w:ind w:left="2268" w:hanging="567"/>
      </w:pPr>
      <w:r>
        <w:t xml:space="preserve">– </w:t>
      </w:r>
      <w:r>
        <w:tab/>
        <w:t>всех веществ других классов, имеющих букву T в классификационном коде, указанном в колонке 3b,</w:t>
      </w:r>
    </w:p>
    <w:p w14:paraId="02679F0D" w14:textId="77777777" w:rsidR="004856A2" w:rsidRPr="00A07C66" w:rsidRDefault="004856A2" w:rsidP="00720178">
      <w:pPr>
        <w:pStyle w:val="SingleTxtG"/>
        <w:ind w:left="2268" w:hanging="567"/>
      </w:pPr>
      <w:r>
        <w:t xml:space="preserve">– </w:t>
      </w:r>
      <w:r>
        <w:tab/>
        <w:t xml:space="preserve">веществ КМР </w:t>
      </w:r>
      <w:r w:rsidRPr="005667DD">
        <w:t>(</w:t>
      </w:r>
      <w:r w:rsidRPr="008A638F">
        <w:t>CMR</w:t>
      </w:r>
      <w:r w:rsidRPr="005667DD">
        <w:t>)</w:t>
      </w:r>
      <w:r>
        <w:t xml:space="preserve"> классов 1A или 1B согласно главам 3.5, 3.6 и 3.7 СГС.</w:t>
      </w:r>
    </w:p>
    <w:p w14:paraId="5C4D6F1E" w14:textId="77777777" w:rsidR="004856A2" w:rsidRPr="00A07C66" w:rsidRDefault="004856A2" w:rsidP="004856A2">
      <w:pPr>
        <w:pStyle w:val="SingleTxtG"/>
      </w:pPr>
      <w:r>
        <w:lastRenderedPageBreak/>
        <w:t>2.</w:t>
      </w:r>
      <w:r>
        <w:tab/>
        <w:t>В таблицах А и С в сочетании с пунктом 8.1.5.1 ВОПОГ предусматривается, что токсиметр должен находиться на борту, если в колонке 9 таблицы А или в колонке 18 таблицы С указано TOX:</w:t>
      </w:r>
    </w:p>
    <w:p w14:paraId="21ACB0FD" w14:textId="77777777" w:rsidR="004856A2" w:rsidRPr="005667DD" w:rsidRDefault="004856A2" w:rsidP="004856A2">
      <w:pPr>
        <w:pStyle w:val="SingleTxtG"/>
        <w:ind w:left="1701"/>
        <w:rPr>
          <w:i/>
        </w:rPr>
      </w:pPr>
      <w:r>
        <w:rPr>
          <w:i/>
          <w:iCs/>
        </w:rPr>
        <w:t>ТОХ: токсиметр, подходящий для текущего и предыдущего груза, с принадлежностями и инструкциями по его эксплуатации</w:t>
      </w:r>
      <w:r w:rsidRPr="005667DD">
        <w:rPr>
          <w:i/>
          <w:iCs/>
        </w:rPr>
        <w:t>.</w:t>
      </w:r>
    </w:p>
    <w:p w14:paraId="790E9147" w14:textId="77777777" w:rsidR="004856A2" w:rsidRPr="00A07C66" w:rsidRDefault="004856A2" w:rsidP="004856A2">
      <w:pPr>
        <w:pStyle w:val="SingleTxtG"/>
        <w:rPr>
          <w:iCs/>
        </w:rPr>
      </w:pPr>
      <w:r>
        <w:t>3.</w:t>
      </w:r>
      <w:r>
        <w:tab/>
        <w:t>В разделе 1.2.1 ВОПОГ токсиметр определяется следующим образом:</w:t>
      </w:r>
    </w:p>
    <w:p w14:paraId="3EE859EA" w14:textId="77777777" w:rsidR="004856A2" w:rsidRPr="00A07C66" w:rsidRDefault="004856A2" w:rsidP="004856A2">
      <w:pPr>
        <w:pStyle w:val="SingleTxtG"/>
        <w:ind w:left="1701"/>
        <w:rPr>
          <w:iCs/>
        </w:rPr>
      </w:pPr>
      <w:r>
        <w:t>«"</w:t>
      </w:r>
      <w:r>
        <w:rPr>
          <w:i/>
          <w:iCs/>
        </w:rPr>
        <w:t>Токсиметр</w:t>
      </w:r>
      <w:r>
        <w:t xml:space="preserve">" означает переносной (передвижной) прибор, позволяющий измерить любую значительную концентрацию токсичных газов и паров.». </w:t>
      </w:r>
    </w:p>
    <w:p w14:paraId="72CE2911" w14:textId="77777777" w:rsidR="004856A2" w:rsidRPr="00A07C66" w:rsidRDefault="004856A2" w:rsidP="004856A2">
      <w:pPr>
        <w:pStyle w:val="SingleTxtG"/>
        <w:rPr>
          <w:iCs/>
        </w:rPr>
      </w:pPr>
      <w:r>
        <w:t>4.</w:t>
      </w:r>
      <w:r>
        <w:tab/>
        <w:t>Прибор должен соответствовать стандартам EN 45544-1:2015, EN 45544-2:2015, EN 45544-3:2015 и EN 45544-4:2016 или стандарту ISO 17621:2015.</w:t>
      </w:r>
    </w:p>
    <w:p w14:paraId="6A0A60D1" w14:textId="77777777" w:rsidR="004856A2" w:rsidRPr="00A07C66" w:rsidRDefault="004856A2" w:rsidP="004856A2">
      <w:pPr>
        <w:pStyle w:val="SingleTxtG"/>
        <w:rPr>
          <w:i/>
        </w:rPr>
      </w:pPr>
      <w:r>
        <w:t>5.</w:t>
      </w:r>
      <w:r>
        <w:tab/>
        <w:t>Известно, что измерительные приборы, позволяющие обнаружить токсичные пары или газы,</w:t>
      </w:r>
      <w:r w:rsidRPr="00F40DB8">
        <w:t xml:space="preserve"> </w:t>
      </w:r>
      <w:r>
        <w:t>имеются</w:t>
      </w:r>
      <w:r w:rsidRPr="00F40DB8">
        <w:t xml:space="preserve"> </w:t>
      </w:r>
      <w:r>
        <w:t>не для всех продуктов</w:t>
      </w:r>
      <w:r w:rsidRPr="00F40DB8">
        <w:t>,</w:t>
      </w:r>
      <w:r>
        <w:t xml:space="preserve"> что приводит к несоблюдению требований. Следует рассмотреть вопрос о том, можно ли предложить альтернативные меры безопасности, которые могли бы гарантировать такой же уровень безопасности, как и уровень, предусмотренный положениями ВОПОГ.</w:t>
      </w:r>
    </w:p>
    <w:p w14:paraId="2B3124A5" w14:textId="77777777" w:rsidR="004856A2" w:rsidRPr="00A07C66" w:rsidRDefault="004856A2" w:rsidP="004856A2">
      <w:pPr>
        <w:pStyle w:val="HChG"/>
      </w:pPr>
      <w:r>
        <w:tab/>
      </w:r>
      <w:r>
        <w:tab/>
      </w:r>
      <w:r>
        <w:rPr>
          <w:bCs/>
        </w:rPr>
        <w:t>П</w:t>
      </w:r>
      <w:r>
        <w:t>оложения, касающиеся эксплуатационной безопасности</w:t>
      </w:r>
      <w:r>
        <w:rPr>
          <w:bCs/>
        </w:rPr>
        <w:t xml:space="preserve"> при использовании токсиметра</w:t>
      </w:r>
    </w:p>
    <w:p w14:paraId="175784F1" w14:textId="77777777" w:rsidR="004856A2" w:rsidRPr="008A638F" w:rsidRDefault="004856A2" w:rsidP="004856A2">
      <w:pPr>
        <w:pStyle w:val="SingleTxtG"/>
      </w:pPr>
      <w:r>
        <w:t>6.</w:t>
      </w:r>
      <w:r>
        <w:tab/>
        <w:t>К использованию токсиметра имеют отношение несколько положений ВОПОГ, касающихся эксплуатационной безопасности. Например:</w:t>
      </w:r>
    </w:p>
    <w:p w14:paraId="1393D178" w14:textId="77777777" w:rsidR="004856A2" w:rsidRPr="008A638F" w:rsidRDefault="004856A2" w:rsidP="004856A2">
      <w:pPr>
        <w:pStyle w:val="Bullet1G"/>
        <w:numPr>
          <w:ilvl w:val="0"/>
          <w:numId w:val="22"/>
        </w:numPr>
      </w:pPr>
      <w:r>
        <w:t xml:space="preserve">пункты 7.1.3.1.4 / 7.1.3.1.5 / 7.1.3.1.6 / 7.1.3.1.7: вход в трюмы; </w:t>
      </w:r>
    </w:p>
    <w:p w14:paraId="28D799C0" w14:textId="77777777" w:rsidR="004856A2" w:rsidRPr="00A07C66" w:rsidRDefault="004856A2" w:rsidP="004856A2">
      <w:pPr>
        <w:pStyle w:val="Bullet1G"/>
        <w:numPr>
          <w:ilvl w:val="0"/>
          <w:numId w:val="22"/>
        </w:numPr>
      </w:pPr>
      <w:r>
        <w:t>пункт 7.1.4.12.2: требования к вентиляции в случае утечки (подозрения на утечку) в трюмах;</w:t>
      </w:r>
    </w:p>
    <w:p w14:paraId="72321438" w14:textId="77777777" w:rsidR="004856A2" w:rsidRPr="00A07C66" w:rsidRDefault="004856A2" w:rsidP="004856A2">
      <w:pPr>
        <w:pStyle w:val="Bullet1G"/>
        <w:numPr>
          <w:ilvl w:val="0"/>
          <w:numId w:val="22"/>
        </w:numPr>
      </w:pPr>
      <w:r>
        <w:t>подраздел 7.1.6.12, специальное положение VE02: проведение измерений в трюмах для определения необходимости вентиляции, когда в трюмах «имеются токсичные газы и пары»;</w:t>
      </w:r>
    </w:p>
    <w:p w14:paraId="063E8E66" w14:textId="77777777" w:rsidR="004856A2" w:rsidRPr="00A07C66" w:rsidRDefault="004856A2" w:rsidP="004856A2">
      <w:pPr>
        <w:pStyle w:val="Bullet1G"/>
        <w:numPr>
          <w:ilvl w:val="0"/>
          <w:numId w:val="22"/>
        </w:numPr>
      </w:pPr>
      <w:r>
        <w:t>подраздел 7.1.6.16, специальное положение IN01: проведение каждые восемь часов измерений во всех пространствах на борту, куда входят члены экипажа;</w:t>
      </w:r>
    </w:p>
    <w:p w14:paraId="28E9A1D1" w14:textId="77777777" w:rsidR="004856A2" w:rsidRPr="00A07C66" w:rsidRDefault="004856A2" w:rsidP="004856A2">
      <w:pPr>
        <w:pStyle w:val="Bullet1G"/>
        <w:numPr>
          <w:ilvl w:val="0"/>
          <w:numId w:val="22"/>
        </w:numPr>
      </w:pPr>
      <w:r>
        <w:t>пункты 7.2.3.1.4</w:t>
      </w:r>
      <w:r w:rsidR="00720178">
        <w:t xml:space="preserve"> </w:t>
      </w:r>
      <w:r>
        <w:t>/</w:t>
      </w:r>
      <w:r w:rsidR="00720178">
        <w:t xml:space="preserve"> </w:t>
      </w:r>
      <w:r>
        <w:t>7.2.3.1.5</w:t>
      </w:r>
      <w:r w:rsidR="00720178">
        <w:t xml:space="preserve"> </w:t>
      </w:r>
      <w:r>
        <w:t>/</w:t>
      </w:r>
      <w:r w:rsidR="00720178">
        <w:t xml:space="preserve"> </w:t>
      </w:r>
      <w:r>
        <w:t>7.2.3.1.6: вход в грузовые танки;</w:t>
      </w:r>
    </w:p>
    <w:p w14:paraId="25F1A2B3" w14:textId="77777777" w:rsidR="004856A2" w:rsidRPr="008A638F" w:rsidRDefault="004856A2" w:rsidP="004856A2">
      <w:pPr>
        <w:pStyle w:val="Bullet1G"/>
        <w:numPr>
          <w:ilvl w:val="0"/>
          <w:numId w:val="22"/>
        </w:numPr>
      </w:pPr>
      <w:r>
        <w:t>пункт 7.2.3.7.1.4: дегазация в атмосферу;</w:t>
      </w:r>
    </w:p>
    <w:p w14:paraId="41FB635A" w14:textId="77777777" w:rsidR="004856A2" w:rsidRPr="00A07C66" w:rsidRDefault="004856A2" w:rsidP="004856A2">
      <w:pPr>
        <w:pStyle w:val="Bullet1G"/>
        <w:numPr>
          <w:ilvl w:val="0"/>
          <w:numId w:val="22"/>
        </w:numPr>
      </w:pPr>
      <w:r>
        <w:t>пункты 7.2.3.7.1.5</w:t>
      </w:r>
      <w:r w:rsidR="00720178">
        <w:t xml:space="preserve"> </w:t>
      </w:r>
      <w:r>
        <w:t>/</w:t>
      </w:r>
      <w:r w:rsidR="00720178">
        <w:t xml:space="preserve"> </w:t>
      </w:r>
      <w:r>
        <w:t>7.2.3.7.2.5: снятие сигнализации (синих конусов) после дегазации;</w:t>
      </w:r>
    </w:p>
    <w:p w14:paraId="641F419E" w14:textId="77777777" w:rsidR="004856A2" w:rsidRPr="00A41CAB" w:rsidRDefault="004856A2" w:rsidP="004856A2">
      <w:pPr>
        <w:pStyle w:val="Bullet1G"/>
        <w:numPr>
          <w:ilvl w:val="0"/>
          <w:numId w:val="22"/>
        </w:numPr>
      </w:pPr>
      <w:r w:rsidRPr="00A41CAB">
        <w:t>пункт 7.2.5.0.1: выставление</w:t>
      </w:r>
      <w:r w:rsidRPr="00324907">
        <w:t>/</w:t>
      </w:r>
      <w:r>
        <w:t>снятие</w:t>
      </w:r>
      <w:r w:rsidRPr="00A41CAB">
        <w:t xml:space="preserve"> синих конусов.</w:t>
      </w:r>
    </w:p>
    <w:p w14:paraId="1E254702" w14:textId="77777777" w:rsidR="004856A2" w:rsidRPr="00A07C66" w:rsidRDefault="004856A2" w:rsidP="004856A2">
      <w:pPr>
        <w:pStyle w:val="HChG"/>
      </w:pPr>
      <w:r>
        <w:tab/>
      </w:r>
      <w:r>
        <w:tab/>
      </w:r>
      <w:r>
        <w:rPr>
          <w:bCs/>
        </w:rPr>
        <w:t>Вещества, которые не могут быть измерены с помощью токсиметра</w:t>
      </w:r>
    </w:p>
    <w:p w14:paraId="1721CDD4" w14:textId="77777777" w:rsidR="004856A2" w:rsidRPr="00A07C66" w:rsidRDefault="004856A2" w:rsidP="004856A2">
      <w:pPr>
        <w:pStyle w:val="SingleTxtG"/>
      </w:pPr>
      <w:r>
        <w:t>7.</w:t>
      </w:r>
      <w:r>
        <w:tab/>
        <w:t xml:space="preserve">В соответствии с положениями документа INF.2 тридцать пятой сессии Комитета по вопросам безопасности ВОПОГ и результатами общей дискуссии в отношении веществ, которые не могут быть обнаружены с помощью токсиметра, ЕСРС/ЕОС вызвались провести исследование. Это исследование было проведено членами голландских промышленных ассоциаций в сотрудничестве со специалистами компании «Dräger Maritime». </w:t>
      </w:r>
    </w:p>
    <w:p w14:paraId="06E1F70A" w14:textId="77777777" w:rsidR="004856A2" w:rsidRPr="00A07C66" w:rsidRDefault="004856A2" w:rsidP="004856A2">
      <w:pPr>
        <w:pStyle w:val="SingleTxtG"/>
      </w:pPr>
      <w:r>
        <w:t xml:space="preserve">8. </w:t>
      </w:r>
      <w:r>
        <w:tab/>
        <w:t>В результате этого исследования было сделано два предварительных вывода:</w:t>
      </w:r>
    </w:p>
    <w:p w14:paraId="25CEF6E1" w14:textId="77777777" w:rsidR="004856A2" w:rsidRPr="00A07C66" w:rsidRDefault="004856A2" w:rsidP="004856A2">
      <w:pPr>
        <w:pStyle w:val="SingleTxtG"/>
        <w:ind w:firstLine="567"/>
      </w:pPr>
      <w:r>
        <w:t>a)</w:t>
      </w:r>
      <w:r>
        <w:tab/>
        <w:t>Имеется большое число специфических веществ, для которых вообще не существует методики измерения или подходящего измерительного оборудования. В</w:t>
      </w:r>
      <w:r>
        <w:rPr>
          <w:lang w:val="en-US"/>
        </w:rPr>
        <w:t> </w:t>
      </w:r>
      <w:r>
        <w:t>приложении I приводится предварительный и неисчерпывающий перечень примеров перевозимых веществ, для которых требуется «TOX», но которые не могут быть обнаружены с помощью токсиметра, имеющегося на борту судна.</w:t>
      </w:r>
    </w:p>
    <w:p w14:paraId="0FE1CAB7" w14:textId="77777777" w:rsidR="004856A2" w:rsidRPr="00A07C66" w:rsidRDefault="004856A2" w:rsidP="004856A2">
      <w:pPr>
        <w:pStyle w:val="SingleTxtG"/>
        <w:ind w:firstLine="567"/>
      </w:pPr>
      <w:bookmarkStart w:id="0" w:name="_GoBack"/>
      <w:bookmarkEnd w:id="0"/>
      <w:r>
        <w:lastRenderedPageBreak/>
        <w:t>b)</w:t>
      </w:r>
      <w:r>
        <w:tab/>
        <w:t xml:space="preserve">На практике требование об обязательном наличии токсиметров выполняется путем использования специального токсиметра с </w:t>
      </w:r>
      <w:bookmarkStart w:id="1" w:name="_Hlk41722513"/>
      <w:r>
        <w:t>индикаторными</w:t>
      </w:r>
      <w:bookmarkEnd w:id="1"/>
      <w:r>
        <w:t xml:space="preserve"> трубками для кратковременных измерений или так называемых электронных детекторов</w:t>
      </w:r>
      <w:r w:rsidRPr="00F7344A">
        <w:t xml:space="preserve"> </w:t>
      </w:r>
      <w:r>
        <w:t xml:space="preserve">PID* (PID: Photo Ionisation Detector (фотоионизационный детектор)), которые обычно используются на борту в качестве альтернативного устройства. </w:t>
      </w:r>
      <w:bookmarkStart w:id="2" w:name="_Hlk41723227"/>
      <w:r>
        <w:t xml:space="preserve">Детектор PID </w:t>
      </w:r>
      <w:bookmarkEnd w:id="2"/>
      <w:r>
        <w:t>позволяет получить гораздо более надежные и точные данные о результатах, чем токсиметр с индикаторными трубками для кратковременных измерений, однако он не упоминается в ВОПОГ.</w:t>
      </w:r>
    </w:p>
    <w:p w14:paraId="642A9210" w14:textId="77777777" w:rsidR="004856A2" w:rsidRPr="00A07C66" w:rsidRDefault="004856A2" w:rsidP="004856A2">
      <w:pPr>
        <w:pStyle w:val="HChG"/>
      </w:pPr>
      <w:r>
        <w:tab/>
      </w:r>
      <w:r>
        <w:tab/>
      </w:r>
      <w:r>
        <w:tab/>
      </w:r>
      <w:r>
        <w:rPr>
          <w:bCs/>
        </w:rPr>
        <w:t>Вопросы к Комитету по вопросам безопасности ВОПОГ</w:t>
      </w:r>
    </w:p>
    <w:p w14:paraId="503269DF" w14:textId="77777777" w:rsidR="004856A2" w:rsidRPr="00A07C66" w:rsidRDefault="004856A2" w:rsidP="004856A2">
      <w:pPr>
        <w:pStyle w:val="SingleTxtG"/>
      </w:pPr>
      <w:r>
        <w:t>9.</w:t>
      </w:r>
      <w:r>
        <w:tab/>
        <w:t>ЕСРС/ЕОС предлагают передать эту тему неофициальной рабочей группе по веществам ВОПОГ с учетом имеющихся у нее специальных технических знаний в области свойств веществ и безопасности.</w:t>
      </w:r>
    </w:p>
    <w:p w14:paraId="391465BB" w14:textId="77777777" w:rsidR="004856A2" w:rsidRPr="00A07C66" w:rsidRDefault="004856A2" w:rsidP="004856A2">
      <w:pPr>
        <w:pStyle w:val="SingleTxtG"/>
      </w:pPr>
      <w:r>
        <w:t>10.</w:t>
      </w:r>
      <w:r>
        <w:tab/>
        <w:t>В рамках рабочей группы по веществам можно было бы обсудить следующие вопросы:</w:t>
      </w:r>
    </w:p>
    <w:p w14:paraId="5E8F88FB" w14:textId="77777777" w:rsidR="004856A2" w:rsidRPr="00A07C66" w:rsidRDefault="004856A2" w:rsidP="004856A2">
      <w:pPr>
        <w:pStyle w:val="SingleTxtG"/>
      </w:pPr>
      <w:r>
        <w:tab/>
      </w:r>
      <w:r>
        <w:tab/>
        <w:t>a)</w:t>
      </w:r>
      <w:r>
        <w:tab/>
        <w:t>какие вещества, для которых требуется токсиметр, не могут быть обнаружены с помощью токсиметра или детектора PID?</w:t>
      </w:r>
    </w:p>
    <w:p w14:paraId="4386DB0D" w14:textId="77777777" w:rsidR="004856A2" w:rsidRPr="00A07C66" w:rsidRDefault="004856A2" w:rsidP="004856A2">
      <w:pPr>
        <w:pStyle w:val="SingleTxtG"/>
      </w:pPr>
      <w:r>
        <w:tab/>
      </w:r>
      <w:r>
        <w:tab/>
        <w:t>b)</w:t>
      </w:r>
      <w:r>
        <w:tab/>
        <w:t xml:space="preserve">как следует поступать с нынешними положениями ВОПОГ (см. пункт 6) во время перевозки этих веществ? Существуют ли альтернативные меры предосторожности, обеспечивающие такой же уровень безопасности? </w:t>
      </w:r>
    </w:p>
    <w:p w14:paraId="278E61B5" w14:textId="77777777" w:rsidR="004856A2" w:rsidRPr="00A07C66" w:rsidRDefault="004856A2" w:rsidP="004856A2">
      <w:pPr>
        <w:pStyle w:val="SingleTxtG"/>
      </w:pPr>
      <w:r>
        <w:tab/>
      </w:r>
      <w:r>
        <w:tab/>
        <w:t>c)</w:t>
      </w:r>
      <w:r>
        <w:tab/>
        <w:t>уместно ли производить измерения между контейнерами</w:t>
      </w:r>
      <w:r w:rsidR="00720178">
        <w:t xml:space="preserve"> </w:t>
      </w:r>
      <w:r>
        <w:t>(-цистернами), которые уложены на палубе под открытым небом и на ветру, аналогично ситуации при перевозке на открытом воздухе на грузовом автомобиле (ДОПОГ) или железнодорожной платформе (МПОГ)?</w:t>
      </w:r>
    </w:p>
    <w:p w14:paraId="1C472A62" w14:textId="77777777" w:rsidR="004856A2" w:rsidRPr="00A07C66" w:rsidRDefault="004856A2" w:rsidP="004856A2">
      <w:pPr>
        <w:pStyle w:val="SingleTxtG"/>
      </w:pPr>
      <w:r>
        <w:tab/>
      </w:r>
      <w:r>
        <w:tab/>
        <w:t>d)</w:t>
      </w:r>
      <w:r>
        <w:tab/>
        <w:t>следует ли специально упомянуть детектор PID в ВОПОГ?</w:t>
      </w:r>
    </w:p>
    <w:p w14:paraId="7131ABF8" w14:textId="77777777" w:rsidR="004856A2" w:rsidRPr="00A07C66" w:rsidRDefault="004856A2" w:rsidP="004856A2">
      <w:pPr>
        <w:pStyle w:val="SingleTxtG"/>
      </w:pPr>
      <w:r>
        <w:tab/>
      </w:r>
      <w:r>
        <w:tab/>
        <w:t xml:space="preserve">Требуемые стандарты EN 45544-:2015, упомянутые в определении токсиметра, касаются «электрических приборов, используемых для прямого обнаружения и прямого измерения концентрации газов и паров», </w:t>
      </w:r>
      <w:r w:rsidR="00720178">
        <w:t>т. е.</w:t>
      </w:r>
      <w:r>
        <w:t>, по-видимому, применимы к детекторам PID. Токсиметр сам по себе является ручным (не электрическим) счетчиком, к которому применяется стандарт ISO 17621:2015. Можно ли прояснить это?</w:t>
      </w:r>
    </w:p>
    <w:p w14:paraId="199F360B" w14:textId="77777777" w:rsidR="004856A2" w:rsidRPr="00A07C66" w:rsidRDefault="004856A2" w:rsidP="004856A2">
      <w:pPr>
        <w:pStyle w:val="SingleTxtG"/>
      </w:pPr>
      <w:r>
        <w:t xml:space="preserve">11. </w:t>
      </w:r>
      <w:r>
        <w:tab/>
        <w:t>EСРС/ЕОС действительно воспользовались бы поддержкой Комитета по вопросам безопасности, так как наша отрасль знает теперь об этом пробеле безопасности и не уверена в том, как следует поступать при транспортировке соответствующих веществ, которые мы, конечно же, хотели бы продолжать транспортировать. Необходимы альтернативные меры безопасности для защиты экипажа и соблюдения законодательства безопасным образом. ЕСРС/ЕОС готовы подготовить дальнейшее исследование и будут рады передать дополнительные результаты неофициальной рабочей группе по веществам.</w:t>
      </w:r>
    </w:p>
    <w:p w14:paraId="0BE8FBAC" w14:textId="77777777" w:rsidR="004856A2" w:rsidRPr="00A07C66" w:rsidRDefault="004856A2" w:rsidP="004856A2">
      <w:pPr>
        <w:pStyle w:val="SingleTxtG"/>
        <w:rPr>
          <w:b/>
          <w:bCs/>
        </w:rPr>
      </w:pPr>
      <w:r w:rsidRPr="00A07C66">
        <w:rPr>
          <w:b/>
          <w:bCs/>
        </w:rPr>
        <w:br w:type="page"/>
      </w:r>
    </w:p>
    <w:p w14:paraId="040BA764" w14:textId="77777777" w:rsidR="004856A2" w:rsidRPr="00A07C66" w:rsidRDefault="004856A2" w:rsidP="004856A2">
      <w:pPr>
        <w:pStyle w:val="HChG"/>
      </w:pPr>
      <w:r>
        <w:rPr>
          <w:bCs/>
        </w:rPr>
        <w:lastRenderedPageBreak/>
        <w:t>Приложение</w:t>
      </w:r>
    </w:p>
    <w:p w14:paraId="4E2159C1" w14:textId="77777777" w:rsidR="004856A2" w:rsidRPr="00A07C66" w:rsidRDefault="004856A2" w:rsidP="004856A2">
      <w:pPr>
        <w:pStyle w:val="HChG"/>
      </w:pPr>
      <w:r>
        <w:tab/>
      </w:r>
      <w:r>
        <w:tab/>
      </w:r>
      <w:r>
        <w:rPr>
          <w:bCs/>
        </w:rPr>
        <w:t>Предварительный перечень продуктов, которые не могут быть обнаружены с помощью токсиметра</w:t>
      </w:r>
    </w:p>
    <w:p w14:paraId="707D2451" w14:textId="77777777" w:rsidR="004856A2" w:rsidRPr="00A07C66" w:rsidRDefault="004856A2" w:rsidP="004856A2">
      <w:pPr>
        <w:pStyle w:val="H23G"/>
      </w:pPr>
      <w:r>
        <w:tab/>
      </w:r>
      <w:r>
        <w:tab/>
        <w:t>Примеры веществ, которые не могут быть измерены с помощью токсиметра, – предварительный перечень ЕСРС/ЕОС, январь 2020 года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3968"/>
      </w:tblGrid>
      <w:tr w:rsidR="004856A2" w:rsidRPr="004856A2" w14:paraId="2F9F0EEB" w14:textId="77777777" w:rsidTr="004856A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72426" w14:textId="77777777" w:rsidR="004856A2" w:rsidRPr="004856A2" w:rsidRDefault="004856A2" w:rsidP="00A8597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856A2">
              <w:rPr>
                <w:i/>
                <w:iCs/>
                <w:sz w:val="16"/>
                <w:szCs w:val="16"/>
              </w:rPr>
              <w:t>№ ООН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28EDC" w14:textId="77777777" w:rsidR="004856A2" w:rsidRPr="004856A2" w:rsidRDefault="004856A2" w:rsidP="00A8597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856A2">
              <w:rPr>
                <w:i/>
                <w:iCs/>
                <w:sz w:val="16"/>
                <w:szCs w:val="16"/>
              </w:rPr>
              <w:t>Наименование или описание продукта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0F6B96" w14:textId="77777777" w:rsidR="004856A2" w:rsidRPr="004856A2" w:rsidRDefault="004856A2" w:rsidP="00A8597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856A2">
              <w:rPr>
                <w:i/>
                <w:iCs/>
                <w:sz w:val="16"/>
                <w:szCs w:val="16"/>
              </w:rPr>
              <w:t>Замечания</w:t>
            </w:r>
          </w:p>
        </w:tc>
      </w:tr>
      <w:tr w:rsidR="004856A2" w:rsidRPr="00FC2DE9" w14:paraId="06BB8CC4" w14:textId="77777777" w:rsidTr="004856A2">
        <w:trPr>
          <w:trHeight w:hRule="exact" w:val="113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40C1468" w14:textId="77777777" w:rsidR="004856A2" w:rsidRPr="00FC2DE9" w:rsidRDefault="004856A2" w:rsidP="00A8597A">
            <w:pPr>
              <w:spacing w:before="40" w:after="120"/>
              <w:ind w:right="113"/>
              <w:rPr>
                <w:lang w:val="en-US" w:eastAsia="nl-NL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E7794C0" w14:textId="77777777" w:rsidR="004856A2" w:rsidRPr="00FC2DE9" w:rsidRDefault="004856A2" w:rsidP="00A8597A">
            <w:pPr>
              <w:spacing w:before="40" w:after="120"/>
              <w:ind w:right="113"/>
              <w:rPr>
                <w:lang w:val="en-US" w:eastAsia="nl-NL"/>
              </w:rPr>
            </w:pP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C9261B8" w14:textId="77777777" w:rsidR="004856A2" w:rsidRPr="00FC2DE9" w:rsidRDefault="004856A2" w:rsidP="00A8597A">
            <w:pPr>
              <w:spacing w:before="40" w:after="120"/>
              <w:ind w:right="113"/>
              <w:rPr>
                <w:lang w:val="en-US" w:eastAsia="nl-NL"/>
              </w:rPr>
            </w:pPr>
          </w:p>
        </w:tc>
      </w:tr>
      <w:tr w:rsidR="004856A2" w:rsidRPr="00FC2DE9" w14:paraId="17AA8324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6413E22A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1026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9D8507A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ЦИАН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A9455C0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7400A585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0375AE22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1069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4A60EB7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НИТРОЗИЛХЛОРИД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018F5D73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3CF643AE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57DAC79E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1381</w:t>
            </w:r>
          </w:p>
        </w:tc>
        <w:tc>
          <w:tcPr>
            <w:tcW w:w="3685" w:type="dxa"/>
            <w:shd w:val="clear" w:color="auto" w:fill="auto"/>
            <w:hideMark/>
          </w:tcPr>
          <w:p w14:paraId="7F28D7C7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>ФОСФОР БЕЛЫЙ или ЖЕЛТЫЙ ПОД</w:t>
            </w:r>
            <w:r>
              <w:rPr>
                <w:lang w:val="en-US"/>
              </w:rPr>
              <w:t> </w:t>
            </w:r>
            <w:r>
              <w:t>ВОДОЙ или В РАСТВОРЕ</w:t>
            </w:r>
          </w:p>
        </w:tc>
        <w:tc>
          <w:tcPr>
            <w:tcW w:w="3968" w:type="dxa"/>
            <w:shd w:val="clear" w:color="auto" w:fill="auto"/>
            <w:hideMark/>
          </w:tcPr>
          <w:p w14:paraId="5CEAF643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 xml:space="preserve">Само вещество не поддается измерению, но пары, выделяемые этим веществом, можно измерить с помощью индикаторных трубок для кратковременных измерений для </w:t>
            </w:r>
            <w:r w:rsidRPr="002C08EA">
              <w:t xml:space="preserve">фосфористого водорода. </w:t>
            </w:r>
          </w:p>
        </w:tc>
      </w:tr>
      <w:tr w:rsidR="004856A2" w:rsidRPr="00FC2DE9" w14:paraId="2B51ABA2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E8F2DCC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1182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5DCBECD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ЭТИЛХЛОРФОРМИАТ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6090BA8D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0804072F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77323BB7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1541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D29E1D3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АЦЕТОНЦИАНГИДРИН СТАБИЛИЗИРОВАННЫЙ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AC94FB8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125E7BE9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1D94588A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1664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F155E07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НИТРОТОЛУОЛЫ ЖИДКИЕ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51C51FB6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098BD199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DC4579C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1750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061DDD5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КИСЛОТЫ ХЛОРУКСУСНОЙ РАСТВОР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4587E5E8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5B25CA1D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53F4940D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1790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8E09CC6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>КИСЛОТЫ ФТОРИСТОВОДОРОДНОЙ раствор с содержанием фтористоводородной кислоты % (3</w:t>
            </w:r>
            <w:r w:rsidR="001F5F92">
              <w:rPr>
                <w:lang w:val="en-US"/>
              </w:rPr>
              <w:t> </w:t>
            </w:r>
            <w:r>
              <w:t>позиции!)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0BEB40E8" w14:textId="77777777" w:rsidR="004856A2" w:rsidRPr="00A07C66" w:rsidRDefault="004856A2" w:rsidP="001F5F92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183C7F7D" w14:textId="77777777" w:rsidTr="004856A2">
        <w:tc>
          <w:tcPr>
            <w:tcW w:w="851" w:type="dxa"/>
            <w:shd w:val="clear" w:color="auto" w:fill="auto"/>
            <w:noWrap/>
          </w:tcPr>
          <w:p w14:paraId="53C79F76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1838</w:t>
            </w:r>
          </w:p>
        </w:tc>
        <w:tc>
          <w:tcPr>
            <w:tcW w:w="3685" w:type="dxa"/>
            <w:shd w:val="clear" w:color="auto" w:fill="auto"/>
            <w:noWrap/>
          </w:tcPr>
          <w:p w14:paraId="2C3D6568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ТИТАНА ТЕТРАХЛОРИД</w:t>
            </w:r>
          </w:p>
        </w:tc>
        <w:tc>
          <w:tcPr>
            <w:tcW w:w="3968" w:type="dxa"/>
            <w:shd w:val="clear" w:color="auto" w:fill="auto"/>
            <w:noWrap/>
          </w:tcPr>
          <w:p w14:paraId="4A682411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</w:p>
        </w:tc>
      </w:tr>
      <w:tr w:rsidR="004856A2" w:rsidRPr="00FC2DE9" w14:paraId="4528F1E6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63F393AF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2013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2758009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СТРОНЦИЯ ФОСФИД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40BD9C7B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0CE8682F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ED4EEE1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2205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9DCFDE9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АДИПОНИТРИЛ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0E05BB20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630031C6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AF19755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2078</w:t>
            </w:r>
          </w:p>
        </w:tc>
        <w:tc>
          <w:tcPr>
            <w:tcW w:w="3685" w:type="dxa"/>
            <w:shd w:val="clear" w:color="auto" w:fill="auto"/>
            <w:hideMark/>
          </w:tcPr>
          <w:p w14:paraId="314783ED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>ТОЛУОЛДИИЗОЦИАНАТ</w:t>
            </w:r>
            <w:r w:rsidR="001F5F92">
              <w:br/>
            </w:r>
            <w:r>
              <w:t>(и смеси изомеров)</w:t>
            </w:r>
            <w:r w:rsidR="001F5F92">
              <w:br/>
            </w:r>
            <w:r>
              <w:t>(2,4-ТОЛУОЛДИИЗОЦИАНАТ)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1F9CF217" w14:textId="77777777" w:rsidR="004856A2" w:rsidRPr="00A07C66" w:rsidRDefault="004856A2" w:rsidP="001F5F92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117D08C0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19825578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2281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38159C95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ГЕКСАМЕТИЛЕНДИИЗОЦИАНАТ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3024DE9D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26E013CD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04C56DD1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2290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512AA04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ИЗОФОРОНДИИЗОЦИАНАТ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5811330B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507147FC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7D645B0A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2295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E0577FC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МЕТИЛХЛОРАЦЕТАТ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02D8C103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771E6E47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24E37BB9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2438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60E2546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ТРИМЕТИЛАЦЕТИЛХЛОРИД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7B8C9B2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59FD001B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657997F8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2748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4C800CE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2-ЭТИЛГЕКСИЛХЛОРФОРМИАТ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07D38E0B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1F484367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59F9E9EB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2754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38FBB9A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N-Этилтолуидины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1C1CFDFB" w14:textId="77777777" w:rsidR="004856A2" w:rsidRPr="00FC2DE9" w:rsidRDefault="004856A2" w:rsidP="001F5F92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78CBBEA3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324E8941" w14:textId="77777777" w:rsidR="004856A2" w:rsidRPr="00FC2DE9" w:rsidRDefault="004856A2" w:rsidP="001F5F92">
            <w:pPr>
              <w:spacing w:before="40" w:after="120" w:line="234" w:lineRule="atLeast"/>
              <w:ind w:right="113"/>
            </w:pPr>
            <w:r>
              <w:t>2927</w:t>
            </w:r>
          </w:p>
        </w:tc>
        <w:tc>
          <w:tcPr>
            <w:tcW w:w="3685" w:type="dxa"/>
            <w:shd w:val="clear" w:color="auto" w:fill="auto"/>
            <w:hideMark/>
          </w:tcPr>
          <w:p w14:paraId="09F45D5B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>ЖИДКОСТЬ ТОКСИЧНАЯ, КОРРОЗИОННАЯ, ОРГАНИЧЕСКАЯ, Н.У.К. (2 позиции)</w:t>
            </w:r>
          </w:p>
        </w:tc>
        <w:tc>
          <w:tcPr>
            <w:tcW w:w="3968" w:type="dxa"/>
            <w:shd w:val="clear" w:color="auto" w:fill="auto"/>
            <w:hideMark/>
          </w:tcPr>
          <w:p w14:paraId="7EAE1E42" w14:textId="77777777" w:rsidR="004856A2" w:rsidRPr="00A07C66" w:rsidRDefault="004856A2" w:rsidP="001F5F92">
            <w:pPr>
              <w:spacing w:before="40" w:after="120" w:line="234" w:lineRule="atLeast"/>
              <w:ind w:right="113"/>
            </w:pPr>
            <w:r>
              <w:t>4-Хлорбутирилхлорид может быть обнаружен с помощью индикаторной</w:t>
            </w:r>
            <w:r w:rsidR="001F5F92">
              <w:br/>
            </w:r>
            <w:r>
              <w:t>трубки для кратковременных измерений Phosgen 0.02a (Фосген 0,02а). Другие вещества под № ООН 2927 невозможно измерить с помощью электронного детектора PID или индикаторных трубок для кратковременных измерений.</w:t>
            </w:r>
          </w:p>
        </w:tc>
      </w:tr>
      <w:tr w:rsidR="004856A2" w:rsidRPr="00324907" w14:paraId="5E9E0B85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3B5D6C60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lastRenderedPageBreak/>
              <w:t>2929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A136DC7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ТОКСИЧНАЯ, ЛЕГКОВОСПЛАМЕНЯЮЩАЯСЯ, ОРГАНИЧЕСКАЯ,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6672909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FC2DE9" w14:paraId="530ECB70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702CD191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2966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270A93B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ТИОГЛИКОЛЬ (меркаптоэтанол)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3718F228" w14:textId="77777777" w:rsidR="004856A2" w:rsidRPr="00FC2DE9" w:rsidRDefault="004856A2" w:rsidP="00D2619B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59821119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799F6F89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3276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486D187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НИТРИЛЫ ЖИДКИЕ ТОКСИЧНЫЕ, Н.У.К. (3 позиции)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7321247F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867559">
              <w:rPr>
                <w:lang w:val="fr-CH" w:eastAsia="nl-NL"/>
              </w:rPr>
              <w:t> </w:t>
            </w:r>
          </w:p>
        </w:tc>
      </w:tr>
      <w:tr w:rsidR="004856A2" w:rsidRPr="00FC2DE9" w14:paraId="0C629195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6DD6DAC0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3302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692DC74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2-ДИМЕТИЛАМИНОЭТИЛАКРИЛАТ СТАБИЛИЗИРОВАННЫЙ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B202CC7" w14:textId="77777777" w:rsidR="004856A2" w:rsidRPr="00FC2DE9" w:rsidRDefault="004856A2" w:rsidP="00D2619B">
            <w:pPr>
              <w:spacing w:before="40" w:after="120" w:line="234" w:lineRule="atLeast"/>
              <w:ind w:right="113"/>
              <w:rPr>
                <w:lang w:val="en-US"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68A80663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3C77B8F3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7FF287A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72C0C73B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6923A110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1109E9CC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45AE4D1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6E08F81F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19FE0501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16E6E0EB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324F65BF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ЛЕГКОВОСПЛАМЕНЯЮЩАЯСЯ,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AFF2A14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324907" w14:paraId="6B381EE2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112B2A2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3384</w:t>
            </w:r>
          </w:p>
        </w:tc>
        <w:tc>
          <w:tcPr>
            <w:tcW w:w="3685" w:type="dxa"/>
            <w:shd w:val="clear" w:color="auto" w:fill="auto"/>
            <w:hideMark/>
          </w:tcPr>
          <w:p w14:paraId="055BBE55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ЛЕГКОВОСПЛАМЕНЯЮЩАЯСЯ,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BA16F50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3A553416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6305C799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3385</w:t>
            </w:r>
          </w:p>
        </w:tc>
        <w:tc>
          <w:tcPr>
            <w:tcW w:w="3685" w:type="dxa"/>
            <w:shd w:val="clear" w:color="auto" w:fill="auto"/>
            <w:hideMark/>
          </w:tcPr>
          <w:p w14:paraId="6FC73064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ЛЕГКОВОСПЛАМЕНЯЮЩАЯСЯ,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4798572D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5508612F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71BC088E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5A12440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РЕАГИРУЮЩАЯ С</w:t>
            </w:r>
            <w:r w:rsidR="00D2619B">
              <w:t> </w:t>
            </w:r>
            <w:r>
              <w:t>ВОДОЙ,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1F87E0C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09417E19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3D852536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3387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37F159FD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ОКИСЛЯЮЩАЯ,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411622CA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5104E44B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308F28F9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F23B284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ОКИСЛЯЮЩАЯ,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17847EE5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40884980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3B6E790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3389</w:t>
            </w:r>
          </w:p>
        </w:tc>
        <w:tc>
          <w:tcPr>
            <w:tcW w:w="3685" w:type="dxa"/>
            <w:shd w:val="clear" w:color="auto" w:fill="auto"/>
            <w:hideMark/>
          </w:tcPr>
          <w:p w14:paraId="5ADE62BE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КОРРОЗИОННАЯ, Н.У.К.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14:paraId="207EEE4A" w14:textId="77777777" w:rsidR="004856A2" w:rsidRPr="00A07C66" w:rsidRDefault="004856A2" w:rsidP="00D2619B">
            <w:pPr>
              <w:spacing w:before="40" w:after="120" w:line="234" w:lineRule="atLeast"/>
              <w:ind w:right="113"/>
              <w:rPr>
                <w:lang w:eastAsia="nl-NL"/>
              </w:rPr>
            </w:pPr>
            <w:r w:rsidRPr="00FC2DE9">
              <w:rPr>
                <w:lang w:val="en-US" w:eastAsia="nl-NL"/>
              </w:rPr>
              <w:t> </w:t>
            </w:r>
          </w:p>
        </w:tc>
      </w:tr>
      <w:tr w:rsidR="004856A2" w:rsidRPr="00994138" w14:paraId="239C80FA" w14:textId="77777777" w:rsidTr="004856A2">
        <w:tc>
          <w:tcPr>
            <w:tcW w:w="851" w:type="dxa"/>
            <w:shd w:val="clear" w:color="auto" w:fill="auto"/>
            <w:noWrap/>
            <w:hideMark/>
          </w:tcPr>
          <w:p w14:paraId="47788B51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3390</w:t>
            </w:r>
          </w:p>
        </w:tc>
        <w:tc>
          <w:tcPr>
            <w:tcW w:w="3685" w:type="dxa"/>
            <w:shd w:val="clear" w:color="auto" w:fill="auto"/>
            <w:hideMark/>
          </w:tcPr>
          <w:p w14:paraId="768577C4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ЖИДКОСТЬ ТОКСИЧНАЯ ПРИ</w:t>
            </w:r>
            <w:r w:rsidR="00D2619B">
              <w:t> </w:t>
            </w:r>
            <w:r>
              <w:t>ВДЫХАНИИ, КОРРОЗИОННАЯ, Н.У.К.</w:t>
            </w:r>
          </w:p>
        </w:tc>
        <w:tc>
          <w:tcPr>
            <w:tcW w:w="3968" w:type="dxa"/>
            <w:shd w:val="clear" w:color="auto" w:fill="auto"/>
            <w:hideMark/>
          </w:tcPr>
          <w:p w14:paraId="79509622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Дифосген (под № ООН 3390) можно измерить с помощью трубки Chloropiсrin</w:t>
            </w:r>
            <w:r w:rsidR="00D2619B">
              <w:t> </w:t>
            </w:r>
            <w:r>
              <w:t>0.1a (Хлорпикрин 0,1а). Другие вещества под № ООН 3390 невозможно измерить с помощью электронного детектора PID или индикаторных трубок для кратковременных измерений.</w:t>
            </w:r>
          </w:p>
        </w:tc>
      </w:tr>
      <w:tr w:rsidR="004856A2" w:rsidRPr="00994138" w14:paraId="2AD860A3" w14:textId="77777777" w:rsidTr="004856A2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60CBC94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3455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1AB57B9" w14:textId="77777777" w:rsidR="004856A2" w:rsidRPr="00FC2DE9" w:rsidRDefault="004856A2" w:rsidP="00D2619B">
            <w:pPr>
              <w:spacing w:before="40" w:after="120" w:line="234" w:lineRule="atLeast"/>
              <w:ind w:right="113"/>
            </w:pPr>
            <w:r>
              <w:t>КРЕЗОЛЫ ТВЕРДЫЕ РАСПЛАВЛЕННЫЕ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5514BDE" w14:textId="77777777" w:rsidR="004856A2" w:rsidRPr="00A07C66" w:rsidRDefault="004856A2" w:rsidP="00D2619B">
            <w:pPr>
              <w:spacing w:before="40" w:after="120" w:line="234" w:lineRule="atLeast"/>
              <w:ind w:right="113"/>
            </w:pPr>
            <w:r>
              <w:t>При перевозке жидкостей в наливных баржах требуется TOX; при перевозке твердых веществ в сухогрузах TOX не требуется.</w:t>
            </w:r>
          </w:p>
        </w:tc>
      </w:tr>
    </w:tbl>
    <w:p w14:paraId="4A0010A6" w14:textId="77777777" w:rsidR="00E12C5F" w:rsidRPr="00D2619B" w:rsidRDefault="004856A2" w:rsidP="00D2619B">
      <w:pPr>
        <w:spacing w:before="240"/>
        <w:jc w:val="center"/>
        <w:rPr>
          <w:u w:val="single"/>
        </w:rPr>
      </w:pPr>
      <w:r w:rsidRPr="00A07C66">
        <w:rPr>
          <w:u w:val="single"/>
        </w:rPr>
        <w:tab/>
      </w:r>
      <w:r w:rsidRPr="00A07C66">
        <w:rPr>
          <w:u w:val="single"/>
        </w:rPr>
        <w:tab/>
      </w:r>
      <w:r w:rsidRPr="00A07C66">
        <w:rPr>
          <w:u w:val="single"/>
        </w:rPr>
        <w:tab/>
      </w:r>
    </w:p>
    <w:sectPr w:rsidR="00E12C5F" w:rsidRPr="00D2619B" w:rsidSect="00CB62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1535" w14:textId="77777777" w:rsidR="00511EA3" w:rsidRPr="00A312BC" w:rsidRDefault="00511EA3" w:rsidP="00A312BC"/>
  </w:endnote>
  <w:endnote w:type="continuationSeparator" w:id="0">
    <w:p w14:paraId="05D42AF0" w14:textId="77777777" w:rsidR="00511EA3" w:rsidRPr="00A312BC" w:rsidRDefault="00511E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4EB0" w14:textId="77777777" w:rsidR="00CB62EC" w:rsidRPr="00CB62EC" w:rsidRDefault="00CB62EC">
    <w:pPr>
      <w:pStyle w:val="Footer"/>
    </w:pPr>
    <w:r w:rsidRPr="00CB62EC">
      <w:rPr>
        <w:b/>
        <w:sz w:val="18"/>
      </w:rPr>
      <w:fldChar w:fldCharType="begin"/>
    </w:r>
    <w:r w:rsidRPr="00CB62EC">
      <w:rPr>
        <w:b/>
        <w:sz w:val="18"/>
      </w:rPr>
      <w:instrText xml:space="preserve"> PAGE  \* MERGEFORMAT </w:instrText>
    </w:r>
    <w:r w:rsidRPr="00CB62EC">
      <w:rPr>
        <w:b/>
        <w:sz w:val="18"/>
      </w:rPr>
      <w:fldChar w:fldCharType="separate"/>
    </w:r>
    <w:r w:rsidRPr="00CB62EC">
      <w:rPr>
        <w:b/>
        <w:noProof/>
        <w:sz w:val="18"/>
      </w:rPr>
      <w:t>2</w:t>
    </w:r>
    <w:r w:rsidRPr="00CB62EC">
      <w:rPr>
        <w:b/>
        <w:sz w:val="18"/>
      </w:rPr>
      <w:fldChar w:fldCharType="end"/>
    </w:r>
    <w:r>
      <w:rPr>
        <w:b/>
        <w:sz w:val="18"/>
      </w:rPr>
      <w:tab/>
    </w:r>
    <w:r>
      <w:t>GE.20-07148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B1DE" w14:textId="77777777" w:rsidR="00CB62EC" w:rsidRPr="00CB62EC" w:rsidRDefault="00CB62EC" w:rsidP="00CB62EC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GE.20-07148</w:t>
    </w:r>
    <w:r>
      <w:tab/>
    </w:r>
    <w:r w:rsidRPr="00CB62EC">
      <w:rPr>
        <w:b/>
        <w:sz w:val="18"/>
      </w:rPr>
      <w:fldChar w:fldCharType="begin"/>
    </w:r>
    <w:r w:rsidRPr="00CB62EC">
      <w:rPr>
        <w:b/>
        <w:sz w:val="18"/>
      </w:rPr>
      <w:instrText xml:space="preserve"> PAGE  \* MERGEFORMAT </w:instrText>
    </w:r>
    <w:r w:rsidRPr="00CB62EC">
      <w:rPr>
        <w:b/>
        <w:sz w:val="18"/>
      </w:rPr>
      <w:fldChar w:fldCharType="separate"/>
    </w:r>
    <w:r w:rsidRPr="00CB62EC">
      <w:rPr>
        <w:b/>
        <w:noProof/>
        <w:sz w:val="18"/>
      </w:rPr>
      <w:t>3</w:t>
    </w:r>
    <w:r w:rsidRPr="00CB62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584F" w14:textId="77777777" w:rsidR="00042B72" w:rsidRPr="00CB62EC" w:rsidRDefault="00CB62EC" w:rsidP="00CB62E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35A28D" wp14:editId="25A9E1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20-07148  (R)</w:t>
    </w:r>
    <w:r w:rsidR="004856A2">
      <w:rPr>
        <w:lang w:val="en-US"/>
      </w:rPr>
      <w:t xml:space="preserve">  020620  </w:t>
    </w:r>
    <w:r w:rsidR="00720178">
      <w:t>030620</w:t>
    </w:r>
    <w:r>
      <w:br/>
    </w:r>
    <w:r w:rsidRPr="00CB62EC">
      <w:rPr>
        <w:rFonts w:ascii="C39T30Lfz" w:hAnsi="C39T30Lfz"/>
        <w:kern w:val="14"/>
        <w:sz w:val="56"/>
      </w:rPr>
      <w:t></w:t>
    </w:r>
    <w:r w:rsidRPr="00CB62EC">
      <w:rPr>
        <w:rFonts w:ascii="C39T30Lfz" w:hAnsi="C39T30Lfz"/>
        <w:kern w:val="14"/>
        <w:sz w:val="56"/>
      </w:rPr>
      <w:t></w:t>
    </w:r>
    <w:r w:rsidRPr="00CB62EC">
      <w:rPr>
        <w:rFonts w:ascii="C39T30Lfz" w:hAnsi="C39T30Lfz"/>
        <w:kern w:val="14"/>
        <w:sz w:val="56"/>
      </w:rPr>
      <w:t></w:t>
    </w:r>
    <w:r w:rsidRPr="00CB62EC">
      <w:rPr>
        <w:rFonts w:ascii="C39T30Lfz" w:hAnsi="C39T30Lfz"/>
        <w:kern w:val="14"/>
        <w:sz w:val="56"/>
      </w:rPr>
      <w:t></w:t>
    </w:r>
    <w:r w:rsidRPr="00CB62EC">
      <w:rPr>
        <w:rFonts w:ascii="C39T30Lfz" w:hAnsi="C39T30Lfz"/>
        <w:kern w:val="14"/>
        <w:sz w:val="56"/>
      </w:rPr>
      <w:t></w:t>
    </w:r>
    <w:r w:rsidRPr="00CB62EC">
      <w:rPr>
        <w:rFonts w:ascii="C39T30Lfz" w:hAnsi="C39T30Lfz"/>
        <w:kern w:val="14"/>
        <w:sz w:val="56"/>
      </w:rPr>
      <w:t></w:t>
    </w:r>
    <w:r w:rsidRPr="00CB62EC">
      <w:rPr>
        <w:rFonts w:ascii="C39T30Lfz" w:hAnsi="C39T30Lfz"/>
        <w:kern w:val="14"/>
        <w:sz w:val="56"/>
      </w:rPr>
      <w:t></w:t>
    </w:r>
    <w:r w:rsidRPr="00CB62EC">
      <w:rPr>
        <w:rFonts w:ascii="C39T30Lfz" w:hAnsi="C39T30Lfz"/>
        <w:kern w:val="14"/>
        <w:sz w:val="56"/>
      </w:rPr>
      <w:t></w:t>
    </w:r>
    <w:r w:rsidRPr="00CB62E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4562A2" wp14:editId="5DE58D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64AD" w14:textId="77777777" w:rsidR="00511EA3" w:rsidRPr="001075E9" w:rsidRDefault="00511E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A593FB" w14:textId="77777777" w:rsidR="00511EA3" w:rsidRDefault="00511E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83D72E" w14:textId="77777777" w:rsidR="004856A2" w:rsidRPr="00A07C66" w:rsidRDefault="004856A2" w:rsidP="004856A2">
      <w:pPr>
        <w:pStyle w:val="FootnoteText"/>
      </w:pPr>
      <w:r>
        <w:tab/>
      </w:r>
      <w:r w:rsidRPr="004856A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CCNR/ZKR/ADN/WP.15/AC.2/2020/31.</w:t>
      </w:r>
    </w:p>
  </w:footnote>
  <w:footnote w:id="2">
    <w:p w14:paraId="3EE2E996" w14:textId="77777777" w:rsidR="004856A2" w:rsidRPr="00A07C66" w:rsidRDefault="004856A2" w:rsidP="004856A2">
      <w:pPr>
        <w:pStyle w:val="FootnoteText"/>
        <w:widowControl w:val="0"/>
      </w:pPr>
      <w:r>
        <w:tab/>
      </w:r>
      <w:r w:rsidRPr="004856A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D8D1" w14:textId="132B00B0" w:rsidR="00CB62EC" w:rsidRPr="00CB62EC" w:rsidRDefault="00A25D79">
    <w:pPr>
      <w:pStyle w:val="Header"/>
    </w:pPr>
    <w:fldSimple w:instr=" TITLE  \* MERGEFORMAT ">
      <w:r>
        <w:t>ECE/TRANS/WP.15/AC.2/2020/31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11D5" w14:textId="1053E1A6" w:rsidR="00CB62EC" w:rsidRPr="00CB62EC" w:rsidRDefault="00A25D79" w:rsidP="00CB62EC">
    <w:pPr>
      <w:pStyle w:val="Header"/>
      <w:jc w:val="right"/>
    </w:pPr>
    <w:fldSimple w:instr=" TITLE  \* MERGEFORMAT ">
      <w:r>
        <w:t>ECE/TRANS/WP.15/AC.2/2020/31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A3"/>
    <w:rsid w:val="00033EE1"/>
    <w:rsid w:val="00042B72"/>
    <w:rsid w:val="000558BD"/>
    <w:rsid w:val="0009134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F9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1CCD"/>
    <w:rsid w:val="00452493"/>
    <w:rsid w:val="00453318"/>
    <w:rsid w:val="00454AF2"/>
    <w:rsid w:val="00454E07"/>
    <w:rsid w:val="00455FA3"/>
    <w:rsid w:val="00472C5C"/>
    <w:rsid w:val="004856A2"/>
    <w:rsid w:val="004E05B7"/>
    <w:rsid w:val="0050108D"/>
    <w:rsid w:val="00511EA3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17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5D79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62EC"/>
    <w:rsid w:val="00CE5A1A"/>
    <w:rsid w:val="00CF55F6"/>
    <w:rsid w:val="00D2619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93AEBE"/>
  <w15:docId w15:val="{0E9D05B9-074B-4725-844A-43BA80E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856A2"/>
    <w:rPr>
      <w:lang w:val="ru-RU" w:eastAsia="en-US"/>
    </w:rPr>
  </w:style>
  <w:style w:type="paragraph" w:customStyle="1" w:styleId="ParNoG">
    <w:name w:val="_ParNo_G"/>
    <w:basedOn w:val="SingleTxtG"/>
    <w:qFormat/>
    <w:rsid w:val="004856A2"/>
    <w:pPr>
      <w:numPr>
        <w:numId w:val="23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ECE/TRANS/WP.15/AC.2/2020/31</vt:lpstr>
      <vt:lpstr>ECE/TRANS/WP.15/AC.2/2020/31</vt:lpstr>
      <vt:lpstr>A/</vt:lpstr>
    </vt:vector>
  </TitlesOfParts>
  <Company>DCM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ECE/TRANS/WP.15/AC.2/2020/31</dc:title>
  <dc:subject/>
  <dc:creator>Uliana ANTIPOVA</dc:creator>
  <cp:keywords/>
  <cp:lastModifiedBy>Secretariat</cp:lastModifiedBy>
  <cp:revision>2</cp:revision>
  <cp:lastPrinted>2020-06-03T07:56:00Z</cp:lastPrinted>
  <dcterms:created xsi:type="dcterms:W3CDTF">2020-06-11T15:38:00Z</dcterms:created>
  <dcterms:modified xsi:type="dcterms:W3CDTF">2020-06-11T15:38:00Z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