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325DB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915396" w14:textId="77777777" w:rsidR="002D5AAC" w:rsidRDefault="002D5AAC" w:rsidP="00F65D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4092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435575" w14:textId="77777777" w:rsidR="002D5AAC" w:rsidRDefault="00F65DEA" w:rsidP="00F65DEA">
            <w:pPr>
              <w:jc w:val="right"/>
            </w:pPr>
            <w:r w:rsidRPr="00F65DEA">
              <w:rPr>
                <w:sz w:val="40"/>
              </w:rPr>
              <w:t>ECE</w:t>
            </w:r>
            <w:r>
              <w:t>/TRANS/WP.15/AC.2/2020/21</w:t>
            </w:r>
          </w:p>
        </w:tc>
      </w:tr>
      <w:tr w:rsidR="002D5AAC" w:rsidRPr="00F65DEA" w14:paraId="696B604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22B1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6D58F8" wp14:editId="58FAF0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7CFE7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3B93B2" w14:textId="77777777" w:rsidR="002D5AAC" w:rsidRDefault="00F65DE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99DD36D" w14:textId="77777777" w:rsidR="00F65DEA" w:rsidRDefault="00F65DEA" w:rsidP="00F65D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2019</w:t>
            </w:r>
          </w:p>
          <w:p w14:paraId="36C4EC8B" w14:textId="77777777" w:rsidR="00F65DEA" w:rsidRDefault="00F65DEA" w:rsidP="00F65D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B3525C" w14:textId="77777777" w:rsidR="00F65DEA" w:rsidRPr="008D53B6" w:rsidRDefault="00F65DEA" w:rsidP="00F65D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5A2B62" w14:textId="77777777" w:rsidR="00F65DE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3F3E65" w14:textId="77777777" w:rsidR="00F65DEA" w:rsidRPr="00924467" w:rsidRDefault="00F65DEA" w:rsidP="00F65DEA">
      <w:pPr>
        <w:spacing w:before="120"/>
        <w:rPr>
          <w:sz w:val="28"/>
          <w:szCs w:val="28"/>
        </w:rPr>
      </w:pPr>
      <w:r w:rsidRPr="00924467">
        <w:rPr>
          <w:sz w:val="28"/>
          <w:szCs w:val="28"/>
        </w:rPr>
        <w:t>Комитет по внутреннему транспорту</w:t>
      </w:r>
    </w:p>
    <w:p w14:paraId="4A4982D4" w14:textId="77777777" w:rsidR="00F65DEA" w:rsidRPr="00924467" w:rsidRDefault="00F65DEA" w:rsidP="00F65DEA">
      <w:pPr>
        <w:spacing w:before="120"/>
        <w:rPr>
          <w:b/>
          <w:sz w:val="24"/>
          <w:szCs w:val="24"/>
        </w:rPr>
      </w:pPr>
      <w:r w:rsidRPr="00924467">
        <w:rPr>
          <w:b/>
          <w:bCs/>
          <w:sz w:val="24"/>
          <w:szCs w:val="24"/>
        </w:rPr>
        <w:t>Рабочая группа по перевозкам опасных грузов</w:t>
      </w:r>
    </w:p>
    <w:p w14:paraId="012CEC91" w14:textId="77777777" w:rsidR="00F65DEA" w:rsidRPr="00924467" w:rsidRDefault="00F65DEA" w:rsidP="00F65DEA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14:paraId="337C1938" w14:textId="77777777" w:rsidR="00F65DEA" w:rsidRPr="00924467" w:rsidRDefault="00F65DEA" w:rsidP="00F65DEA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3AE04912" w14:textId="77777777" w:rsidR="00F65DEA" w:rsidRPr="00924467" w:rsidRDefault="00F65DEA" w:rsidP="00F65DEA">
      <w:r>
        <w:t>Женева, 27–31 января 2019 года</w:t>
      </w:r>
    </w:p>
    <w:p w14:paraId="496000B5" w14:textId="77777777" w:rsidR="00F65DEA" w:rsidRPr="00924467" w:rsidRDefault="00F65DEA" w:rsidP="00F65DEA">
      <w:r>
        <w:t>Пункт 5 b) предварительной повестки дня</w:t>
      </w:r>
    </w:p>
    <w:p w14:paraId="0307F4BA" w14:textId="77777777" w:rsidR="00F65DEA" w:rsidRPr="00924467" w:rsidRDefault="00F65DEA" w:rsidP="00F65DEA">
      <w:pPr>
        <w:rPr>
          <w:b/>
        </w:rPr>
      </w:pPr>
      <w:r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  <w:t>прилагаемые к ВОПОГ:</w:t>
      </w:r>
    </w:p>
    <w:p w14:paraId="6344364C" w14:textId="77777777" w:rsidR="00F65DEA" w:rsidRPr="00924467" w:rsidRDefault="00F65DEA" w:rsidP="00F65DEA">
      <w:pPr>
        <w:rPr>
          <w:b/>
        </w:rPr>
      </w:pPr>
      <w:r>
        <w:rPr>
          <w:b/>
          <w:bCs/>
        </w:rPr>
        <w:t>другие предложения</w:t>
      </w:r>
    </w:p>
    <w:p w14:paraId="4AE3DA54" w14:textId="77777777" w:rsidR="00F65DEA" w:rsidRPr="00924467" w:rsidRDefault="00F65DEA" w:rsidP="00F65DEA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Шланги в сборе для СПГ</w:t>
      </w:r>
    </w:p>
    <w:p w14:paraId="223B9565" w14:textId="77777777" w:rsidR="00F65DEA" w:rsidRDefault="00F65DEA" w:rsidP="00F65DEA">
      <w:pPr>
        <w:pStyle w:val="H1G"/>
        <w:keepNext w:val="0"/>
        <w:keepLines w:val="0"/>
      </w:pPr>
      <w:r>
        <w:tab/>
      </w:r>
      <w:r>
        <w:tab/>
        <w:t>Передано правительством Нидерландов</w:t>
      </w:r>
      <w:r w:rsidRPr="00F65DE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65DEA">
        <w:rPr>
          <w:b w:val="0"/>
          <w:bCs/>
          <w:sz w:val="20"/>
        </w:rPr>
        <w:t xml:space="preserve"> </w:t>
      </w:r>
      <w:r w:rsidRPr="00F65DE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75"/>
      </w:tblGrid>
      <w:tr w:rsidR="00F65DEA" w:rsidRPr="00B91ECE" w14:paraId="729D4C4C" w14:textId="77777777" w:rsidTr="00C659E0">
        <w:trPr>
          <w:jc w:val="center"/>
        </w:trPr>
        <w:tc>
          <w:tcPr>
            <w:tcW w:w="2830" w:type="dxa"/>
          </w:tcPr>
          <w:p w14:paraId="62DF051A" w14:textId="77777777" w:rsidR="00F65DEA" w:rsidRPr="003134DF" w:rsidRDefault="00F65DEA" w:rsidP="00F75C41">
            <w:pPr>
              <w:tabs>
                <w:tab w:val="left" w:pos="284"/>
              </w:tabs>
              <w:spacing w:before="120" w:after="120"/>
            </w:pPr>
            <w:r>
              <w:tab/>
            </w:r>
            <w:r>
              <w:rPr>
                <w:b/>
                <w:bCs/>
              </w:rPr>
              <w:t>Резюме:</w:t>
            </w:r>
          </w:p>
        </w:tc>
        <w:tc>
          <w:tcPr>
            <w:tcW w:w="5675" w:type="dxa"/>
          </w:tcPr>
          <w:p w14:paraId="20D3A63E" w14:textId="77777777" w:rsidR="00F65DEA" w:rsidRPr="00924467" w:rsidRDefault="00F65DEA" w:rsidP="00F75C41">
            <w:pPr>
              <w:spacing w:before="120" w:after="120"/>
            </w:pPr>
            <w:r>
              <w:t>В свете все более широкого использования сжиженного природного газа (СПГ) в качества топлива для морских судов и судов внутреннего плавания делегация Нидерландов сочла желательным установить требования к шлангам в сборе, используемым во время погрузки, разгрузки и бункеровки СПГ. В</w:t>
            </w:r>
            <w:r w:rsidR="00027D76">
              <w:t> </w:t>
            </w:r>
            <w:r>
              <w:t xml:space="preserve">настоящем документе содержатся две поправки на этот счет к Правилам, прилагаемым к ВОПОГ. </w:t>
            </w:r>
          </w:p>
        </w:tc>
      </w:tr>
      <w:tr w:rsidR="00F65DEA" w:rsidRPr="00B91ECE" w14:paraId="27D6B828" w14:textId="77777777" w:rsidTr="00C659E0">
        <w:trPr>
          <w:trHeight w:val="509"/>
          <w:jc w:val="center"/>
        </w:trPr>
        <w:tc>
          <w:tcPr>
            <w:tcW w:w="2830" w:type="dxa"/>
          </w:tcPr>
          <w:p w14:paraId="1784ED28" w14:textId="77777777" w:rsidR="00F65DEA" w:rsidRPr="003134DF" w:rsidRDefault="00F65DEA" w:rsidP="00027D76">
            <w:pPr>
              <w:tabs>
                <w:tab w:val="left" w:pos="284"/>
              </w:tabs>
              <w:spacing w:before="120" w:after="120"/>
              <w:ind w:left="284" w:hanging="284"/>
              <w:rPr>
                <w:b/>
              </w:rPr>
            </w:pPr>
            <w:r>
              <w:tab/>
            </w: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5675" w:type="dxa"/>
          </w:tcPr>
          <w:p w14:paraId="618AE096" w14:textId="77777777" w:rsidR="00F65DEA" w:rsidRPr="00924467" w:rsidRDefault="00F65DEA" w:rsidP="00F75C41">
            <w:pPr>
              <w:spacing w:before="120" w:after="120"/>
            </w:pPr>
            <w:r>
              <w:t>В пункте 4 сформулирована просьба к Комитету по вопросам безопасности принять предлагаемые поправки.</w:t>
            </w:r>
          </w:p>
        </w:tc>
      </w:tr>
      <w:tr w:rsidR="00F65DEA" w:rsidRPr="00F65DEA" w14:paraId="739AFC6C" w14:textId="77777777" w:rsidTr="00C659E0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73638BF4" w14:textId="77777777" w:rsidR="00F65DEA" w:rsidRPr="003134DF" w:rsidRDefault="00F65DEA" w:rsidP="00027D76">
            <w:pPr>
              <w:tabs>
                <w:tab w:val="left" w:pos="284"/>
              </w:tabs>
              <w:spacing w:before="120" w:after="120"/>
              <w:ind w:left="284" w:hanging="284"/>
              <w:rPr>
                <w:b/>
              </w:rPr>
            </w:pPr>
            <w:r>
              <w:tab/>
            </w: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4CFCFD09" w14:textId="77777777" w:rsidR="00F65DEA" w:rsidRPr="00F65DEA" w:rsidRDefault="00F65DEA" w:rsidP="00F75C41">
            <w:pPr>
              <w:rPr>
                <w:lang w:val="en-US"/>
              </w:rPr>
            </w:pPr>
            <w:r w:rsidRPr="00924467">
              <w:rPr>
                <w:lang w:val="en-US"/>
              </w:rPr>
              <w:t>ECE/TRANS/WP.15/AC.2/2019/29</w:t>
            </w:r>
          </w:p>
          <w:p w14:paraId="2084239B" w14:textId="77777777" w:rsidR="00F65DEA" w:rsidRPr="00F65DEA" w:rsidRDefault="00F65DEA" w:rsidP="00F75C41">
            <w:pPr>
              <w:rPr>
                <w:lang w:val="en-US"/>
              </w:rPr>
            </w:pPr>
            <w:r w:rsidRPr="00924467">
              <w:rPr>
                <w:lang w:val="en-US"/>
              </w:rPr>
              <w:t>ECE/TRANS/WP.15/AC.2/72 (</w:t>
            </w:r>
            <w:r>
              <w:t>пункт</w:t>
            </w:r>
            <w:r w:rsidRPr="00924467">
              <w:rPr>
                <w:lang w:val="en-US"/>
              </w:rPr>
              <w:t xml:space="preserve"> 56)</w:t>
            </w:r>
          </w:p>
          <w:p w14:paraId="0856A2EA" w14:textId="77777777" w:rsidR="00F65DEA" w:rsidRPr="00F65DEA" w:rsidRDefault="00F65DEA" w:rsidP="00F75C41">
            <w:pPr>
              <w:rPr>
                <w:lang w:val="en-US"/>
              </w:rPr>
            </w:pPr>
            <w:r w:rsidRPr="00924467">
              <w:rPr>
                <w:lang w:val="en-US"/>
              </w:rPr>
              <w:t>ECE/TRANS/WP.15/AC.2/2019/15</w:t>
            </w:r>
          </w:p>
          <w:p w14:paraId="7EB4A7EC" w14:textId="77777777" w:rsidR="00F65DEA" w:rsidRPr="00F65DEA" w:rsidRDefault="00F65DEA" w:rsidP="00027D76">
            <w:pPr>
              <w:spacing w:after="120"/>
              <w:rPr>
                <w:lang w:val="en-US"/>
              </w:rPr>
            </w:pPr>
            <w:r w:rsidRPr="00924467">
              <w:rPr>
                <w:lang w:val="en-US"/>
              </w:rPr>
              <w:t>ECE/TRANS/WP.15/AC.2/70 (</w:t>
            </w:r>
            <w:r>
              <w:t>пункты</w:t>
            </w:r>
            <w:r w:rsidRPr="00924467">
              <w:rPr>
                <w:lang w:val="en-US"/>
              </w:rPr>
              <w:t xml:space="preserve"> 45–47)</w:t>
            </w:r>
          </w:p>
        </w:tc>
      </w:tr>
    </w:tbl>
    <w:p w14:paraId="1BD2A676" w14:textId="77777777" w:rsidR="00F65DEA" w:rsidRPr="00924467" w:rsidRDefault="00F65DEA" w:rsidP="00F65DEA">
      <w:pPr>
        <w:pStyle w:val="HChG"/>
      </w:pPr>
      <w:r w:rsidRPr="00924467">
        <w:rPr>
          <w:lang w:val="en-US"/>
        </w:rPr>
        <w:lastRenderedPageBreak/>
        <w:tab/>
      </w:r>
      <w:r w:rsidRPr="00924467">
        <w:rPr>
          <w:lang w:val="en-US"/>
        </w:rPr>
        <w:tab/>
      </w:r>
      <w:r>
        <w:rPr>
          <w:bCs/>
        </w:rPr>
        <w:t>Введение</w:t>
      </w:r>
    </w:p>
    <w:p w14:paraId="7B48ADA4" w14:textId="77777777" w:rsidR="00F65DEA" w:rsidRPr="00924467" w:rsidRDefault="00F65DEA" w:rsidP="00027D76">
      <w:pPr>
        <w:pStyle w:val="SingleTxtG"/>
      </w:pPr>
      <w:r>
        <w:t>1.</w:t>
      </w:r>
      <w:r>
        <w:tab/>
        <w:t xml:space="preserve">На своей тридцать пятой сессии Комитет по вопросам безопасности обсудил документ ECE/TRANS/WP.15/AC.2/2019/29, представленный делегацией Нидерландов. Комитет по вопросам безопасности предложил делегации Нидерландов уточнить ее предложение в отношении обязанностей по проведению проверок в соответствии со стандартом ISO 20519. </w:t>
      </w:r>
    </w:p>
    <w:p w14:paraId="2E3A764C" w14:textId="77777777" w:rsidR="00F65DEA" w:rsidRPr="00924467" w:rsidRDefault="00F65DEA" w:rsidP="00F65DEA">
      <w:pPr>
        <w:pStyle w:val="HChG"/>
      </w:pPr>
      <w:r>
        <w:tab/>
        <w:t>I.</w:t>
      </w:r>
      <w:r>
        <w:tab/>
      </w:r>
      <w:r>
        <w:rPr>
          <w:bCs/>
        </w:rPr>
        <w:t>Поправка</w:t>
      </w:r>
    </w:p>
    <w:p w14:paraId="13D9160E" w14:textId="77777777" w:rsidR="00F65DEA" w:rsidRPr="00924467" w:rsidRDefault="00F65DEA" w:rsidP="00027D76">
      <w:pPr>
        <w:pStyle w:val="SingleTxtG"/>
      </w:pPr>
      <w:r>
        <w:t>2.</w:t>
      </w:r>
      <w:r>
        <w:tab/>
        <w:t xml:space="preserve">В пункте 8.1.6.2 говорится, что указанные в настоящее время шланги в сборе должны проверяться и осматриваться ежегодно в соответствии с инструкциями изготовителя. Делегация Нидерландов считает желательным, чтобы шланги в сборе для СПГ подвергались проверкам и осмотрам с такой же периодичностью. На борту должно иметься подтверждение таких проверок и осмотров. Поэтому мы предлагаем следующую поправку к пункту 8.1.6.2 Правил, прилагаемых к ВОПОГ. Предлагаемые поправки </w:t>
      </w:r>
      <w:r>
        <w:rPr>
          <w:b/>
          <w:bCs/>
          <w:u w:val="single"/>
        </w:rPr>
        <w:t>выделены жирным шрифтом и подчеркнуты</w:t>
      </w:r>
      <w:r>
        <w:t>:</w:t>
      </w:r>
    </w:p>
    <w:p w14:paraId="0A2FE5C4" w14:textId="77777777" w:rsidR="00F65DEA" w:rsidRPr="00924467" w:rsidRDefault="00F65DEA" w:rsidP="00027D76">
      <w:pPr>
        <w:pStyle w:val="SingleTxtG"/>
      </w:pPr>
      <w:r>
        <w:t>«8.1.6.2</w:t>
      </w:r>
      <w:r>
        <w:tab/>
        <w:t xml:space="preserve">Шланги в сборе, используемые для погрузки, разгрузки или передачи продуктов, необходимых для эксплуатации судна </w:t>
      </w:r>
      <w:r>
        <w:rPr>
          <w:b/>
          <w:bCs/>
          <w:u w:val="single"/>
        </w:rPr>
        <w:t>(кроме сжиженного природного газа)</w:t>
      </w:r>
      <w:r>
        <w:t>, и остаточного груза, должны соответствовать европейскому стандарту EN</w:t>
      </w:r>
      <w:r w:rsidR="00027D76">
        <w:t> </w:t>
      </w:r>
      <w:r>
        <w:t>12115:2011-04 (Резиновые и термопластические шланги и шланги в сборе),</w:t>
      </w:r>
      <w:r w:rsidR="00027D76">
        <w:t xml:space="preserve"> </w:t>
      </w:r>
      <w:r>
        <w:t>или</w:t>
      </w:r>
      <w:r w:rsidR="00027D76">
        <w:br/>
      </w:r>
      <w:r>
        <w:t xml:space="preserve">EN 13765:2010-08 (Термопластические многослойные (невулканизированные) шланги и шланги в сборе), или EN ISO 10380:2003-10 (Гофрированные металлические шланги </w:t>
      </w:r>
      <w:r w:rsidRPr="00C659E0">
        <w:t>и шланги в сборе). Они должны проверяться и осматриваться в соответствии</w:t>
      </w:r>
      <w:r w:rsidR="00C659E0" w:rsidRPr="00C659E0">
        <w:br/>
      </w:r>
      <w:r w:rsidRPr="00C659E0">
        <w:t>с таблицей А.1 стандарта EN 12115:2011-04, или таблицей K.1 стандарта</w:t>
      </w:r>
      <w:r w:rsidR="00C659E0">
        <w:br/>
      </w:r>
      <w:r w:rsidRPr="00C659E0">
        <w:t xml:space="preserve">EN 13765:2010-08, </w:t>
      </w:r>
      <w:r>
        <w:t xml:space="preserve">или пунктом 7 стандарта EN ISO 10380:2003-10 не реже одного раза в год в соответствии с инструкциями изготовителя лицами, уполномоченными для этой цели компетентным органом. Свидетельство о такой проверке должно находиться на борту судна. </w:t>
      </w:r>
    </w:p>
    <w:p w14:paraId="6A8E3909" w14:textId="77777777" w:rsidR="00F65DEA" w:rsidRPr="00924467" w:rsidRDefault="00F65DEA" w:rsidP="00027D76">
      <w:pPr>
        <w:pStyle w:val="SingleTxtG"/>
      </w:pPr>
      <w:r>
        <w:rPr>
          <w:b/>
          <w:bCs/>
          <w:u w:val="single"/>
        </w:rPr>
        <w:t>Шланги в сборе, используемые для загрузки, разгрузки или передачи сжиженного природного газа для эксплуатации судна, должны соответствовать части 5.5.2 стандарта ISO 20519:2017 (Суда и морские технологии – Спецификация на бункеровку судов, использующих сжиженный природный газ в качестве топлива) и должны проверяться и осматриваться не реже одного раза в год в соответствии с инструкциями изготовителя.</w:t>
      </w:r>
      <w:r w:rsidRPr="009A7E2B">
        <w:rPr>
          <w:u w:val="single"/>
        </w:rPr>
        <w:t xml:space="preserve"> </w:t>
      </w:r>
      <w:r>
        <w:rPr>
          <w:b/>
          <w:bCs/>
          <w:u w:val="single"/>
        </w:rPr>
        <w:t>Свидетельство о такой проверке и документация по рассчитанному напряжению от максимальной нагрузки, должны находиться на борту судна.</w:t>
      </w:r>
      <w:r w:rsidRPr="00924467">
        <w:t>».</w:t>
      </w:r>
    </w:p>
    <w:p w14:paraId="6D2F0E3F" w14:textId="77777777" w:rsidR="00F65DEA" w:rsidRPr="00924467" w:rsidRDefault="00F65DEA" w:rsidP="00027D76">
      <w:pPr>
        <w:pStyle w:val="SingleTxtG"/>
      </w:pPr>
      <w:r>
        <w:t>3.</w:t>
      </w:r>
      <w:r>
        <w:tab/>
        <w:t xml:space="preserve">Кроме того, делегация Нидерландов пришла к выводу, что необходимы дополнительные поправки к пункту 8.1.2.1 для обеспечения того, чтобы предписанная документация находилась на борту судна. В связи с этим предлагается добавить к пункту 8.1.2.1 новый подпункт k) следующего содержания: </w:t>
      </w:r>
    </w:p>
    <w:p w14:paraId="41426A04" w14:textId="77777777" w:rsidR="00F65DEA" w:rsidRPr="00924467" w:rsidRDefault="00F65DEA" w:rsidP="00027D76">
      <w:pPr>
        <w:pStyle w:val="SingleTxtG"/>
      </w:pPr>
      <w:r>
        <w:t xml:space="preserve">«8.1.2.1 </w:t>
      </w:r>
      <w:r w:rsidRPr="00924467">
        <w:rPr>
          <w:b/>
          <w:bCs/>
          <w:u w:val="single"/>
        </w:rPr>
        <w:t>k)</w:t>
      </w:r>
      <w:r w:rsidRPr="00924467">
        <w:rPr>
          <w:b/>
          <w:bCs/>
          <w:u w:val="single"/>
        </w:rPr>
        <w:tab/>
        <w:t>для судов, которые перевозят шланги в сборе, используемые для погрузки, разгрузки или передачи сжиженного природного газа для эксплуатации судна,</w:t>
      </w:r>
      <w:r>
        <w:rPr>
          <w:b/>
          <w:bCs/>
          <w:u w:val="single"/>
        </w:rPr>
        <w:t xml:space="preserve"> – </w:t>
      </w:r>
      <w:r w:rsidRPr="00924467">
        <w:rPr>
          <w:b/>
          <w:bCs/>
          <w:u w:val="single"/>
        </w:rPr>
        <w:t>свидетельство о проверке и документация</w:t>
      </w:r>
      <w:r w:rsidRPr="009A7E2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по рассчитанному напряжению от максимальной нагрузки</w:t>
      </w:r>
      <w:r w:rsidRPr="00924467">
        <w:rPr>
          <w:b/>
          <w:bCs/>
          <w:u w:val="single"/>
        </w:rPr>
        <w:t>, предписанные в пункте</w:t>
      </w:r>
      <w:r w:rsidR="00C659E0">
        <w:rPr>
          <w:b/>
          <w:bCs/>
          <w:u w:val="single"/>
        </w:rPr>
        <w:t> </w:t>
      </w:r>
      <w:r w:rsidRPr="00924467">
        <w:rPr>
          <w:b/>
          <w:bCs/>
          <w:u w:val="single"/>
        </w:rPr>
        <w:t>8.1.6.2.</w:t>
      </w:r>
      <w:r>
        <w:t>».</w:t>
      </w:r>
    </w:p>
    <w:p w14:paraId="2BEA0148" w14:textId="77777777" w:rsidR="00F65DEA" w:rsidRPr="00FD18E4" w:rsidRDefault="00F65DEA" w:rsidP="00F65DEA">
      <w:pPr>
        <w:pStyle w:val="HChG"/>
      </w:pPr>
      <w:r>
        <w:tab/>
        <w:t>II.</w:t>
      </w:r>
      <w:r>
        <w:tab/>
      </w:r>
      <w:r>
        <w:rPr>
          <w:bCs/>
        </w:rPr>
        <w:t>Предлагаемое решение</w:t>
      </w:r>
    </w:p>
    <w:p w14:paraId="4B3FFB3A" w14:textId="77777777" w:rsidR="00F65DEA" w:rsidRPr="002020D7" w:rsidRDefault="00F65DEA" w:rsidP="00027D76">
      <w:pPr>
        <w:spacing w:after="120"/>
        <w:ind w:left="1134" w:right="1134"/>
        <w:jc w:val="both"/>
      </w:pPr>
      <w:r>
        <w:t>4.</w:t>
      </w:r>
      <w:r>
        <w:tab/>
        <w:t>Делегация Нидерландов просит Комитет по вопросам безопасности ВОПОГ рассмотреть поправки, предлагаемые в пунктах 2 и 3, и принять меры, которые он сочтет целесообразными.</w:t>
      </w:r>
    </w:p>
    <w:p w14:paraId="7095B244" w14:textId="77777777" w:rsidR="00F65DEA" w:rsidRPr="002020D7" w:rsidRDefault="00F65DEA" w:rsidP="00F65DEA">
      <w:pPr>
        <w:spacing w:before="240"/>
        <w:jc w:val="center"/>
        <w:rPr>
          <w:u w:val="single"/>
        </w:rPr>
      </w:pPr>
      <w:r w:rsidRPr="002020D7">
        <w:rPr>
          <w:u w:val="single"/>
        </w:rPr>
        <w:tab/>
      </w:r>
      <w:r w:rsidRPr="002020D7">
        <w:rPr>
          <w:u w:val="single"/>
        </w:rPr>
        <w:tab/>
      </w:r>
      <w:r w:rsidRPr="002020D7">
        <w:rPr>
          <w:u w:val="single"/>
        </w:rPr>
        <w:tab/>
      </w:r>
    </w:p>
    <w:p w14:paraId="39E4BE82" w14:textId="77777777" w:rsidR="00E12C5F" w:rsidRPr="008D53B6" w:rsidRDefault="00E12C5F" w:rsidP="00D9145B"/>
    <w:sectPr w:rsidR="00E12C5F" w:rsidRPr="008D53B6" w:rsidSect="00F65D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61FB" w14:textId="77777777" w:rsidR="001B7BD9" w:rsidRPr="00A312BC" w:rsidRDefault="001B7BD9" w:rsidP="00A312BC"/>
  </w:endnote>
  <w:endnote w:type="continuationSeparator" w:id="0">
    <w:p w14:paraId="0F793E0E" w14:textId="77777777" w:rsidR="001B7BD9" w:rsidRPr="00A312BC" w:rsidRDefault="001B7B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931E" w14:textId="77777777" w:rsidR="00F65DEA" w:rsidRPr="00F65DEA" w:rsidRDefault="00F65DEA">
    <w:pPr>
      <w:pStyle w:val="Footer"/>
    </w:pPr>
    <w:r w:rsidRPr="00F65DEA">
      <w:rPr>
        <w:b/>
        <w:sz w:val="18"/>
      </w:rPr>
      <w:fldChar w:fldCharType="begin"/>
    </w:r>
    <w:r w:rsidRPr="00F65DEA">
      <w:rPr>
        <w:b/>
        <w:sz w:val="18"/>
      </w:rPr>
      <w:instrText xml:space="preserve"> PAGE  \* MERGEFORMAT </w:instrText>
    </w:r>
    <w:r w:rsidRPr="00F65DEA">
      <w:rPr>
        <w:b/>
        <w:sz w:val="18"/>
      </w:rPr>
      <w:fldChar w:fldCharType="separate"/>
    </w:r>
    <w:r w:rsidRPr="00F65DEA">
      <w:rPr>
        <w:b/>
        <w:noProof/>
        <w:sz w:val="18"/>
      </w:rPr>
      <w:t>2</w:t>
    </w:r>
    <w:r w:rsidRPr="00F65DEA">
      <w:rPr>
        <w:b/>
        <w:sz w:val="18"/>
      </w:rPr>
      <w:fldChar w:fldCharType="end"/>
    </w:r>
    <w:r>
      <w:rPr>
        <w:b/>
        <w:sz w:val="18"/>
      </w:rPr>
      <w:tab/>
    </w:r>
    <w:r>
      <w:t>GE.19-19672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E473" w14:textId="77777777" w:rsidR="00F65DEA" w:rsidRPr="00F65DEA" w:rsidRDefault="00F65DEA" w:rsidP="00F65DE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GE.19-19672</w:t>
    </w:r>
    <w:r>
      <w:tab/>
    </w:r>
    <w:r w:rsidRPr="00F65DEA">
      <w:rPr>
        <w:b/>
        <w:sz w:val="18"/>
      </w:rPr>
      <w:fldChar w:fldCharType="begin"/>
    </w:r>
    <w:r w:rsidRPr="00F65DEA">
      <w:rPr>
        <w:b/>
        <w:sz w:val="18"/>
      </w:rPr>
      <w:instrText xml:space="preserve"> PAGE  \* MERGEFORMAT </w:instrText>
    </w:r>
    <w:r w:rsidRPr="00F65DEA">
      <w:rPr>
        <w:b/>
        <w:sz w:val="18"/>
      </w:rPr>
      <w:fldChar w:fldCharType="separate"/>
    </w:r>
    <w:r w:rsidRPr="00F65DEA">
      <w:rPr>
        <w:b/>
        <w:noProof/>
        <w:sz w:val="18"/>
      </w:rPr>
      <w:t>3</w:t>
    </w:r>
    <w:r w:rsidRPr="00F65D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104E" w14:textId="77777777" w:rsidR="00042B72" w:rsidRPr="00F65DEA" w:rsidRDefault="00F65DEA" w:rsidP="00F65DE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7917E2" wp14:editId="609600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19-19672  (R)</w:t>
    </w:r>
    <w:r w:rsidR="00027D76">
      <w:t xml:space="preserve">  251119  251119</w:t>
    </w:r>
    <w:r>
      <w:br/>
    </w:r>
    <w:r w:rsidRPr="00F65DEA">
      <w:rPr>
        <w:rFonts w:ascii="C39T30Lfz" w:hAnsi="C39T30Lfz"/>
        <w:kern w:val="14"/>
        <w:sz w:val="56"/>
      </w:rPr>
      <w:t></w:t>
    </w:r>
    <w:r w:rsidRPr="00F65DEA">
      <w:rPr>
        <w:rFonts w:ascii="C39T30Lfz" w:hAnsi="C39T30Lfz"/>
        <w:kern w:val="14"/>
        <w:sz w:val="56"/>
      </w:rPr>
      <w:t></w:t>
    </w:r>
    <w:r w:rsidRPr="00F65DEA">
      <w:rPr>
        <w:rFonts w:ascii="C39T30Lfz" w:hAnsi="C39T30Lfz"/>
        <w:kern w:val="14"/>
        <w:sz w:val="56"/>
      </w:rPr>
      <w:t></w:t>
    </w:r>
    <w:r w:rsidRPr="00F65DEA">
      <w:rPr>
        <w:rFonts w:ascii="C39T30Lfz" w:hAnsi="C39T30Lfz"/>
        <w:kern w:val="14"/>
        <w:sz w:val="56"/>
      </w:rPr>
      <w:t></w:t>
    </w:r>
    <w:r w:rsidRPr="00F65DEA">
      <w:rPr>
        <w:rFonts w:ascii="C39T30Lfz" w:hAnsi="C39T30Lfz"/>
        <w:kern w:val="14"/>
        <w:sz w:val="56"/>
      </w:rPr>
      <w:t></w:t>
    </w:r>
    <w:r w:rsidRPr="00F65DEA">
      <w:rPr>
        <w:rFonts w:ascii="C39T30Lfz" w:hAnsi="C39T30Lfz"/>
        <w:kern w:val="14"/>
        <w:sz w:val="56"/>
      </w:rPr>
      <w:t></w:t>
    </w:r>
    <w:r w:rsidRPr="00F65DEA">
      <w:rPr>
        <w:rFonts w:ascii="C39T30Lfz" w:hAnsi="C39T30Lfz"/>
        <w:kern w:val="14"/>
        <w:sz w:val="56"/>
      </w:rPr>
      <w:t></w:t>
    </w:r>
    <w:r w:rsidRPr="00F65DEA">
      <w:rPr>
        <w:rFonts w:ascii="C39T30Lfz" w:hAnsi="C39T30Lfz"/>
        <w:kern w:val="14"/>
        <w:sz w:val="56"/>
      </w:rPr>
      <w:t></w:t>
    </w:r>
    <w:r w:rsidRPr="00F65DE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F93B4F" wp14:editId="626512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8F6C" w14:textId="77777777" w:rsidR="001B7BD9" w:rsidRPr="001075E9" w:rsidRDefault="001B7B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08DF7F" w14:textId="77777777" w:rsidR="001B7BD9" w:rsidRDefault="001B7B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7DD991" w14:textId="77777777" w:rsidR="00F65DEA" w:rsidRPr="00924467" w:rsidRDefault="00F65DEA" w:rsidP="00F65DEA">
      <w:pPr>
        <w:pStyle w:val="FootnoteText"/>
      </w:pPr>
      <w:r>
        <w:tab/>
      </w:r>
      <w:r w:rsidRPr="00027D7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CCNR/ZKR/ADN/WP.15/AC.2/2020/21.</w:t>
      </w:r>
    </w:p>
  </w:footnote>
  <w:footnote w:id="2">
    <w:p w14:paraId="29106578" w14:textId="77777777" w:rsidR="00F65DEA" w:rsidRPr="00924467" w:rsidRDefault="00F65DEA" w:rsidP="00027D76">
      <w:pPr>
        <w:pStyle w:val="FootnoteText"/>
        <w:widowControl w:val="0"/>
      </w:pPr>
      <w:r>
        <w:tab/>
      </w:r>
      <w:r w:rsidRPr="00027D76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FC25" w14:textId="18CDFBE6" w:rsidR="00F65DEA" w:rsidRPr="00F65DEA" w:rsidRDefault="00F340B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E55A" w14:textId="4F2B1917" w:rsidR="00F65DEA" w:rsidRPr="00F65DEA" w:rsidRDefault="00F340B0" w:rsidP="00F65D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D9"/>
    <w:rsid w:val="00027D7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BD9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40A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0D40"/>
    <w:rsid w:val="00792497"/>
    <w:rsid w:val="007A4E4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59E0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40B0"/>
    <w:rsid w:val="00F43903"/>
    <w:rsid w:val="00F65DE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98268"/>
  <w15:docId w15:val="{BE515F25-5517-4D51-828E-88AAF72D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65DEA"/>
    <w:rPr>
      <w:lang w:val="ru-RU" w:eastAsia="en-US"/>
    </w:rPr>
  </w:style>
  <w:style w:type="paragraph" w:customStyle="1" w:styleId="ParNoG">
    <w:name w:val="_ParNo_G"/>
    <w:basedOn w:val="SingleTxtG"/>
    <w:qFormat/>
    <w:rsid w:val="00F65DEA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ECE/TRANS/WP.15/AC.2/2020/21</vt:lpstr>
      <vt:lpstr>ECE/TRANS/WP.15/AC.2/2020/21</vt:lpstr>
      <vt:lpstr>A/</vt:lpstr>
    </vt:vector>
  </TitlesOfParts>
  <Company>DCM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ECE/TRANS/WP.15/AC.2/2020/21</dc:title>
  <dc:subject/>
  <dc:creator>Uliana ANTIPOVA</dc:creator>
  <cp:keywords/>
  <cp:lastModifiedBy>Marie-Claude Collet</cp:lastModifiedBy>
  <cp:revision>3</cp:revision>
  <cp:lastPrinted>2019-11-29T11:37:00Z</cp:lastPrinted>
  <dcterms:created xsi:type="dcterms:W3CDTF">2019-11-29T11:36:00Z</dcterms:created>
  <dcterms:modified xsi:type="dcterms:W3CDTF">2019-11-29T11:37:00Z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