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E23E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3326EA" w14:textId="77777777" w:rsidR="002D5AAC" w:rsidRDefault="002D5AAC" w:rsidP="00EE0F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68C4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4E5A12" w14:textId="77777777" w:rsidR="002D5AAC" w:rsidRDefault="00EE0F9C" w:rsidP="00EE0F9C">
            <w:pPr>
              <w:jc w:val="right"/>
            </w:pPr>
            <w:r w:rsidRPr="00EE0F9C">
              <w:rPr>
                <w:sz w:val="40"/>
              </w:rPr>
              <w:t>ECE</w:t>
            </w:r>
            <w:r>
              <w:t>/TRANS/WP.15/AC.2/2020/16</w:t>
            </w:r>
          </w:p>
        </w:tc>
      </w:tr>
      <w:tr w:rsidR="002D5AAC" w:rsidRPr="00854546" w14:paraId="2B0FE4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96DF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2FAF40" wp14:editId="0462F7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1773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A9D41F" w14:textId="77777777" w:rsidR="002D5AAC" w:rsidRDefault="00EE0F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3B7624" w14:textId="77777777" w:rsidR="00EE0F9C" w:rsidRDefault="00EE0F9C" w:rsidP="00EE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2019</w:t>
            </w:r>
          </w:p>
          <w:p w14:paraId="37301B7F" w14:textId="77777777" w:rsidR="00EE0F9C" w:rsidRDefault="00EE0F9C" w:rsidP="00EE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9B9780" w14:textId="77777777" w:rsidR="00EE0F9C" w:rsidRPr="008D53B6" w:rsidRDefault="00EE0F9C" w:rsidP="00EE0F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BC7057" w14:textId="77777777" w:rsidR="00EE0F9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2E7B8B" w14:textId="77777777" w:rsidR="00EE0F9C" w:rsidRPr="00EF7938" w:rsidRDefault="00EE0F9C" w:rsidP="00EE0F9C">
      <w:pPr>
        <w:spacing w:before="120"/>
        <w:rPr>
          <w:sz w:val="28"/>
          <w:szCs w:val="28"/>
        </w:rPr>
      </w:pPr>
      <w:r w:rsidRPr="00EF7938">
        <w:rPr>
          <w:sz w:val="28"/>
          <w:szCs w:val="28"/>
        </w:rPr>
        <w:t>Комитет по внутреннему транспорту</w:t>
      </w:r>
    </w:p>
    <w:p w14:paraId="3D465757" w14:textId="77777777" w:rsidR="00EE0F9C" w:rsidRPr="00EF7938" w:rsidRDefault="00EE0F9C" w:rsidP="00EE0F9C">
      <w:pPr>
        <w:spacing w:before="120"/>
        <w:rPr>
          <w:b/>
          <w:sz w:val="24"/>
          <w:szCs w:val="24"/>
        </w:rPr>
      </w:pPr>
      <w:r w:rsidRPr="00EF7938">
        <w:rPr>
          <w:b/>
          <w:bCs/>
          <w:sz w:val="24"/>
          <w:szCs w:val="24"/>
        </w:rPr>
        <w:t>Рабочая группа по перевозкам опасных грузов</w:t>
      </w:r>
    </w:p>
    <w:p w14:paraId="4E918842" w14:textId="77777777" w:rsidR="00EE0F9C" w:rsidRPr="00EF7938" w:rsidRDefault="00EE0F9C" w:rsidP="00EE0F9C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40253C25" w14:textId="77777777" w:rsidR="00EE0F9C" w:rsidRPr="00EF7938" w:rsidRDefault="00EE0F9C" w:rsidP="00EE0F9C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6F812E0E" w14:textId="77777777" w:rsidR="00EE0F9C" w:rsidRPr="00EF7938" w:rsidRDefault="00EE0F9C" w:rsidP="00EE0F9C">
      <w:r>
        <w:t>Женева, 27–31 января 2020 года</w:t>
      </w:r>
    </w:p>
    <w:p w14:paraId="49D0CE64" w14:textId="77777777" w:rsidR="00EE0F9C" w:rsidRPr="00EF7938" w:rsidRDefault="00EE0F9C" w:rsidP="00EE0F9C">
      <w:r>
        <w:t>Пункт 5 b) предварительной повестки дня</w:t>
      </w:r>
    </w:p>
    <w:p w14:paraId="6A8A9D2E" w14:textId="77777777" w:rsidR="00EE0F9C" w:rsidRPr="00EF7938" w:rsidRDefault="00EE0F9C" w:rsidP="00EE0F9C">
      <w:pPr>
        <w:pStyle w:val="SingleTxtG"/>
        <w:spacing w:after="0"/>
        <w:ind w:left="0"/>
        <w:jc w:val="left"/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</w:p>
    <w:p w14:paraId="62BCD928" w14:textId="77777777" w:rsidR="00EE0F9C" w:rsidRPr="00EF7938" w:rsidRDefault="00EE0F9C" w:rsidP="00EE0F9C">
      <w:pPr>
        <w:pStyle w:val="SingleTxtG"/>
        <w:ind w:left="0"/>
        <w:rPr>
          <w:b/>
          <w:bCs/>
        </w:rPr>
      </w:pPr>
      <w:r>
        <w:rPr>
          <w:b/>
          <w:bCs/>
        </w:rPr>
        <w:t>другие предложения</w:t>
      </w:r>
    </w:p>
    <w:p w14:paraId="01E3BF82" w14:textId="77777777" w:rsidR="00EE0F9C" w:rsidRPr="00EF7938" w:rsidRDefault="00EE0F9C" w:rsidP="00EE0F9C">
      <w:pPr>
        <w:pStyle w:val="HChG"/>
      </w:pPr>
      <w:r>
        <w:tab/>
      </w:r>
      <w:r>
        <w:tab/>
        <w:t xml:space="preserve">Пункт 9.3.3.13.4 </w:t>
      </w:r>
      <w:r>
        <w:rPr>
          <w:bCs/>
        </w:rPr>
        <w:t>ВОПОГ</w:t>
      </w:r>
    </w:p>
    <w:p w14:paraId="193687E4" w14:textId="77777777" w:rsidR="00EE0F9C" w:rsidRPr="00EF7938" w:rsidRDefault="00EE0F9C" w:rsidP="00EE0F9C">
      <w:pPr>
        <w:pStyle w:val="H1G"/>
      </w:pPr>
      <w:r>
        <w:tab/>
      </w:r>
      <w:r>
        <w:tab/>
        <w:t>Передано Рекомендованными классификационными обществами ВОПОГ</w:t>
      </w:r>
      <w:r w:rsidRPr="00EE0F9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EE0F9C">
        <w:rPr>
          <w:b w:val="0"/>
          <w:bCs/>
          <w:sz w:val="20"/>
        </w:rPr>
        <w:t xml:space="preserve"> </w:t>
      </w:r>
      <w:r w:rsidRPr="00EE0F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5C07E901" w14:textId="77777777" w:rsidR="00EE0F9C" w:rsidRPr="00EF7938" w:rsidRDefault="00EE0F9C" w:rsidP="00EE0F9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682BE87" w14:textId="77777777" w:rsidR="00EE0F9C" w:rsidRPr="00EF7938" w:rsidRDefault="00EE0F9C" w:rsidP="00EE0F9C">
      <w:pPr>
        <w:pStyle w:val="SingleTxtG"/>
      </w:pPr>
      <w:r>
        <w:t>1.</w:t>
      </w:r>
      <w:r>
        <w:tab/>
        <w:t>В 2007 году в пункт 9.3.3.13.3 Правил перевозки опасных грузов по Рейну (ППОГР) было внесено значительное изменение, вводящее новые требования в отношении аварийной остойчивости для судов типа N с двойным корпусом/вкладными грузовыми танками. С этой целью был добавлен второй абзац.</w:t>
      </w:r>
    </w:p>
    <w:p w14:paraId="50D421DA" w14:textId="77777777" w:rsidR="00EE0F9C" w:rsidRPr="00EF7938" w:rsidRDefault="00EE0F9C" w:rsidP="00EE0F9C">
      <w:pPr>
        <w:pStyle w:val="SingleTxtG"/>
      </w:pPr>
      <w:r>
        <w:t>2.</w:t>
      </w:r>
      <w:r>
        <w:tab/>
        <w:t>Во втором абзаце пункта 9.3.3.13.3 уточняется, что требуется расчет аварийной остойчивости.</w:t>
      </w:r>
    </w:p>
    <w:p w14:paraId="752375BE" w14:textId="77777777" w:rsidR="00EE0F9C" w:rsidRPr="00EF7938" w:rsidRDefault="00EE0F9C" w:rsidP="00EE0F9C">
      <w:pPr>
        <w:pStyle w:val="SingleTxtG"/>
      </w:pPr>
      <w:r>
        <w:t>3.</w:t>
      </w:r>
      <w:r>
        <w:tab/>
        <w:t>В подразделе 9.3.3.15 приводятся критерии, которые необходимо учитывать.</w:t>
      </w:r>
    </w:p>
    <w:p w14:paraId="6C68FA26" w14:textId="77777777" w:rsidR="00EE0F9C" w:rsidRPr="00EF7938" w:rsidRDefault="00EE0F9C" w:rsidP="00EE0F9C">
      <w:pPr>
        <w:pStyle w:val="SingleTxtG"/>
      </w:pPr>
      <w:r>
        <w:t>4.</w:t>
      </w:r>
      <w:r>
        <w:tab/>
        <w:t>В последующих пересмотрах ППОГР и ВОПОГ второй абзац пункта 9.3.3.13.3 несколько раз изменялся, однако цель этого абзаца остается прежней: требование обеспечения аварийной остойчивости судов с двойным корпусом/вкладными грузовыми танками.</w:t>
      </w:r>
    </w:p>
    <w:p w14:paraId="12517506" w14:textId="77777777" w:rsidR="00EE0F9C" w:rsidRPr="00EF7938" w:rsidRDefault="00EE0F9C" w:rsidP="00EE0F9C">
      <w:pPr>
        <w:pStyle w:val="SingleTxtG"/>
      </w:pPr>
      <w:r>
        <w:lastRenderedPageBreak/>
        <w:t>5.</w:t>
      </w:r>
      <w:r>
        <w:tab/>
        <w:t>Для существующих судов, построенных до 2007 года, переходное положение должно оставаться таким же, как оно сформулировано в ВОПОГ, так как в противном случае эти суда должны будут соответствовать требованиям в отношении аварийной остойчивости, а большинство из них не рассчитаны на это.</w:t>
      </w:r>
    </w:p>
    <w:p w14:paraId="5A032C56" w14:textId="77777777" w:rsidR="00EE0F9C" w:rsidRPr="00EF7938" w:rsidRDefault="00EE0F9C" w:rsidP="00EE0F9C">
      <w:pPr>
        <w:pStyle w:val="SingleTxtG"/>
        <w:rPr>
          <w:b/>
          <w:color w:val="000000" w:themeColor="text1"/>
          <w:u w:val="single"/>
        </w:rPr>
      </w:pPr>
      <w:r>
        <w:t>6.</w:t>
      </w:r>
      <w:r>
        <w:tab/>
        <w:t xml:space="preserve">Ниже для информации приводятся выдержки из ВОПОГ, отражающие эволюцию правил. </w:t>
      </w:r>
    </w:p>
    <w:p w14:paraId="46C8D22F" w14:textId="77777777" w:rsidR="00EE0F9C" w:rsidRPr="00EF7938" w:rsidRDefault="00EE0F9C" w:rsidP="00EE0F9C">
      <w:pPr>
        <w:pStyle w:val="H23G"/>
        <w:jc w:val="both"/>
      </w:pPr>
      <w:r>
        <w:tab/>
        <w:t>1.</w:t>
      </w:r>
      <w:r>
        <w:tab/>
      </w:r>
      <w:r>
        <w:rPr>
          <w:bCs/>
        </w:rPr>
        <w:t>Издание ВОПОГ 2011 года (требование в отношении аварийной остойчивости включено в пункт 9.3.3.13.3, второй абзац, с переходными положениями)</w:t>
      </w:r>
      <w:r>
        <w:t xml:space="preserve"> </w:t>
      </w:r>
    </w:p>
    <w:p w14:paraId="213420FB" w14:textId="77777777" w:rsidR="00EE0F9C" w:rsidRPr="004843BA" w:rsidRDefault="00EE0F9C" w:rsidP="00B110A0">
      <w:pPr>
        <w:pStyle w:val="SingleTxtG"/>
        <w:tabs>
          <w:tab w:val="left" w:pos="2127"/>
        </w:tabs>
        <w:spacing w:line="230" w:lineRule="atLeast"/>
        <w:rPr>
          <w:b/>
          <w:bCs/>
        </w:rPr>
      </w:pPr>
      <w:r w:rsidRPr="00B110A0">
        <w:rPr>
          <w:bCs/>
        </w:rPr>
        <w:t>«</w:t>
      </w:r>
      <w:r>
        <w:rPr>
          <w:b/>
          <w:bCs/>
        </w:rPr>
        <w:t>9.3.3.13</w:t>
      </w:r>
      <w:r>
        <w:tab/>
      </w:r>
      <w:r>
        <w:rPr>
          <w:b/>
          <w:bCs/>
          <w:i/>
          <w:iCs/>
        </w:rPr>
        <w:t>Остойчивость (в целом)</w:t>
      </w:r>
    </w:p>
    <w:p w14:paraId="67E1F0BB" w14:textId="77777777" w:rsidR="00EE0F9C" w:rsidRPr="00A2398E" w:rsidRDefault="00EE0F9C" w:rsidP="00B110A0">
      <w:pPr>
        <w:pStyle w:val="SingleTxtG"/>
        <w:tabs>
          <w:tab w:val="left" w:pos="2127"/>
        </w:tabs>
        <w:spacing w:line="230" w:lineRule="atLeast"/>
      </w:pPr>
      <w:r>
        <w:t>9.3.3.13.1</w:t>
      </w:r>
      <w:r>
        <w:tab/>
        <w:t>Должна быть подтверждена достаточная остойчивость судна. Такое подтверждение не требуется в случае однокорпусных судов, у которых ширина грузовых танков составляет не более 0,70 × B.</w:t>
      </w:r>
    </w:p>
    <w:p w14:paraId="61DD34EF" w14:textId="77777777" w:rsidR="00EE0F9C" w:rsidRPr="00EF7938" w:rsidRDefault="00EE0F9C" w:rsidP="00B110A0">
      <w:pPr>
        <w:pStyle w:val="SingleTxtG"/>
        <w:tabs>
          <w:tab w:val="left" w:pos="2127"/>
        </w:tabs>
        <w:spacing w:line="230" w:lineRule="atLeast"/>
      </w:pPr>
      <w:r>
        <w:t>9.3.3.13.2</w:t>
      </w:r>
      <w:r>
        <w:tab/>
        <w:t>Исходные данные расчета остойчивости – водоизмещение судна порожнем и расположение центра тяжести – должны определяться либо с помощью опыта кренования, либо посредством подробных расчетов массы и момента. В последнем случае водоизмещение порожнем должно быть проверено путем соответствующего испытания, в результате которого допускается разница ±5% между массой, определенной путем расчетов, и водоизмещением, вычисленным на основе значений осадки.</w:t>
      </w:r>
    </w:p>
    <w:p w14:paraId="7E44B074" w14:textId="77777777" w:rsidR="00EE0F9C" w:rsidRPr="00EF7938" w:rsidRDefault="00EE0F9C" w:rsidP="00B110A0">
      <w:pPr>
        <w:pStyle w:val="SingleTxtG"/>
        <w:tabs>
          <w:tab w:val="left" w:pos="2127"/>
        </w:tabs>
        <w:spacing w:line="230" w:lineRule="atLeast"/>
      </w:pPr>
      <w:r>
        <w:t>9.3.3.13.3</w:t>
      </w:r>
      <w:r>
        <w:tab/>
        <w:t>Должна быть подтверждена достаточная остойчивость неповрежденного судна на всех стадиях загрузки и разгрузки и в конечном груженом состоянии.</w:t>
      </w:r>
    </w:p>
    <w:p w14:paraId="2C32471B" w14:textId="77777777" w:rsidR="00EE0F9C" w:rsidRPr="00EF7938" w:rsidRDefault="00EE0F9C" w:rsidP="00B110A0">
      <w:pPr>
        <w:pStyle w:val="SingleTxtG"/>
        <w:spacing w:line="230" w:lineRule="atLeast"/>
        <w:rPr>
          <w:b/>
          <w:bCs/>
        </w:rPr>
      </w:pPr>
      <w:r>
        <w:rPr>
          <w:b/>
          <w:bCs/>
        </w:rPr>
        <w:t>Для судов с вкладными грузовыми танками и для конструкций с двойным корпусом и грузовыми танками, встроенными в шпангоуты судна, должна быть подтверждена плавучесть судна после аварии в наиболее неблагоприятных условиях.</w:t>
      </w:r>
    </w:p>
    <w:p w14:paraId="1FDE9F1E" w14:textId="77777777" w:rsidR="00EE0F9C" w:rsidRPr="00EF7938" w:rsidRDefault="00EE0F9C" w:rsidP="00B110A0">
      <w:pPr>
        <w:pStyle w:val="SingleTxtG"/>
        <w:spacing w:line="230" w:lineRule="atLeast"/>
      </w:pPr>
      <w:r>
        <w:t>С этой целью должна быть подтверждена достаточная остойчивость путем ее расчета на критических промежуточных стадиях затопления и на конечной стадии затопления. Отрицательные значения остойчивости на промежуточных стадиях затопления могут допускаться в том случае, если непрерывный участок кривой восстанавливающих плеч в аварийном состоянии показывает достаточные положительные значения остойчивости.».</w:t>
      </w:r>
    </w:p>
    <w:p w14:paraId="3A8B003D" w14:textId="77777777" w:rsidR="00EE0F9C" w:rsidRPr="007036CF" w:rsidRDefault="00EE0F9C" w:rsidP="00B110A0">
      <w:pPr>
        <w:pStyle w:val="SingleTxtG"/>
        <w:spacing w:before="120" w:after="240" w:line="230" w:lineRule="atLeast"/>
      </w:pPr>
      <w:r>
        <w:t xml:space="preserve">1.6.7.2.2.2 Таблица общих </w:t>
      </w:r>
      <w:r>
        <w:rPr>
          <w:b/>
          <w:bCs/>
          <w:u w:val="single"/>
        </w:rPr>
        <w:t>переходных положений</w:t>
      </w:r>
      <w:r>
        <w:t xml:space="preserve"> – танкеры</w:t>
      </w:r>
    </w:p>
    <w:tbl>
      <w:tblPr>
        <w:tblW w:w="7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037"/>
        <w:gridCol w:w="3754"/>
      </w:tblGrid>
      <w:tr w:rsidR="00EE0F9C" w:rsidRPr="004843BA" w14:paraId="64791E49" w14:textId="77777777" w:rsidTr="003B1005">
        <w:trPr>
          <w:cantSplit/>
          <w:jc w:val="center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502CC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9.3.1.13</w:t>
            </w:r>
          </w:p>
          <w:p w14:paraId="4C990F65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073E1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4A0A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</w:p>
          <w:p w14:paraId="47175087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  <w:tr w:rsidR="00EE0F9C" w:rsidRPr="004843BA" w14:paraId="690E1276" w14:textId="77777777" w:rsidTr="003B1005">
        <w:trPr>
          <w:cantSplit/>
          <w:jc w:val="center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BCF28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9.3.3.13.3 второй абзац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F5F1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5F22C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  <w:r>
              <w:rPr>
                <w:snapToGrid w:val="0"/>
              </w:rPr>
              <w:t xml:space="preserve"> </w:t>
            </w:r>
            <w:r>
              <w:t>с 1 января 2007 года</w:t>
            </w:r>
          </w:p>
          <w:p w14:paraId="5B0850BC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</w:tbl>
    <w:p w14:paraId="5BE734B9" w14:textId="77777777" w:rsidR="00EE0F9C" w:rsidRPr="00EF7938" w:rsidRDefault="00EE0F9C" w:rsidP="00EE0F9C">
      <w:pPr>
        <w:pStyle w:val="H23G"/>
      </w:pPr>
      <w:r>
        <w:tab/>
        <w:t>2.</w:t>
      </w:r>
      <w:r>
        <w:tab/>
      </w:r>
      <w:r>
        <w:rPr>
          <w:bCs/>
        </w:rPr>
        <w:t>Издание ВОПОГ 2013 года (второй абзац пункта 9.3.3.13.3 ВОПОГ 2011 года был исключен)</w:t>
      </w:r>
    </w:p>
    <w:p w14:paraId="4FDE80B6" w14:textId="77777777" w:rsidR="00EE0F9C" w:rsidRPr="00EF7938" w:rsidRDefault="00EE0F9C" w:rsidP="00B110A0">
      <w:pPr>
        <w:pStyle w:val="SingleTxtG"/>
        <w:tabs>
          <w:tab w:val="left" w:pos="2127"/>
        </w:tabs>
        <w:spacing w:line="230" w:lineRule="atLeast"/>
        <w:rPr>
          <w:b/>
          <w:bCs/>
          <w:i/>
          <w:iCs/>
        </w:rPr>
      </w:pPr>
      <w:r w:rsidRPr="00B110A0">
        <w:rPr>
          <w:bCs/>
        </w:rPr>
        <w:t>«</w:t>
      </w:r>
      <w:r>
        <w:rPr>
          <w:b/>
          <w:bCs/>
        </w:rPr>
        <w:t>9.3.3.13</w:t>
      </w:r>
      <w:r>
        <w:tab/>
      </w:r>
      <w:r>
        <w:rPr>
          <w:b/>
          <w:bCs/>
          <w:i/>
          <w:iCs/>
        </w:rPr>
        <w:t>Остойчивость (в целом)</w:t>
      </w:r>
    </w:p>
    <w:p w14:paraId="25FCA85A" w14:textId="77777777" w:rsidR="00EE0F9C" w:rsidRPr="00EF7938" w:rsidRDefault="00EE0F9C" w:rsidP="00B110A0">
      <w:pPr>
        <w:pStyle w:val="SingleTxtG"/>
        <w:spacing w:line="230" w:lineRule="atLeast"/>
      </w:pPr>
      <w:r>
        <w:t>9.3.3.13.1</w:t>
      </w:r>
      <w:r>
        <w:tab/>
        <w:t>Должна быть подтверждена достаточная остойчивость судна. Такое подтверждение не требуется в случае однокорпусных судов, у которых ширина грузовых танков составляет не более 0,70 × B.</w:t>
      </w:r>
    </w:p>
    <w:p w14:paraId="68D33D30" w14:textId="77777777" w:rsidR="00EE0F9C" w:rsidRPr="00EF7938" w:rsidRDefault="00EE0F9C" w:rsidP="00B110A0">
      <w:pPr>
        <w:pStyle w:val="SingleTxtG"/>
        <w:spacing w:line="230" w:lineRule="atLeast"/>
      </w:pPr>
      <w:r>
        <w:t>9.3.3.13.2</w:t>
      </w:r>
      <w:r>
        <w:tab/>
        <w:t>Исходные данные расчета остойчивости – водоизмещение судна порожнем и расположение центра тяжести – должны определяться либо с помощью опыта кренования, либо посредством подробных расчетов массы и момента. В</w:t>
      </w:r>
      <w:r w:rsidR="00B110A0">
        <w:t> </w:t>
      </w:r>
      <w:r>
        <w:t>последнем случае водоизмещение порожнем должно быть проверено путем соответствующего испытания, в результате которого допускается разница ±5% между массой, определенной путем расчетов, и водоизмещением, вычисленным на основе значений осадки.</w:t>
      </w:r>
    </w:p>
    <w:p w14:paraId="0ADF58FF" w14:textId="77777777" w:rsidR="00EE0F9C" w:rsidRPr="00EF7938" w:rsidRDefault="00EE0F9C" w:rsidP="00B110A0">
      <w:pPr>
        <w:pStyle w:val="SingleTxtG"/>
        <w:spacing w:line="230" w:lineRule="atLeast"/>
      </w:pPr>
      <w:r>
        <w:lastRenderedPageBreak/>
        <w:t>9.3.3.13.3</w:t>
      </w:r>
      <w:r>
        <w:tab/>
        <w:t>Должна быть подтверждена достаточная остойчивость неповрежденного судна на всех стадиях загрузки и разгрузки и в конечном груженом состоянии для всех значений относительной плотности перевозимых веществ, указанных в перечне веществ, допущенных к перевозке судном, который предписан в пункте 1.16.1.2.5.</w:t>
      </w:r>
    </w:p>
    <w:p w14:paraId="3565DA19" w14:textId="77777777" w:rsidR="00EE0F9C" w:rsidRPr="00EF7938" w:rsidRDefault="00EE0F9C" w:rsidP="00B110A0">
      <w:pPr>
        <w:pStyle w:val="SingleTxtG"/>
        <w:spacing w:line="230" w:lineRule="atLeast"/>
      </w:pPr>
      <w:r>
        <w:t>Каждый раз при загрузке судна, с учетом фактических уровней наполнения грузовых танков, балластных цистерн и отсеков, цистерн питьевой воды, фановых цистерн и цистерн, содержащих продукты, необходимые для эксплуатации судна, судно должно отвечать предписаниям, касающимся остойчивости неповрежденного судна и аварийной остойчивости.</w:t>
      </w:r>
    </w:p>
    <w:p w14:paraId="1F6CB20C" w14:textId="77777777" w:rsidR="00EE0F9C" w:rsidRPr="00EF7938" w:rsidRDefault="00EE0F9C" w:rsidP="00B110A0">
      <w:pPr>
        <w:pStyle w:val="SingleTxtG"/>
        <w:spacing w:line="230" w:lineRule="atLeast"/>
      </w:pPr>
      <w:r>
        <w:t>Должны также приниматься во внимание промежуточные стадии осуществляемых операций.</w:t>
      </w:r>
    </w:p>
    <w:p w14:paraId="27F73C58" w14:textId="77777777" w:rsidR="00EE0F9C" w:rsidRPr="00EF7938" w:rsidRDefault="00EE0F9C" w:rsidP="00B110A0">
      <w:pPr>
        <w:pStyle w:val="SingleTxtG"/>
        <w:spacing w:line="230" w:lineRule="atLeast"/>
      </w:pPr>
      <w:r>
        <w:t>Подтверждение достаточной остойчивости должно быть включено в брошюру по остойчивости для каждой стадии эксплуатации, загрузки и балластировки и подлежит утверждению соответствующим классификационным обществом, которое классифицирует судно. Если практически невозможно предварительно рассчитать стадии эксплуатации, загрузки и балластировки, то должен быть установлен и использоваться прибор контроля загрузки, утвержденный признанным классификационным обществом, которое классифицирует судно, и в этот прибор вводится содержание брошюры по остойчивости.</w:t>
      </w:r>
    </w:p>
    <w:p w14:paraId="52D2C878" w14:textId="77777777" w:rsidR="00EE0F9C" w:rsidRPr="00EF7938" w:rsidRDefault="00EE0F9C" w:rsidP="00B110A0">
      <w:pPr>
        <w:pStyle w:val="SingleTxtG"/>
        <w:spacing w:line="230" w:lineRule="atLeast"/>
        <w:rPr>
          <w:b/>
          <w:bCs/>
          <w:i/>
          <w:iCs/>
        </w:rPr>
      </w:pPr>
      <w:r w:rsidRPr="00446193">
        <w:rPr>
          <w:b/>
          <w:bCs/>
          <w:i/>
          <w:iCs/>
        </w:rPr>
        <w:t>ПРИМЕЧАНИЕ:</w:t>
      </w:r>
      <w:r>
        <w:rPr>
          <w:b/>
          <w:bCs/>
        </w:rPr>
        <w:t xml:space="preserve"> </w:t>
      </w:r>
      <w:r>
        <w:t>...».</w:t>
      </w:r>
    </w:p>
    <w:p w14:paraId="7B618EE3" w14:textId="77777777" w:rsidR="00EE0F9C" w:rsidRPr="00EF7938" w:rsidRDefault="00EE0F9C" w:rsidP="00B110A0">
      <w:pPr>
        <w:pStyle w:val="SingleTxtG"/>
        <w:spacing w:line="230" w:lineRule="atLeast"/>
      </w:pPr>
      <w:r>
        <w:t>1.6.7.2.2.2</w:t>
      </w:r>
      <w:r>
        <w:tab/>
        <w:t>Таблица общих переходных положений – танкеры</w:t>
      </w:r>
    </w:p>
    <w:tbl>
      <w:tblPr>
        <w:tblW w:w="7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2004"/>
        <w:gridCol w:w="3809"/>
      </w:tblGrid>
      <w:tr w:rsidR="00EE0F9C" w:rsidRPr="004843BA" w14:paraId="19714115" w14:textId="77777777" w:rsidTr="003B1005">
        <w:trPr>
          <w:cantSplit/>
          <w:jc w:val="center"/>
        </w:trPr>
        <w:tc>
          <w:tcPr>
            <w:tcW w:w="1836" w:type="dxa"/>
          </w:tcPr>
          <w:p w14:paraId="68B39EDC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9.3.1.13</w:t>
            </w:r>
          </w:p>
          <w:p w14:paraId="4DE25CA0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</w:t>
            </w:r>
          </w:p>
        </w:tc>
        <w:tc>
          <w:tcPr>
            <w:tcW w:w="2379" w:type="dxa"/>
          </w:tcPr>
          <w:p w14:paraId="000845E3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566" w:type="dxa"/>
          </w:tcPr>
          <w:p w14:paraId="586DCE2F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</w:p>
          <w:p w14:paraId="078BCE2D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  <w:tr w:rsidR="00EE0F9C" w:rsidRPr="004843BA" w14:paraId="0C70E1C5" w14:textId="77777777" w:rsidTr="003B1005">
        <w:trPr>
          <w:cantSplit/>
          <w:jc w:val="center"/>
        </w:trPr>
        <w:tc>
          <w:tcPr>
            <w:tcW w:w="1836" w:type="dxa"/>
          </w:tcPr>
          <w:p w14:paraId="28DA86F7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9.3.3.13.3 второй абзац</w:t>
            </w:r>
          </w:p>
        </w:tc>
        <w:tc>
          <w:tcPr>
            <w:tcW w:w="2379" w:type="dxa"/>
          </w:tcPr>
          <w:p w14:paraId="62787E61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566" w:type="dxa"/>
          </w:tcPr>
          <w:p w14:paraId="43954879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 с 1 января 2007 года</w:t>
            </w:r>
          </w:p>
          <w:p w14:paraId="510A1FC0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</w:tbl>
    <w:p w14:paraId="6191EDF3" w14:textId="77777777" w:rsidR="00EE0F9C" w:rsidRPr="00EF7938" w:rsidRDefault="00EE0F9C" w:rsidP="00EE0F9C">
      <w:pPr>
        <w:pStyle w:val="SingleTxtG"/>
        <w:spacing w:before="120"/>
      </w:pPr>
      <w:r>
        <w:t>«1.6.7.2.2.4</w:t>
      </w:r>
      <w:r>
        <w:tab/>
        <w:t>Пункты 9.3.1.13.3, 9.3.2.13.3 и 9.3.3.13.3 могут применяться до 31 декабря 2014 года в редакции, применяемой на 31 декабря 2012 года.».</w:t>
      </w:r>
    </w:p>
    <w:p w14:paraId="366263A3" w14:textId="77777777" w:rsidR="00EE0F9C" w:rsidRPr="00EF7938" w:rsidRDefault="00EE0F9C" w:rsidP="00EE0F9C">
      <w:pPr>
        <w:pStyle w:val="H23G"/>
      </w:pPr>
      <w:r>
        <w:tab/>
        <w:t>3.</w:t>
      </w:r>
      <w:r>
        <w:tab/>
      </w:r>
      <w:r>
        <w:rPr>
          <w:bCs/>
        </w:rPr>
        <w:t>Издание ВОПОГ 2015 года: такая же редакция, как и в ВОПОГ 2013 года</w:t>
      </w:r>
    </w:p>
    <w:p w14:paraId="77952E51" w14:textId="77777777" w:rsidR="00EE0F9C" w:rsidRPr="00EF7938" w:rsidRDefault="00EE0F9C" w:rsidP="00EE0F9C">
      <w:pPr>
        <w:pStyle w:val="H23G"/>
      </w:pPr>
      <w:r>
        <w:tab/>
        <w:t>4.</w:t>
      </w:r>
      <w:r>
        <w:tab/>
      </w:r>
      <w:r>
        <w:rPr>
          <w:bCs/>
        </w:rPr>
        <w:t>Издание ВОПОГ 2017 года: добавлен пункт 9.3.3.13.4</w:t>
      </w:r>
    </w:p>
    <w:p w14:paraId="311ECBEB" w14:textId="77777777" w:rsidR="00EE0F9C" w:rsidRPr="00623413" w:rsidRDefault="00EE0F9C" w:rsidP="00B110A0">
      <w:pPr>
        <w:pStyle w:val="SingleTxtG"/>
        <w:keepNext/>
        <w:spacing w:after="100" w:line="230" w:lineRule="atLeast"/>
        <w:rPr>
          <w:b/>
          <w:bCs/>
          <w:i/>
          <w:iCs/>
        </w:rPr>
      </w:pPr>
      <w:r w:rsidRPr="00B110A0">
        <w:rPr>
          <w:bCs/>
        </w:rPr>
        <w:t>«</w:t>
      </w:r>
      <w:r>
        <w:rPr>
          <w:b/>
          <w:bCs/>
        </w:rPr>
        <w:t>9.3.3.13</w:t>
      </w:r>
      <w:r>
        <w:t xml:space="preserve"> </w:t>
      </w:r>
      <w:r>
        <w:tab/>
      </w:r>
      <w:r>
        <w:rPr>
          <w:b/>
          <w:bCs/>
          <w:i/>
          <w:iCs/>
        </w:rPr>
        <w:t>Остойчивость (в целом)</w:t>
      </w:r>
    </w:p>
    <w:p w14:paraId="0581BED5" w14:textId="77777777" w:rsidR="00EE0F9C" w:rsidRPr="00A2398E" w:rsidRDefault="00EE0F9C" w:rsidP="00B110A0">
      <w:pPr>
        <w:pStyle w:val="SingleTxtG"/>
        <w:keepNext/>
      </w:pPr>
      <w:r>
        <w:t>9.3.3.13.1</w:t>
      </w:r>
      <w:r>
        <w:tab/>
        <w:t>Должна быть подтверждена достаточная остойчивость судна. Такое подтверждение не требуется в случае однокорпусных судов, у которых ширина грузовых танков составляет не более 0,70 × B.</w:t>
      </w:r>
    </w:p>
    <w:p w14:paraId="5D82974B" w14:textId="02150F20" w:rsidR="00EE0F9C" w:rsidRPr="00EF7938" w:rsidRDefault="00EE0F9C" w:rsidP="00B110A0">
      <w:pPr>
        <w:pStyle w:val="SingleTxtG"/>
        <w:keepNext/>
      </w:pPr>
      <w:r>
        <w:t>9.3.3.13.2</w:t>
      </w:r>
      <w:r w:rsidR="00854546">
        <w:tab/>
      </w:r>
      <w:r>
        <w:t>Исходные данные расчета остойчивости – водоизмещение судна порожнем и расположение центра тяжести – должны определяться либо с помощью опыта кренования, либо посредством подробных расчетов массы и момента. В</w:t>
      </w:r>
      <w:r w:rsidR="008205FC">
        <w:rPr>
          <w:lang w:val="en-US"/>
        </w:rPr>
        <w:t> </w:t>
      </w:r>
      <w:r>
        <w:t>последнем случае водоизмещение порожнем должно быть проверено путем соответствующего испытания, в результате которого допускается разница ±5% между массой, определенной путем расчетов, и водоизмещением, вычисленным на основе значений осадки.</w:t>
      </w:r>
    </w:p>
    <w:p w14:paraId="75F2EEA3" w14:textId="77777777" w:rsidR="00EE0F9C" w:rsidRPr="00A2398E" w:rsidRDefault="00EE0F9C" w:rsidP="00B110A0">
      <w:pPr>
        <w:pStyle w:val="SingleTxtG"/>
        <w:keepNext/>
      </w:pPr>
      <w:r>
        <w:t>9.3.3.13.3</w:t>
      </w:r>
      <w:r>
        <w:tab/>
        <w:t>Должна быть подтверждена достаточная остойчивость неповрежденного судна на всех стадиях загрузки и разгрузки и в конечном груженом состоянии для всех значений относительной плотности перевозимых веществ, указанных в перечне веществ, допущенных к перевозке судном, который предписан в пункте 1.16.1.2.5.</w:t>
      </w:r>
    </w:p>
    <w:p w14:paraId="03B9CD9E" w14:textId="77777777" w:rsidR="00EE0F9C" w:rsidRPr="00EF7938" w:rsidRDefault="00EE0F9C" w:rsidP="00B110A0">
      <w:pPr>
        <w:pStyle w:val="SingleTxtG"/>
      </w:pPr>
      <w:r>
        <w:t>Каждый раз при загрузке судна, с учетом фактических уровней наполнения грузовых танков, балластных цистерн и отсеков, цистерн питьевой воды, фановых цистерн и цистерн, содержащих продукты, необходимые для эксплуатации судна, судно должно отвечать предписаниям, касающимся остойчивости неповрежденного судна и аварийной остойчивости.</w:t>
      </w:r>
    </w:p>
    <w:p w14:paraId="0A11D72E" w14:textId="77777777" w:rsidR="00EE0F9C" w:rsidRPr="00EF7938" w:rsidRDefault="00EE0F9C" w:rsidP="00EE0F9C">
      <w:pPr>
        <w:pStyle w:val="SingleTxtG"/>
        <w:keepNext/>
        <w:spacing w:before="120"/>
      </w:pPr>
      <w:r>
        <w:lastRenderedPageBreak/>
        <w:t>Должны также приниматься во внимание промежуточные стадии осуществляемых операций.</w:t>
      </w:r>
    </w:p>
    <w:p w14:paraId="6978BCB3" w14:textId="77777777" w:rsidR="00EE0F9C" w:rsidRPr="00A2398E" w:rsidRDefault="00EE0F9C" w:rsidP="00EE0F9C">
      <w:pPr>
        <w:pStyle w:val="SingleTxtG"/>
        <w:spacing w:before="120"/>
      </w:pPr>
      <w:r>
        <w:t>Подтверждение достаточной остойчивости должно быть включено в брошюру по остойчивости для каждой стадии эксплуатации, загрузки и балластировки и подлежит утверждению признанным классификационным обществом, которое классифицирует судно. Если практически невозможно предварительно рассчитать стадии эксплуатации, загрузки и балластировки, то должен быть установлен и использоваться прибор контроля загрузки, утвержденный признанным классификационным обществом, которое классифицирует судно, и в этот прибор вводится содержание брошюры по остойчивости.</w:t>
      </w:r>
    </w:p>
    <w:p w14:paraId="57EC19AF" w14:textId="77777777" w:rsidR="00EE0F9C" w:rsidRPr="00EF7938" w:rsidRDefault="00EE0F9C" w:rsidP="00EE0F9C">
      <w:pPr>
        <w:pStyle w:val="SingleTxtG"/>
        <w:spacing w:before="120"/>
      </w:pPr>
      <w:r>
        <w:rPr>
          <w:b/>
          <w:bCs/>
          <w:i/>
          <w:iCs/>
        </w:rPr>
        <w:t>ПРИМЕЧАНИЕ:</w:t>
      </w:r>
      <w:r>
        <w:t xml:space="preserve"> ...</w:t>
      </w:r>
    </w:p>
    <w:p w14:paraId="17A235AE" w14:textId="77777777" w:rsidR="00EE0F9C" w:rsidRPr="00EF7938" w:rsidRDefault="00EE0F9C" w:rsidP="00EE0F9C">
      <w:pPr>
        <w:pStyle w:val="SingleTxtG"/>
        <w:spacing w:before="120"/>
      </w:pPr>
      <w:r>
        <w:t>9.3.3.13.4</w:t>
      </w:r>
      <w:r>
        <w:tab/>
        <w:t>Должна быть подтверждена плавучесть судна после аварии в наиболее неблагоприятных грузовых условиях. С этой целью расчетным путем должна быть подтверждена достаточная остойчивость для критических промежуточных стадий затопления и для конечной стадии затопления.».</w:t>
      </w:r>
    </w:p>
    <w:p w14:paraId="44F2054A" w14:textId="77777777" w:rsidR="00EE0F9C" w:rsidRDefault="00EE0F9C" w:rsidP="00EE0F9C">
      <w:pPr>
        <w:pStyle w:val="SingleTxtG"/>
        <w:keepNext/>
        <w:spacing w:before="120"/>
      </w:pPr>
      <w:r>
        <w:t>1.6.7.2.2.2</w:t>
      </w:r>
      <w:r>
        <w:tab/>
        <w:t>Таблица общих переходных положений – танкеры</w:t>
      </w:r>
    </w:p>
    <w:tbl>
      <w:tblPr>
        <w:tblW w:w="7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2004"/>
        <w:gridCol w:w="3809"/>
      </w:tblGrid>
      <w:tr w:rsidR="00EE0F9C" w:rsidRPr="004843BA" w14:paraId="698FA35C" w14:textId="77777777" w:rsidTr="003B1005">
        <w:trPr>
          <w:cantSplit/>
          <w:jc w:val="center"/>
        </w:trPr>
        <w:tc>
          <w:tcPr>
            <w:tcW w:w="1836" w:type="dxa"/>
          </w:tcPr>
          <w:p w14:paraId="13C1C0C0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9.3.1.13</w:t>
            </w:r>
          </w:p>
          <w:p w14:paraId="0B0C4990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</w:t>
            </w:r>
          </w:p>
        </w:tc>
        <w:tc>
          <w:tcPr>
            <w:tcW w:w="2379" w:type="dxa"/>
          </w:tcPr>
          <w:p w14:paraId="716EDB8C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566" w:type="dxa"/>
          </w:tcPr>
          <w:p w14:paraId="44E97994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</w:p>
          <w:p w14:paraId="4BE9F603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  <w:tr w:rsidR="00EE0F9C" w:rsidRPr="004843BA" w14:paraId="245275AA" w14:textId="77777777" w:rsidTr="003B1005">
        <w:trPr>
          <w:cantSplit/>
          <w:jc w:val="center"/>
        </w:trPr>
        <w:tc>
          <w:tcPr>
            <w:tcW w:w="1836" w:type="dxa"/>
          </w:tcPr>
          <w:p w14:paraId="467AEB32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9.3.3.13.3 второй абзац</w:t>
            </w:r>
          </w:p>
        </w:tc>
        <w:tc>
          <w:tcPr>
            <w:tcW w:w="2379" w:type="dxa"/>
          </w:tcPr>
          <w:p w14:paraId="749DB0C8" w14:textId="77777777" w:rsidR="00EE0F9C" w:rsidRPr="006939E3" w:rsidRDefault="00EE0F9C" w:rsidP="003B1005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Остойчивость (в</w:t>
            </w:r>
            <w:r w:rsidR="00B110A0">
              <w:t> </w:t>
            </w:r>
            <w:r>
              <w:t>целом)</w:t>
            </w:r>
          </w:p>
        </w:tc>
        <w:tc>
          <w:tcPr>
            <w:tcW w:w="4566" w:type="dxa"/>
          </w:tcPr>
          <w:p w14:paraId="6093DDC4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 с 1 января 2007 года</w:t>
            </w:r>
          </w:p>
          <w:p w14:paraId="23AFA4D0" w14:textId="77777777" w:rsidR="00EE0F9C" w:rsidRPr="00EF7938" w:rsidRDefault="00EE0F9C" w:rsidP="003B1005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 декабря 2044 года</w:t>
            </w:r>
          </w:p>
        </w:tc>
      </w:tr>
    </w:tbl>
    <w:p w14:paraId="0A78B3C8" w14:textId="77777777" w:rsidR="00EE0F9C" w:rsidRPr="00EF7938" w:rsidRDefault="00EE0F9C" w:rsidP="00EE0F9C">
      <w:pPr>
        <w:pStyle w:val="H23G"/>
      </w:pPr>
      <w:r>
        <w:tab/>
        <w:t>5.</w:t>
      </w:r>
      <w:r>
        <w:tab/>
      </w:r>
      <w:r>
        <w:rPr>
          <w:bCs/>
        </w:rPr>
        <w:t>Предложение</w:t>
      </w:r>
    </w:p>
    <w:p w14:paraId="5395BBE6" w14:textId="77777777" w:rsidR="00EE0F9C" w:rsidRPr="00EF7938" w:rsidRDefault="00EE0F9C" w:rsidP="00EE0F9C">
      <w:pPr>
        <w:pStyle w:val="SingleTxtG"/>
      </w:pPr>
      <w:r>
        <w:t>Пункт 9.3.3.13.4 необходимо было восстановить вместе с переходным положением, как в издании ВОПОГ 2011 года.</w:t>
      </w:r>
    </w:p>
    <w:p w14:paraId="325641E5" w14:textId="77777777" w:rsidR="00EE0F9C" w:rsidRPr="00EF7938" w:rsidRDefault="00EE0F9C" w:rsidP="00EE0F9C">
      <w:pPr>
        <w:pStyle w:val="SingleTxtG"/>
      </w:pPr>
      <w:r>
        <w:t xml:space="preserve">Предложение заключается в следующем: </w:t>
      </w:r>
    </w:p>
    <w:p w14:paraId="322AB1C7" w14:textId="77777777" w:rsidR="00EE0F9C" w:rsidRPr="00EF7938" w:rsidRDefault="00EE0F9C" w:rsidP="00EE0F9C">
      <w:pPr>
        <w:pStyle w:val="SingleTxtG"/>
      </w:pPr>
      <w:r>
        <w:t>Добавить в таблицу 1.6.7.2.2.2 следующую позицию:</w:t>
      </w: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951"/>
        <w:gridCol w:w="1605"/>
        <w:gridCol w:w="3815"/>
      </w:tblGrid>
      <w:tr w:rsidR="00EE0F9C" w:rsidRPr="00CC543C" w14:paraId="6022F8A3" w14:textId="77777777" w:rsidTr="0090147B">
        <w:tc>
          <w:tcPr>
            <w:tcW w:w="1951" w:type="dxa"/>
          </w:tcPr>
          <w:p w14:paraId="2AF2F2FD" w14:textId="77777777" w:rsidR="00EE0F9C" w:rsidRPr="00446193" w:rsidRDefault="00EE0F9C" w:rsidP="003B1005">
            <w:pPr>
              <w:pStyle w:val="NormalWeb"/>
              <w:spacing w:before="40" w:beforeAutospacing="0" w:after="40" w:afterAutospacing="0"/>
              <w:ind w:left="57"/>
              <w:rPr>
                <w:color w:val="000000" w:themeColor="text1"/>
                <w:sz w:val="20"/>
                <w:szCs w:val="20"/>
              </w:rPr>
            </w:pPr>
            <w:r w:rsidRPr="00446193">
              <w:rPr>
                <w:i/>
                <w:iCs/>
                <w:sz w:val="20"/>
                <w:szCs w:val="20"/>
                <w:lang w:val="ru-RU"/>
              </w:rPr>
              <w:t>Пункты</w:t>
            </w:r>
          </w:p>
        </w:tc>
        <w:tc>
          <w:tcPr>
            <w:tcW w:w="1605" w:type="dxa"/>
          </w:tcPr>
          <w:p w14:paraId="4560A9A1" w14:textId="77777777" w:rsidR="00EE0F9C" w:rsidRPr="00446193" w:rsidRDefault="00EE0F9C" w:rsidP="003B1005">
            <w:pPr>
              <w:pStyle w:val="NormalWeb"/>
              <w:spacing w:before="40" w:beforeAutospacing="0" w:after="40" w:afterAutospacing="0"/>
              <w:ind w:left="57"/>
              <w:rPr>
                <w:color w:val="000000" w:themeColor="text1"/>
                <w:sz w:val="20"/>
                <w:szCs w:val="20"/>
              </w:rPr>
            </w:pPr>
            <w:r w:rsidRPr="00446193">
              <w:rPr>
                <w:i/>
                <w:iCs/>
                <w:sz w:val="20"/>
                <w:szCs w:val="20"/>
                <w:lang w:val="ru-RU"/>
              </w:rPr>
              <w:t>Вопрос</w:t>
            </w:r>
          </w:p>
        </w:tc>
        <w:tc>
          <w:tcPr>
            <w:tcW w:w="3815" w:type="dxa"/>
          </w:tcPr>
          <w:p w14:paraId="28585789" w14:textId="77777777" w:rsidR="00EE0F9C" w:rsidRPr="00446193" w:rsidRDefault="00EE0F9C" w:rsidP="003B1005">
            <w:pPr>
              <w:pStyle w:val="NormalWeb"/>
              <w:spacing w:before="40" w:beforeAutospacing="0" w:after="40" w:afterAutospacing="0"/>
              <w:ind w:left="57"/>
              <w:rPr>
                <w:color w:val="000000" w:themeColor="text1"/>
                <w:sz w:val="20"/>
                <w:szCs w:val="20"/>
              </w:rPr>
            </w:pPr>
            <w:r w:rsidRPr="00446193">
              <w:rPr>
                <w:i/>
                <w:iCs/>
                <w:sz w:val="20"/>
                <w:szCs w:val="20"/>
                <w:lang w:val="ru-RU"/>
              </w:rPr>
              <w:t>Сроки и замечания</w:t>
            </w:r>
          </w:p>
        </w:tc>
      </w:tr>
      <w:tr w:rsidR="00EE0F9C" w:rsidRPr="004843BA" w14:paraId="601E8762" w14:textId="77777777" w:rsidTr="0090147B">
        <w:tc>
          <w:tcPr>
            <w:tcW w:w="1951" w:type="dxa"/>
          </w:tcPr>
          <w:p w14:paraId="38A96533" w14:textId="77777777" w:rsidR="00EE0F9C" w:rsidRPr="00446193" w:rsidRDefault="00EE0F9C" w:rsidP="003B1005">
            <w:pPr>
              <w:pStyle w:val="NormalWeb"/>
              <w:spacing w:before="0" w:beforeAutospacing="0" w:after="0" w:afterAutospacing="0"/>
              <w:ind w:left="57"/>
              <w:rPr>
                <w:color w:val="000000" w:themeColor="text1"/>
                <w:sz w:val="20"/>
                <w:szCs w:val="20"/>
              </w:rPr>
            </w:pPr>
            <w:r w:rsidRPr="00446193">
              <w:rPr>
                <w:sz w:val="20"/>
                <w:szCs w:val="20"/>
                <w:lang w:val="ru-RU"/>
              </w:rPr>
              <w:t>9.3.3.13.4</w:t>
            </w:r>
          </w:p>
        </w:tc>
        <w:tc>
          <w:tcPr>
            <w:tcW w:w="1605" w:type="dxa"/>
          </w:tcPr>
          <w:p w14:paraId="559C2327" w14:textId="77777777" w:rsidR="00EE0F9C" w:rsidRPr="00446193" w:rsidRDefault="00EE0F9C" w:rsidP="003B1005">
            <w:pPr>
              <w:pStyle w:val="NormalWeb"/>
              <w:spacing w:before="0" w:beforeAutospacing="0" w:after="0" w:afterAutospacing="0"/>
              <w:ind w:left="57"/>
              <w:rPr>
                <w:color w:val="000000" w:themeColor="text1"/>
                <w:sz w:val="20"/>
                <w:szCs w:val="20"/>
              </w:rPr>
            </w:pPr>
            <w:r w:rsidRPr="00446193">
              <w:rPr>
                <w:sz w:val="20"/>
                <w:szCs w:val="20"/>
                <w:lang w:val="ru-RU"/>
              </w:rPr>
              <w:t>Остойчивость</w:t>
            </w:r>
            <w:r w:rsidR="00B110A0">
              <w:rPr>
                <w:sz w:val="20"/>
                <w:szCs w:val="20"/>
                <w:lang w:val="ru-RU"/>
              </w:rPr>
              <w:br/>
            </w:r>
            <w:r w:rsidRPr="00446193">
              <w:rPr>
                <w:sz w:val="20"/>
                <w:szCs w:val="20"/>
                <w:lang w:val="ru-RU"/>
              </w:rPr>
              <w:t>(в целом)</w:t>
            </w:r>
          </w:p>
        </w:tc>
        <w:tc>
          <w:tcPr>
            <w:tcW w:w="3815" w:type="dxa"/>
          </w:tcPr>
          <w:p w14:paraId="61FD6FE6" w14:textId="77777777" w:rsidR="00EE0F9C" w:rsidRPr="00446193" w:rsidRDefault="00EE0F9C" w:rsidP="0090147B">
            <w:pPr>
              <w:adjustRightInd w:val="0"/>
              <w:snapToGrid w:val="0"/>
              <w:spacing w:before="40" w:after="40"/>
              <w:jc w:val="center"/>
              <w:rPr>
                <w:bCs/>
                <w:color w:val="000000" w:themeColor="text1"/>
              </w:rPr>
            </w:pPr>
            <w:r>
              <w:t>Н.З.М.</w:t>
            </w:r>
            <w:r w:rsidRPr="00446193">
              <w:t xml:space="preserve"> с 1 января 2007 года</w:t>
            </w:r>
          </w:p>
          <w:p w14:paraId="52BAB780" w14:textId="77777777" w:rsidR="00EE0F9C" w:rsidRPr="00446193" w:rsidRDefault="00EE0F9C" w:rsidP="0090147B">
            <w:pPr>
              <w:pStyle w:val="NormalWeb"/>
              <w:suppressAutoHyphens/>
              <w:spacing w:before="0" w:beforeAutospacing="0" w:after="0" w:afterAutospacing="0"/>
              <w:ind w:left="5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446193">
              <w:rPr>
                <w:sz w:val="20"/>
                <w:szCs w:val="20"/>
                <w:lang w:val="ru-RU"/>
              </w:rPr>
              <w:t>Возобновление свидетельства</w:t>
            </w:r>
            <w:r w:rsidR="0090147B">
              <w:rPr>
                <w:sz w:val="20"/>
                <w:szCs w:val="20"/>
                <w:lang w:val="ru-RU"/>
              </w:rPr>
              <w:t xml:space="preserve"> </w:t>
            </w:r>
            <w:r w:rsidRPr="00446193">
              <w:rPr>
                <w:sz w:val="20"/>
                <w:szCs w:val="20"/>
                <w:lang w:val="ru-RU"/>
              </w:rPr>
              <w:t>о</w:t>
            </w:r>
            <w:r w:rsidR="0090147B">
              <w:rPr>
                <w:sz w:val="20"/>
                <w:szCs w:val="20"/>
                <w:lang w:val="ru-RU"/>
              </w:rPr>
              <w:br/>
            </w:r>
            <w:r w:rsidRPr="00446193">
              <w:rPr>
                <w:sz w:val="20"/>
                <w:szCs w:val="20"/>
                <w:lang w:val="ru-RU"/>
              </w:rPr>
              <w:t>допущении после 31 декабря 2044 года</w:t>
            </w:r>
          </w:p>
        </w:tc>
      </w:tr>
    </w:tbl>
    <w:p w14:paraId="0E3CAB4C" w14:textId="77777777" w:rsidR="00EE0F9C" w:rsidRPr="00EF7938" w:rsidRDefault="00EE0F9C" w:rsidP="00EE0F9C">
      <w:pPr>
        <w:spacing w:before="240"/>
        <w:jc w:val="center"/>
        <w:rPr>
          <w:u w:val="single"/>
        </w:rPr>
      </w:pPr>
      <w:r w:rsidRPr="00EF7938">
        <w:rPr>
          <w:u w:val="single"/>
        </w:rPr>
        <w:tab/>
      </w:r>
      <w:r w:rsidRPr="00EF7938">
        <w:rPr>
          <w:u w:val="single"/>
        </w:rPr>
        <w:tab/>
      </w:r>
      <w:r w:rsidRPr="00EF7938">
        <w:rPr>
          <w:u w:val="single"/>
        </w:rPr>
        <w:tab/>
      </w:r>
    </w:p>
    <w:p w14:paraId="48843D47" w14:textId="77777777" w:rsidR="00E12C5F" w:rsidRPr="008D53B6" w:rsidRDefault="00E12C5F" w:rsidP="00D9145B"/>
    <w:sectPr w:rsidR="00E12C5F" w:rsidRPr="008D53B6" w:rsidSect="00EE0F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41D9" w14:textId="77777777" w:rsidR="00365200" w:rsidRPr="00A312BC" w:rsidRDefault="00365200" w:rsidP="00A312BC"/>
  </w:endnote>
  <w:endnote w:type="continuationSeparator" w:id="0">
    <w:p w14:paraId="7E5E87D1" w14:textId="77777777" w:rsidR="00365200" w:rsidRPr="00A312BC" w:rsidRDefault="003652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0056" w14:textId="77777777" w:rsidR="00EE0F9C" w:rsidRPr="00EE0F9C" w:rsidRDefault="00EE0F9C">
    <w:pPr>
      <w:pStyle w:val="Footer"/>
    </w:pPr>
    <w:r w:rsidRPr="00EE0F9C">
      <w:rPr>
        <w:b/>
        <w:sz w:val="18"/>
      </w:rPr>
      <w:fldChar w:fldCharType="begin"/>
    </w:r>
    <w:r w:rsidRPr="00EE0F9C">
      <w:rPr>
        <w:b/>
        <w:sz w:val="18"/>
      </w:rPr>
      <w:instrText xml:space="preserve"> PAGE  \* MERGEFORMAT </w:instrText>
    </w:r>
    <w:r w:rsidRPr="00EE0F9C">
      <w:rPr>
        <w:b/>
        <w:sz w:val="18"/>
      </w:rPr>
      <w:fldChar w:fldCharType="separate"/>
    </w:r>
    <w:r w:rsidRPr="00EE0F9C">
      <w:rPr>
        <w:b/>
        <w:noProof/>
        <w:sz w:val="18"/>
      </w:rPr>
      <w:t>2</w:t>
    </w:r>
    <w:r w:rsidRPr="00EE0F9C">
      <w:rPr>
        <w:b/>
        <w:sz w:val="18"/>
      </w:rPr>
      <w:fldChar w:fldCharType="end"/>
    </w:r>
    <w:r>
      <w:rPr>
        <w:b/>
        <w:sz w:val="18"/>
      </w:rPr>
      <w:tab/>
    </w:r>
    <w:r>
      <w:t>GE.19-19534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BA1D" w14:textId="77777777" w:rsidR="00EE0F9C" w:rsidRPr="00EE0F9C" w:rsidRDefault="00EE0F9C" w:rsidP="00EE0F9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GE.19-19534</w:t>
    </w:r>
    <w:r>
      <w:tab/>
    </w:r>
    <w:r w:rsidRPr="00EE0F9C">
      <w:rPr>
        <w:b/>
        <w:sz w:val="18"/>
      </w:rPr>
      <w:fldChar w:fldCharType="begin"/>
    </w:r>
    <w:r w:rsidRPr="00EE0F9C">
      <w:rPr>
        <w:b/>
        <w:sz w:val="18"/>
      </w:rPr>
      <w:instrText xml:space="preserve"> PAGE  \* MERGEFORMAT </w:instrText>
    </w:r>
    <w:r w:rsidRPr="00EE0F9C">
      <w:rPr>
        <w:b/>
        <w:sz w:val="18"/>
      </w:rPr>
      <w:fldChar w:fldCharType="separate"/>
    </w:r>
    <w:r w:rsidRPr="00EE0F9C">
      <w:rPr>
        <w:b/>
        <w:noProof/>
        <w:sz w:val="18"/>
      </w:rPr>
      <w:t>3</w:t>
    </w:r>
    <w:r w:rsidRPr="00EE0F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4A5F" w14:textId="77777777" w:rsidR="00042B72" w:rsidRPr="00EE0F9C" w:rsidRDefault="00EE0F9C" w:rsidP="00EE0F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1F7AF5" wp14:editId="55BCE8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19-19534  (R)</w:t>
    </w:r>
    <w:r w:rsidR="00B110A0">
      <w:t xml:space="preserve">  191119  191119</w:t>
    </w:r>
    <w:r>
      <w:br/>
    </w:r>
    <w:r w:rsidRPr="00EE0F9C">
      <w:rPr>
        <w:rFonts w:ascii="C39T30Lfz" w:hAnsi="C39T30Lfz"/>
        <w:kern w:val="14"/>
        <w:sz w:val="56"/>
      </w:rPr>
      <w:t></w:t>
    </w:r>
    <w:r w:rsidRPr="00EE0F9C">
      <w:rPr>
        <w:rFonts w:ascii="C39T30Lfz" w:hAnsi="C39T30Lfz"/>
        <w:kern w:val="14"/>
        <w:sz w:val="56"/>
      </w:rPr>
      <w:t></w:t>
    </w:r>
    <w:r w:rsidRPr="00EE0F9C">
      <w:rPr>
        <w:rFonts w:ascii="C39T30Lfz" w:hAnsi="C39T30Lfz"/>
        <w:kern w:val="14"/>
        <w:sz w:val="56"/>
      </w:rPr>
      <w:t></w:t>
    </w:r>
    <w:r w:rsidRPr="00EE0F9C">
      <w:rPr>
        <w:rFonts w:ascii="C39T30Lfz" w:hAnsi="C39T30Lfz"/>
        <w:kern w:val="14"/>
        <w:sz w:val="56"/>
      </w:rPr>
      <w:t></w:t>
    </w:r>
    <w:r w:rsidRPr="00EE0F9C">
      <w:rPr>
        <w:rFonts w:ascii="C39T30Lfz" w:hAnsi="C39T30Lfz"/>
        <w:kern w:val="14"/>
        <w:sz w:val="56"/>
      </w:rPr>
      <w:t></w:t>
    </w:r>
    <w:r w:rsidRPr="00EE0F9C">
      <w:rPr>
        <w:rFonts w:ascii="C39T30Lfz" w:hAnsi="C39T30Lfz"/>
        <w:kern w:val="14"/>
        <w:sz w:val="56"/>
      </w:rPr>
      <w:t></w:t>
    </w:r>
    <w:r w:rsidRPr="00EE0F9C">
      <w:rPr>
        <w:rFonts w:ascii="C39T30Lfz" w:hAnsi="C39T30Lfz"/>
        <w:kern w:val="14"/>
        <w:sz w:val="56"/>
      </w:rPr>
      <w:t></w:t>
    </w:r>
    <w:r w:rsidRPr="00EE0F9C">
      <w:rPr>
        <w:rFonts w:ascii="C39T30Lfz" w:hAnsi="C39T30Lfz"/>
        <w:kern w:val="14"/>
        <w:sz w:val="56"/>
      </w:rPr>
      <w:t></w:t>
    </w:r>
    <w:r w:rsidRPr="00EE0F9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A4B4E92" wp14:editId="661231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05D3" w14:textId="77777777" w:rsidR="00365200" w:rsidRPr="001075E9" w:rsidRDefault="003652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4715A" w14:textId="77777777" w:rsidR="00365200" w:rsidRDefault="003652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0960C3" w14:textId="77777777" w:rsidR="00EE0F9C" w:rsidRPr="00EF7938" w:rsidRDefault="00EE0F9C" w:rsidP="00EE0F9C">
      <w:pPr>
        <w:pStyle w:val="FootnoteText"/>
      </w:pPr>
      <w:r>
        <w:tab/>
      </w:r>
      <w:r w:rsidRPr="00B110A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CCNR/ZKR/ADN/WP.15/AC.2/2020/16.</w:t>
      </w:r>
    </w:p>
  </w:footnote>
  <w:footnote w:id="2">
    <w:p w14:paraId="79D216A4" w14:textId="77777777" w:rsidR="00EE0F9C" w:rsidRPr="00EF7938" w:rsidRDefault="00EE0F9C" w:rsidP="00B110A0">
      <w:pPr>
        <w:pStyle w:val="FootnoteText"/>
        <w:widowControl w:val="0"/>
      </w:pPr>
      <w:r>
        <w:tab/>
      </w:r>
      <w:r w:rsidRPr="00B110A0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E0A7" w14:textId="2B95D127" w:rsidR="00EE0F9C" w:rsidRPr="00EE0F9C" w:rsidRDefault="00FE6449">
    <w:pPr>
      <w:pStyle w:val="Header"/>
    </w:pPr>
    <w:fldSimple w:instr=" TITLE  \* MERGEFORMAT ">
      <w:r w:rsidR="003972F1">
        <w:t>ECE/TRANS/WP.15/AC.2/2020/16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FFE9" w14:textId="79D305AA" w:rsidR="00EE0F9C" w:rsidRPr="00EE0F9C" w:rsidRDefault="00FE6449" w:rsidP="00EE0F9C">
    <w:pPr>
      <w:pStyle w:val="Header"/>
      <w:jc w:val="right"/>
    </w:pPr>
    <w:fldSimple w:instr=" TITLE  \* MERGEFORMAT ">
      <w:r w:rsidR="003972F1">
        <w:t>ECE/TRANS/WP.15/AC.2/2020/16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3A83"/>
    <w:multiLevelType w:val="hybridMultilevel"/>
    <w:tmpl w:val="2EB890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0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0E49"/>
    <w:rsid w:val="00255343"/>
    <w:rsid w:val="0027151D"/>
    <w:rsid w:val="002912A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200"/>
    <w:rsid w:val="00381C24"/>
    <w:rsid w:val="00387CD4"/>
    <w:rsid w:val="003958D0"/>
    <w:rsid w:val="003972F1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893"/>
    <w:rsid w:val="006D461A"/>
    <w:rsid w:val="006F35EE"/>
    <w:rsid w:val="007021FF"/>
    <w:rsid w:val="00712895"/>
    <w:rsid w:val="00734ACB"/>
    <w:rsid w:val="00757357"/>
    <w:rsid w:val="00792497"/>
    <w:rsid w:val="00806737"/>
    <w:rsid w:val="008205FC"/>
    <w:rsid w:val="00825F8D"/>
    <w:rsid w:val="00834B71"/>
    <w:rsid w:val="00854546"/>
    <w:rsid w:val="0086445C"/>
    <w:rsid w:val="00894693"/>
    <w:rsid w:val="008A08D7"/>
    <w:rsid w:val="008A37C8"/>
    <w:rsid w:val="008B6909"/>
    <w:rsid w:val="008D53B6"/>
    <w:rsid w:val="008F7609"/>
    <w:rsid w:val="0090147B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0A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C78"/>
    <w:rsid w:val="00E12C5F"/>
    <w:rsid w:val="00E73F76"/>
    <w:rsid w:val="00EA2C9F"/>
    <w:rsid w:val="00EA420E"/>
    <w:rsid w:val="00ED0BDA"/>
    <w:rsid w:val="00EE0F9C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4CCB5"/>
  <w15:docId w15:val="{43FBC4DE-D9F3-4514-9EEB-1626F35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EE0F9C"/>
    <w:rPr>
      <w:lang w:val="ru-RU" w:eastAsia="en-US"/>
    </w:rPr>
  </w:style>
  <w:style w:type="paragraph" w:customStyle="1" w:styleId="ParNoG">
    <w:name w:val="_ParNo_G"/>
    <w:basedOn w:val="SingleTxtG"/>
    <w:qFormat/>
    <w:rsid w:val="00EE0F9C"/>
    <w:pPr>
      <w:numPr>
        <w:numId w:val="22"/>
      </w:numPr>
      <w:suppressAutoHyphens w:val="0"/>
    </w:pPr>
    <w:rPr>
      <w:lang w:val="en-GB" w:eastAsia="fr-FR"/>
    </w:rPr>
  </w:style>
  <w:style w:type="paragraph" w:styleId="NormalWeb">
    <w:name w:val="Normal (Web)"/>
    <w:basedOn w:val="Normal"/>
    <w:uiPriority w:val="99"/>
    <w:unhideWhenUsed/>
    <w:rsid w:val="00EE0F9C"/>
    <w:pPr>
      <w:suppressAutoHyphens w:val="0"/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ECE/TRANS/WP.15/AC.2/2020/16</vt:lpstr>
      <vt:lpstr>ECE/TRANS/WP.15/AC.2/2020/16</vt:lpstr>
      <vt:lpstr>A/</vt:lpstr>
    </vt:vector>
  </TitlesOfParts>
  <Company>DCM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ECE/TRANS/WP.15/AC.2/2020/16</dc:title>
  <dc:subject/>
  <dc:creator>Uliana ANTIPOVA</dc:creator>
  <cp:keywords/>
  <cp:lastModifiedBy>Marie-Claude Collet</cp:lastModifiedBy>
  <cp:revision>3</cp:revision>
  <cp:lastPrinted>2019-12-09T07:21:00Z</cp:lastPrinted>
  <dcterms:created xsi:type="dcterms:W3CDTF">2019-12-09T07:20:00Z</dcterms:created>
  <dcterms:modified xsi:type="dcterms:W3CDTF">2019-12-09T07:21:00Z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