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BCA34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3CBA3F" w14:textId="77777777" w:rsidR="002D5AAC" w:rsidRDefault="002D5AAC" w:rsidP="00094D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C1F23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769847" w14:textId="77777777" w:rsidR="002D5AAC" w:rsidRDefault="00094DD4" w:rsidP="00094DD4">
            <w:pPr>
              <w:jc w:val="right"/>
            </w:pPr>
            <w:r w:rsidRPr="00094DD4">
              <w:rPr>
                <w:sz w:val="40"/>
              </w:rPr>
              <w:t>ECE</w:t>
            </w:r>
            <w:r>
              <w:t>/TRANS/WP.15/AC.2/2020/15</w:t>
            </w:r>
          </w:p>
        </w:tc>
      </w:tr>
      <w:tr w:rsidR="002D5AAC" w:rsidRPr="007F6A03" w14:paraId="2677938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D0993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8FCE8E" wp14:editId="04F3DA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926BD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409616" w14:textId="77777777" w:rsidR="002D5AAC" w:rsidRDefault="00094D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CAA88E" w14:textId="77777777" w:rsidR="00094DD4" w:rsidRDefault="00094DD4" w:rsidP="00094D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2019</w:t>
            </w:r>
          </w:p>
          <w:p w14:paraId="61B10BE7" w14:textId="77777777" w:rsidR="00094DD4" w:rsidRDefault="00094DD4" w:rsidP="00094D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227F39" w14:textId="77777777" w:rsidR="00094DD4" w:rsidRPr="008D53B6" w:rsidRDefault="00094DD4" w:rsidP="00094D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463C2D7" w14:textId="77777777" w:rsidR="00094DD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36844E" w14:textId="77777777" w:rsidR="00094DD4" w:rsidRPr="00094DD4" w:rsidRDefault="00094DD4" w:rsidP="00094DD4">
      <w:pPr>
        <w:spacing w:before="120"/>
        <w:rPr>
          <w:sz w:val="40"/>
          <w:szCs w:val="28"/>
        </w:rPr>
      </w:pPr>
      <w:r w:rsidRPr="00094DD4">
        <w:rPr>
          <w:sz w:val="28"/>
        </w:rPr>
        <w:t>Комитет по внутреннему транспорту</w:t>
      </w:r>
    </w:p>
    <w:p w14:paraId="507E61C7" w14:textId="77777777" w:rsidR="00094DD4" w:rsidRPr="00094DD4" w:rsidRDefault="00094DD4" w:rsidP="00094DD4">
      <w:pPr>
        <w:spacing w:before="120"/>
        <w:rPr>
          <w:b/>
          <w:sz w:val="32"/>
          <w:szCs w:val="24"/>
        </w:rPr>
      </w:pPr>
      <w:r w:rsidRPr="00094DD4">
        <w:rPr>
          <w:b/>
          <w:bCs/>
          <w:sz w:val="24"/>
        </w:rPr>
        <w:t>Рабочая группа по перевозкам опасных грузов</w:t>
      </w:r>
    </w:p>
    <w:p w14:paraId="1B79E709" w14:textId="77777777" w:rsidR="00094DD4" w:rsidRPr="00825297" w:rsidRDefault="00094DD4" w:rsidP="00094DD4">
      <w:pPr>
        <w:spacing w:before="120"/>
        <w:rPr>
          <w:b/>
        </w:rPr>
      </w:pPr>
      <w:r w:rsidRPr="00825297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825297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825297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825297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825297">
        <w:rPr>
          <w:b/>
          <w:bCs/>
        </w:rPr>
        <w:t>(Комитет по вопросам безопасности ВОПОГ)</w:t>
      </w:r>
    </w:p>
    <w:p w14:paraId="2EA112A5" w14:textId="77777777" w:rsidR="00094DD4" w:rsidRPr="00825297" w:rsidRDefault="00094DD4" w:rsidP="00094DD4">
      <w:pPr>
        <w:spacing w:before="120"/>
        <w:rPr>
          <w:b/>
        </w:rPr>
      </w:pPr>
      <w:r w:rsidRPr="00825297">
        <w:rPr>
          <w:b/>
          <w:bCs/>
        </w:rPr>
        <w:t>Тридцать шестая сессия</w:t>
      </w:r>
    </w:p>
    <w:p w14:paraId="74551DA1" w14:textId="77777777" w:rsidR="00094DD4" w:rsidRPr="00825297" w:rsidRDefault="00094DD4" w:rsidP="00094DD4">
      <w:r w:rsidRPr="00825297">
        <w:t>Женева, 27–31 января 2020 года</w:t>
      </w:r>
    </w:p>
    <w:p w14:paraId="005E9397" w14:textId="77777777" w:rsidR="00094DD4" w:rsidRPr="00825297" w:rsidRDefault="00094DD4" w:rsidP="00094DD4">
      <w:r w:rsidRPr="00825297">
        <w:t>Пункт 4 c) предварительной повестки дня</w:t>
      </w:r>
    </w:p>
    <w:p w14:paraId="4750C320" w14:textId="77777777" w:rsidR="00094DD4" w:rsidRPr="00825297" w:rsidRDefault="00094DD4" w:rsidP="00094DD4">
      <w:pPr>
        <w:rPr>
          <w:b/>
          <w:bCs/>
        </w:rPr>
      </w:pPr>
      <w:r w:rsidRPr="00825297">
        <w:rPr>
          <w:b/>
          <w:bCs/>
        </w:rPr>
        <w:t xml:space="preserve">Применение Европейского соглашения о международной </w:t>
      </w:r>
      <w:r>
        <w:rPr>
          <w:b/>
          <w:bCs/>
        </w:rPr>
        <w:br/>
      </w:r>
      <w:r w:rsidRPr="00825297">
        <w:rPr>
          <w:b/>
          <w:bCs/>
        </w:rPr>
        <w:t xml:space="preserve">перевозке опасных грузов по внутренним водным </w:t>
      </w:r>
      <w:r>
        <w:rPr>
          <w:b/>
          <w:bCs/>
        </w:rPr>
        <w:br/>
      </w:r>
      <w:r w:rsidRPr="00825297">
        <w:rPr>
          <w:b/>
          <w:bCs/>
        </w:rPr>
        <w:t>путям (ВОПОГ):</w:t>
      </w:r>
      <w:r w:rsidRPr="00094DD4">
        <w:rPr>
          <w:b/>
          <w:bCs/>
        </w:rPr>
        <w:t xml:space="preserve"> </w:t>
      </w:r>
      <w:r w:rsidRPr="00825297">
        <w:rPr>
          <w:b/>
          <w:bCs/>
        </w:rPr>
        <w:t xml:space="preserve">толкование Правил, </w:t>
      </w:r>
      <w:r>
        <w:rPr>
          <w:b/>
          <w:bCs/>
        </w:rPr>
        <w:br/>
      </w:r>
      <w:r w:rsidRPr="00825297">
        <w:rPr>
          <w:b/>
          <w:bCs/>
        </w:rPr>
        <w:t>прилагаемых к ВОПОГ</w:t>
      </w:r>
    </w:p>
    <w:p w14:paraId="005A701B" w14:textId="77777777" w:rsidR="00094DD4" w:rsidRPr="00825297" w:rsidRDefault="00094DD4" w:rsidP="00094DD4">
      <w:pPr>
        <w:pStyle w:val="HChG"/>
      </w:pPr>
      <w:r w:rsidRPr="00825297">
        <w:tab/>
      </w:r>
      <w:r w:rsidRPr="00825297">
        <w:tab/>
      </w:r>
      <w:r w:rsidRPr="00825297">
        <w:rPr>
          <w:bCs/>
        </w:rPr>
        <w:t>Пункты 9.3.x.13.3 ВОПОГ – Брошюра по остойчивости</w:t>
      </w:r>
    </w:p>
    <w:p w14:paraId="288B76A1" w14:textId="77777777" w:rsidR="00094DD4" w:rsidRPr="00825297" w:rsidRDefault="00094DD4" w:rsidP="00094DD4">
      <w:pPr>
        <w:pStyle w:val="H1G"/>
      </w:pPr>
      <w:r w:rsidRPr="00825297">
        <w:tab/>
      </w:r>
      <w:r w:rsidRPr="00825297">
        <w:tab/>
      </w:r>
      <w:r w:rsidRPr="00825297">
        <w:rPr>
          <w:bCs/>
        </w:rPr>
        <w:t>Передано правительством Германии</w:t>
      </w:r>
      <w:r w:rsidRPr="00094DD4">
        <w:rPr>
          <w:rStyle w:val="FootnoteReference"/>
          <w:b w:val="0"/>
          <w:snapToGrid w:val="0"/>
          <w:sz w:val="20"/>
          <w:vertAlign w:val="baseline"/>
        </w:rPr>
        <w:footnoteReference w:customMarkFollows="1" w:id="1"/>
        <w:t>*</w:t>
      </w:r>
      <w:r w:rsidRPr="00094DD4">
        <w:rPr>
          <w:b w:val="0"/>
          <w:bCs/>
          <w:sz w:val="20"/>
          <w:vertAlign w:val="superscript"/>
        </w:rPr>
        <w:t>,</w:t>
      </w:r>
      <w:r w:rsidRPr="007F6A03">
        <w:rPr>
          <w:rStyle w:val="FootnoteReference"/>
          <w:b w:val="0"/>
          <w:snapToGrid w:val="0"/>
          <w:sz w:val="20"/>
        </w:rPr>
        <w:t xml:space="preserve"> </w:t>
      </w:r>
      <w:r w:rsidRPr="00094DD4">
        <w:rPr>
          <w:rStyle w:val="FootnoteReference"/>
          <w:b w:val="0"/>
          <w:snapToGrid w:val="0"/>
          <w:sz w:val="20"/>
          <w:vertAlign w:val="baseline"/>
        </w:rPr>
        <w:footnoteReference w:customMarkFollows="1" w:id="2"/>
        <w:t>**</w:t>
      </w:r>
    </w:p>
    <w:p w14:paraId="0952C886" w14:textId="77777777" w:rsidR="00094DD4" w:rsidRPr="00825297" w:rsidRDefault="00094DD4" w:rsidP="00094DD4">
      <w:pPr>
        <w:pStyle w:val="HChG"/>
      </w:pPr>
      <w:r w:rsidRPr="00825297">
        <w:tab/>
      </w:r>
      <w:r w:rsidRPr="00825297">
        <w:tab/>
      </w:r>
      <w:r w:rsidRPr="00825297">
        <w:rPr>
          <w:bCs/>
        </w:rPr>
        <w:t>Введение</w:t>
      </w:r>
    </w:p>
    <w:p w14:paraId="47E369DC" w14:textId="77777777" w:rsidR="00094DD4" w:rsidRPr="00825297" w:rsidRDefault="00094DD4" w:rsidP="00094DD4">
      <w:pPr>
        <w:pStyle w:val="SingleTxtG"/>
      </w:pPr>
      <w:r w:rsidRPr="00825297">
        <w:t>1.</w:t>
      </w:r>
      <w:r w:rsidRPr="00825297">
        <w:tab/>
        <w:t>Германия отметила различия между формулировками пунктов 9.3.1.13.3, 9.3.2.13.3 и 9.3.3.13.3 ВОПОГ в тексте на немецком языке, с одной стороны, и в текстах на английском и французском языках, с другой стороны. К сожалению, делегация Германии не смогла проверить текст на русском языке.</w:t>
      </w:r>
    </w:p>
    <w:p w14:paraId="7A610B10" w14:textId="77777777" w:rsidR="00094DD4" w:rsidRPr="00825297" w:rsidRDefault="00094DD4" w:rsidP="00094DD4">
      <w:pPr>
        <w:pStyle w:val="SingleTxtG"/>
      </w:pPr>
      <w:r w:rsidRPr="00825297">
        <w:t xml:space="preserve">2. </w:t>
      </w:r>
      <w:r w:rsidRPr="00825297">
        <w:tab/>
        <w:t>На двадцатой сессии Комитета по вопросам безопасности ВОПОГ Германия представила в документе ECE/TRANS/WP.15/AC.2/2012/14 (ZKR/ADN/WP.15/</w:t>
      </w:r>
      <w:r w:rsidRPr="00094DD4">
        <w:t xml:space="preserve"> </w:t>
      </w:r>
      <w:r w:rsidRPr="00825297">
        <w:t xml:space="preserve">AC.2/2012/14) новую редакцию пунктов 9.3.x.13.3. В </w:t>
      </w:r>
      <w:r>
        <w:t>содержащих пр</w:t>
      </w:r>
      <w:r w:rsidRPr="00825297">
        <w:t>ед</w:t>
      </w:r>
      <w:r>
        <w:t xml:space="preserve">ложения </w:t>
      </w:r>
      <w:r w:rsidRPr="00825297">
        <w:t>документах соответствующие тексты совпадали.</w:t>
      </w:r>
    </w:p>
    <w:p w14:paraId="77F26576" w14:textId="234A578D" w:rsidR="00094DD4" w:rsidRPr="00825297" w:rsidRDefault="00094DD4" w:rsidP="00094DD4">
      <w:pPr>
        <w:pStyle w:val="SingleTxtG"/>
      </w:pPr>
      <w:r w:rsidRPr="00825297">
        <w:t>3.</w:t>
      </w:r>
      <w:r w:rsidRPr="00825297">
        <w:tab/>
        <w:t xml:space="preserve">В приложении I к докладу о работе двадцатой сессии (документ ECE/TRANS/WP.15/AC.2/42), содержащем принятые поправки, отмечаются существенные различия между немецким, с одной стороны, и французским и английским языками, с другой стороны. В докладе на немецком языке соответствующий текст взят из документа, в котором содержится предложение о </w:t>
      </w:r>
      <w:r w:rsidRPr="00825297">
        <w:lastRenderedPageBreak/>
        <w:t xml:space="preserve">внесении поправок (CCNR-ZKR/ADN/WP.15/AC.2/2012/14), </w:t>
      </w:r>
      <w:r>
        <w:t>в том время к</w:t>
      </w:r>
      <w:r w:rsidRPr="00825297">
        <w:t>а</w:t>
      </w:r>
      <w:r>
        <w:t>к</w:t>
      </w:r>
      <w:r w:rsidRPr="00825297">
        <w:t xml:space="preserve"> в докладах на французском и английском языках этот пункт был существенно изменен по сравнению с содержащим предложение документом ECE/TRANS/</w:t>
      </w:r>
      <w:r w:rsidR="009675C7">
        <w:t xml:space="preserve"> </w:t>
      </w:r>
      <w:r w:rsidRPr="00825297">
        <w:t>WP.15/AC.2/2012/14.</w:t>
      </w:r>
    </w:p>
    <w:p w14:paraId="292B5B6D" w14:textId="77777777" w:rsidR="00094DD4" w:rsidRPr="00825297" w:rsidRDefault="00094DD4" w:rsidP="00094DD4">
      <w:pPr>
        <w:pStyle w:val="HChG"/>
      </w:pPr>
      <w:r>
        <w:tab/>
      </w:r>
      <w:r w:rsidRPr="00825297">
        <w:t>I.</w:t>
      </w:r>
      <w:r w:rsidRPr="00825297">
        <w:tab/>
      </w:r>
      <w:r w:rsidRPr="00825297">
        <w:rPr>
          <w:bCs/>
        </w:rPr>
        <w:t>Тексты правового характера, содержащиеся в нынешнем действующем варианте ВОПОГ</w:t>
      </w:r>
    </w:p>
    <w:p w14:paraId="7F5F2C4D" w14:textId="77777777" w:rsidR="00094DD4" w:rsidRPr="00825297" w:rsidRDefault="00094DD4" w:rsidP="00094DD4">
      <w:pPr>
        <w:pStyle w:val="SingleTxtG"/>
      </w:pPr>
      <w:r w:rsidRPr="00825297">
        <w:t>4.</w:t>
      </w:r>
      <w:r w:rsidRPr="00825297">
        <w:tab/>
        <w:t>Различия между текстом на немецком языке и текстами на французском и английском языках показаны в следующей таблице: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976"/>
      </w:tblGrid>
      <w:tr w:rsidR="00094DD4" w:rsidRPr="00825297" w14:paraId="7EFAAB6A" w14:textId="77777777" w:rsidTr="007F6A03">
        <w:tc>
          <w:tcPr>
            <w:tcW w:w="3539" w:type="dxa"/>
          </w:tcPr>
          <w:p w14:paraId="01337FA9" w14:textId="77777777" w:rsidR="00094DD4" w:rsidRPr="00825297" w:rsidRDefault="00094DD4" w:rsidP="007F6A03">
            <w:pPr>
              <w:pStyle w:val="SingleTxtG"/>
              <w:spacing w:before="80" w:line="240" w:lineRule="auto"/>
              <w:ind w:left="136" w:right="65"/>
              <w:jc w:val="left"/>
            </w:pPr>
            <w:proofErr w:type="spellStart"/>
            <w:r w:rsidRPr="00825297">
              <w:t>Die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Stabilitätsunterlagen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mit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diesem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Nachweis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und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den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durch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die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anerkannten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Klassifikationsgesellschaft</w:t>
            </w:r>
            <w:proofErr w:type="spellEnd"/>
            <w:r w:rsidRPr="00825297">
              <w:t xml:space="preserve">, </w:t>
            </w:r>
            <w:proofErr w:type="spellStart"/>
            <w:r w:rsidRPr="00825297">
              <w:t>die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das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Schiff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klassifiziert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hat</w:t>
            </w:r>
            <w:proofErr w:type="spellEnd"/>
            <w:r w:rsidRPr="00825297">
              <w:t xml:space="preserve">, </w:t>
            </w:r>
            <w:proofErr w:type="spellStart"/>
            <w:r w:rsidRPr="00825297">
              <w:t>genehmigten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Ladefällen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sind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in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einem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Stabilitätshandbuch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zusammenzufassen</w:t>
            </w:r>
            <w:proofErr w:type="spellEnd"/>
            <w:r w:rsidRPr="00825297">
              <w:t xml:space="preserve">. </w:t>
            </w:r>
          </w:p>
          <w:p w14:paraId="2FB52946" w14:textId="77777777" w:rsidR="00094DD4" w:rsidRPr="00825297" w:rsidRDefault="00094DD4" w:rsidP="007F6A03">
            <w:pPr>
              <w:pStyle w:val="SingleTxtG"/>
              <w:spacing w:line="240" w:lineRule="auto"/>
              <w:ind w:left="136" w:right="65"/>
              <w:jc w:val="left"/>
            </w:pPr>
            <w:proofErr w:type="spellStart"/>
            <w:r w:rsidRPr="00825297">
              <w:t>Wenn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nicht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alle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Ladefälle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und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Ballastfälle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konkret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berücksichtigt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wurden</w:t>
            </w:r>
            <w:proofErr w:type="spellEnd"/>
            <w:r w:rsidRPr="00825297">
              <w:t xml:space="preserve">, </w:t>
            </w:r>
            <w:proofErr w:type="spellStart"/>
            <w:r w:rsidRPr="00825297">
              <w:t>muss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zusätzlich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ein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von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der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anerkannten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Klassifikationsgesellschaft</w:t>
            </w:r>
            <w:proofErr w:type="spellEnd"/>
            <w:r w:rsidRPr="00825297">
              <w:t xml:space="preserve">, </w:t>
            </w:r>
            <w:proofErr w:type="spellStart"/>
            <w:r w:rsidRPr="00825297">
              <w:t>die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das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Schiff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klassifiziert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hat</w:t>
            </w:r>
            <w:proofErr w:type="spellEnd"/>
            <w:r w:rsidRPr="00825297">
              <w:t xml:space="preserve">, </w:t>
            </w:r>
            <w:proofErr w:type="spellStart"/>
            <w:r w:rsidRPr="00825297">
              <w:t>genehmigter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Ladungsrechner</w:t>
            </w:r>
            <w:proofErr w:type="spellEnd"/>
            <w:r w:rsidRPr="00825297">
              <w:t xml:space="preserve">, </w:t>
            </w:r>
            <w:proofErr w:type="spellStart"/>
            <w:r w:rsidRPr="00825297">
              <w:t>der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die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Inhalte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des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Stabilitätshandbuches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abbildet</w:t>
            </w:r>
            <w:proofErr w:type="spellEnd"/>
            <w:r w:rsidRPr="00825297">
              <w:t xml:space="preserve">, </w:t>
            </w:r>
            <w:proofErr w:type="spellStart"/>
            <w:r w:rsidRPr="00825297">
              <w:t>installiert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und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genutzt</w:t>
            </w:r>
            <w:proofErr w:type="spellEnd"/>
            <w:r w:rsidRPr="00825297">
              <w:t xml:space="preserve"> </w:t>
            </w:r>
            <w:proofErr w:type="spellStart"/>
            <w:r w:rsidRPr="00825297">
              <w:t>werden</w:t>
            </w:r>
            <w:proofErr w:type="spellEnd"/>
            <w:r w:rsidRPr="00825297">
              <w:t>.</w:t>
            </w:r>
            <w:bookmarkStart w:id="1" w:name="_Hlk23251706"/>
            <w:bookmarkEnd w:id="1"/>
          </w:p>
          <w:p w14:paraId="53FD22B8" w14:textId="77777777" w:rsidR="00094DD4" w:rsidRPr="00825297" w:rsidRDefault="00094DD4" w:rsidP="007F6A03">
            <w:pPr>
              <w:pStyle w:val="SingleTxtG"/>
              <w:spacing w:before="80" w:line="240" w:lineRule="auto"/>
              <w:ind w:left="136" w:right="65"/>
              <w:jc w:val="left"/>
              <w:rPr>
                <w:b/>
                <w:bCs/>
                <w:u w:val="single"/>
              </w:rPr>
            </w:pPr>
            <w:r w:rsidRPr="00825297">
              <w:rPr>
                <w:b/>
                <w:bCs/>
                <w:u w:val="single"/>
              </w:rPr>
              <w:t>Перевод :</w:t>
            </w:r>
          </w:p>
          <w:p w14:paraId="3129CC57" w14:textId="77777777" w:rsidR="00094DD4" w:rsidRPr="00825297" w:rsidRDefault="00094DD4" w:rsidP="007F6A03">
            <w:pPr>
              <w:pStyle w:val="SingleTxtG"/>
              <w:spacing w:before="80" w:line="240" w:lineRule="auto"/>
              <w:ind w:left="136" w:right="65"/>
              <w:jc w:val="left"/>
            </w:pPr>
            <w:r w:rsidRPr="00825297">
              <w:t>Документы по остойчивости с указанием данного подтверждения и варианты погрузки, утвержденные тем признанным классификационным обществом, которое классифицировало судно, должны быть сведены в брошюру по остойчивости.</w:t>
            </w:r>
          </w:p>
          <w:p w14:paraId="2B90FF85" w14:textId="77777777" w:rsidR="00094DD4" w:rsidRPr="00825297" w:rsidRDefault="00094DD4" w:rsidP="007F6A03">
            <w:pPr>
              <w:pStyle w:val="SingleTxtG"/>
              <w:spacing w:before="80" w:line="240" w:lineRule="auto"/>
              <w:ind w:left="136" w:right="65"/>
              <w:jc w:val="left"/>
            </w:pPr>
            <w:r w:rsidRPr="00825297">
              <w:t>Если не все случаи погрузки и балластировки были приняты во внимание, то следует использовать прибор контроля загрузки, утвержденный признанным классификационным обществом, которое классифицирует судно, и содержащий данные брошюры по остойчивости.</w:t>
            </w:r>
          </w:p>
          <w:p w14:paraId="74A769F4" w14:textId="77777777" w:rsidR="00094DD4" w:rsidRPr="00825297" w:rsidRDefault="00094DD4" w:rsidP="007F6A03">
            <w:pPr>
              <w:pStyle w:val="SingleTxtG"/>
              <w:spacing w:after="0" w:line="160" w:lineRule="exact"/>
              <w:ind w:left="136" w:right="62"/>
              <w:jc w:val="left"/>
            </w:pPr>
          </w:p>
        </w:tc>
        <w:tc>
          <w:tcPr>
            <w:tcW w:w="3119" w:type="dxa"/>
          </w:tcPr>
          <w:p w14:paraId="5598B145" w14:textId="77777777" w:rsidR="00094DD4" w:rsidRPr="00825297" w:rsidRDefault="00094DD4" w:rsidP="007F6A03">
            <w:pPr>
              <w:pStyle w:val="SingleTxtG"/>
              <w:spacing w:before="80" w:line="240" w:lineRule="auto"/>
              <w:ind w:left="136" w:right="65"/>
              <w:jc w:val="left"/>
            </w:pPr>
            <w:r w:rsidRPr="00825297">
              <w:t xml:space="preserve">Подтверждение достаточной остойчивости должно быть включено в брошюру по остойчивости для каждой стадии эксплуатации, загрузки и балластировки и подлежит утверждению соответствующим классификационным обществом, которое классифицирует судно. </w:t>
            </w:r>
          </w:p>
          <w:p w14:paraId="5DD5992E" w14:textId="77777777" w:rsidR="00094DD4" w:rsidRPr="00825297" w:rsidRDefault="00094DD4" w:rsidP="007F6A03">
            <w:pPr>
              <w:pStyle w:val="SingleTxtG"/>
              <w:spacing w:before="80" w:line="240" w:lineRule="auto"/>
              <w:ind w:left="136" w:right="65"/>
              <w:jc w:val="left"/>
              <w:rPr>
                <w:iCs/>
              </w:rPr>
            </w:pPr>
            <w:r w:rsidRPr="00825297">
              <w:t>Если практически невозможно предварительно рассчитать стадии эксплуатации, загрузки и балластировки, то должен быть установлен и использоваться прибор контроля загрузки, утвержденный признанным классификационным обществом, которое классифицирует судно, и в этот прибор вводится содержание брошюры по остойчивости.</w:t>
            </w:r>
          </w:p>
        </w:tc>
        <w:tc>
          <w:tcPr>
            <w:tcW w:w="2976" w:type="dxa"/>
          </w:tcPr>
          <w:p w14:paraId="66624FE0" w14:textId="77777777" w:rsidR="00094DD4" w:rsidRPr="00825297" w:rsidRDefault="00094DD4" w:rsidP="007F6A03">
            <w:pPr>
              <w:pStyle w:val="SingleTxtG"/>
              <w:spacing w:before="80" w:line="240" w:lineRule="auto"/>
              <w:ind w:left="136" w:right="65"/>
              <w:jc w:val="left"/>
            </w:pPr>
            <w:r w:rsidRPr="00825297">
              <w:t xml:space="preserve">Подтверждение достаточной остойчивости должно быть включено в брошюру по остойчивости для каждой стадии эксплуатации, загрузки и балластировки и подлежит утверждению соответствующим классификационным обществом, которое классифицирует судно. </w:t>
            </w:r>
          </w:p>
          <w:p w14:paraId="649F403B" w14:textId="77777777" w:rsidR="00094DD4" w:rsidRPr="00825297" w:rsidRDefault="00094DD4" w:rsidP="007F6A03">
            <w:pPr>
              <w:pStyle w:val="SingleTxtG"/>
              <w:spacing w:line="240" w:lineRule="auto"/>
              <w:ind w:left="136" w:right="65"/>
              <w:jc w:val="left"/>
            </w:pPr>
            <w:r w:rsidRPr="00825297">
              <w:t>Если практически невозможно предварительно рассчитать стадии эксплуатации, загрузки и балластировки, то должен быть установлен и использоваться прибор контроля загрузки, утвержденный признанным классификационным обществом, которое классифицирует судно, и в этот прибор вводится содержание брошюры по остойчивости.</w:t>
            </w:r>
          </w:p>
          <w:p w14:paraId="4C6FFAF0" w14:textId="77777777" w:rsidR="00094DD4" w:rsidRPr="00825297" w:rsidRDefault="00094DD4" w:rsidP="007F6A03">
            <w:pPr>
              <w:spacing w:line="240" w:lineRule="auto"/>
              <w:ind w:left="136" w:right="65"/>
              <w:rPr>
                <w:iCs/>
              </w:rPr>
            </w:pPr>
            <w:r w:rsidRPr="00825297">
              <w:t> </w:t>
            </w:r>
          </w:p>
        </w:tc>
      </w:tr>
    </w:tbl>
    <w:p w14:paraId="718F06BA" w14:textId="77777777" w:rsidR="00094DD4" w:rsidRPr="00825297" w:rsidRDefault="00094DD4" w:rsidP="00094DD4">
      <w:pPr>
        <w:pStyle w:val="HChG"/>
      </w:pPr>
      <w:r>
        <w:tab/>
      </w:r>
      <w:r w:rsidRPr="00825297">
        <w:t>II.</w:t>
      </w:r>
      <w:r w:rsidRPr="00825297">
        <w:tab/>
      </w:r>
      <w:r w:rsidRPr="00825297">
        <w:rPr>
          <w:bCs/>
        </w:rPr>
        <w:t>Оценка делегаци</w:t>
      </w:r>
      <w:r>
        <w:rPr>
          <w:bCs/>
        </w:rPr>
        <w:t>и</w:t>
      </w:r>
      <w:r w:rsidRPr="00825297">
        <w:rPr>
          <w:bCs/>
        </w:rPr>
        <w:t xml:space="preserve"> Германии</w:t>
      </w:r>
    </w:p>
    <w:p w14:paraId="17020C47" w14:textId="77777777" w:rsidR="00094DD4" w:rsidRPr="00825297" w:rsidRDefault="00094DD4" w:rsidP="00094DD4">
      <w:pPr>
        <w:pStyle w:val="SingleTxtG"/>
      </w:pPr>
      <w:r w:rsidRPr="00825297">
        <w:t>5.</w:t>
      </w:r>
      <w:r w:rsidRPr="00825297">
        <w:tab/>
      </w:r>
      <w:r>
        <w:t>Какие с</w:t>
      </w:r>
      <w:r w:rsidRPr="00825297">
        <w:t xml:space="preserve">ущественные изменения </w:t>
      </w:r>
      <w:r>
        <w:t xml:space="preserve">были </w:t>
      </w:r>
      <w:r w:rsidRPr="00825297">
        <w:t>внесены в правовой текст в ходе двадцатой сессии с момента представления предложения до составления доклада о работе сессии</w:t>
      </w:r>
      <w:r>
        <w:t xml:space="preserve"> установить</w:t>
      </w:r>
      <w:r w:rsidRPr="00825297">
        <w:t xml:space="preserve"> уже не </w:t>
      </w:r>
      <w:r>
        <w:t>представляется воз</w:t>
      </w:r>
      <w:r w:rsidRPr="00825297">
        <w:t>мо</w:t>
      </w:r>
      <w:r>
        <w:t>жным</w:t>
      </w:r>
      <w:r w:rsidRPr="00825297">
        <w:t>.</w:t>
      </w:r>
    </w:p>
    <w:p w14:paraId="449DB943" w14:textId="77777777" w:rsidR="00094DD4" w:rsidRPr="00825297" w:rsidRDefault="00094DD4" w:rsidP="00094DD4">
      <w:pPr>
        <w:pStyle w:val="SingleTxtG"/>
      </w:pPr>
      <w:r w:rsidRPr="00825297">
        <w:t>6.</w:t>
      </w:r>
      <w:r w:rsidRPr="00825297">
        <w:tab/>
        <w:t>Текст на немецком языке, который соответствует варианту, содержащемуся в предложении на языке оригинала ZKR/ADN/WP.15/AC.2/2012/14 (ECE/TRANS/</w:t>
      </w:r>
      <w:r w:rsidRPr="00094DD4">
        <w:t xml:space="preserve"> </w:t>
      </w:r>
      <w:r w:rsidRPr="00825297">
        <w:t>WP.15/AC.2/2012/14), свидетельствует о следующих расхождениях с текстами, принятыми на французском и английском языках:</w:t>
      </w:r>
    </w:p>
    <w:p w14:paraId="71D92564" w14:textId="77777777" w:rsidR="00094DD4" w:rsidRPr="00825297" w:rsidRDefault="00094DD4" w:rsidP="00094DD4">
      <w:pPr>
        <w:pStyle w:val="SingleTxtG"/>
      </w:pPr>
      <w:r w:rsidRPr="00825297">
        <w:tab/>
      </w:r>
      <w:r w:rsidRPr="00825297">
        <w:tab/>
        <w:t>a)</w:t>
      </w:r>
      <w:r w:rsidRPr="00825297">
        <w:tab/>
        <w:t xml:space="preserve">В первом предложении не упоминаются термины </w:t>
      </w:r>
      <w:r>
        <w:t>«</w:t>
      </w:r>
      <w:proofErr w:type="spellStart"/>
      <w:r w:rsidRPr="00825297">
        <w:t>Betriebsfälle</w:t>
      </w:r>
      <w:proofErr w:type="spellEnd"/>
      <w:r>
        <w:t>»</w:t>
      </w:r>
      <w:r w:rsidRPr="00825297">
        <w:t xml:space="preserve"> (случаи/условия эксплуатации) и </w:t>
      </w:r>
      <w:r>
        <w:t>«</w:t>
      </w:r>
      <w:proofErr w:type="spellStart"/>
      <w:r w:rsidRPr="00825297">
        <w:t>Ballastfälle</w:t>
      </w:r>
      <w:proofErr w:type="spellEnd"/>
      <w:r>
        <w:t>»</w:t>
      </w:r>
      <w:r w:rsidRPr="00825297">
        <w:t xml:space="preserve"> (случаи/условия балластировки).</w:t>
      </w:r>
    </w:p>
    <w:p w14:paraId="327C564E" w14:textId="77777777" w:rsidR="00094DD4" w:rsidRPr="00825297" w:rsidRDefault="00094DD4" w:rsidP="00094DD4">
      <w:pPr>
        <w:pStyle w:val="SingleTxtG"/>
      </w:pPr>
      <w:r w:rsidRPr="00825297">
        <w:lastRenderedPageBreak/>
        <w:tab/>
      </w:r>
      <w:r w:rsidRPr="00825297">
        <w:tab/>
        <w:t>b)</w:t>
      </w:r>
      <w:r w:rsidRPr="00825297">
        <w:tab/>
      </w:r>
      <w:r>
        <w:t>С</w:t>
      </w:r>
      <w:r w:rsidRPr="00825297">
        <w:t>огласно первому предложению, принятые во внимание случаи/условия погрузки (</w:t>
      </w:r>
      <w:r>
        <w:t>«</w:t>
      </w:r>
      <w:proofErr w:type="spellStart"/>
      <w:r w:rsidRPr="00825297">
        <w:t>berücksichtigten</w:t>
      </w:r>
      <w:proofErr w:type="spellEnd"/>
      <w:r w:rsidRPr="00825297">
        <w:t xml:space="preserve"> </w:t>
      </w:r>
      <w:proofErr w:type="spellStart"/>
      <w:r w:rsidRPr="00825297">
        <w:t>Ladefälle</w:t>
      </w:r>
      <w:proofErr w:type="spellEnd"/>
      <w:r>
        <w:t>»</w:t>
      </w:r>
      <w:r w:rsidRPr="00825297">
        <w:t>) должны быть одобрены классификационным обществом, в отличие от французской и английской формулировок, указывающих на то, что подтверждение остойчивости должно быть продемонстрировано на основе брошюры по остойчивости.</w:t>
      </w:r>
    </w:p>
    <w:p w14:paraId="6707B43E" w14:textId="77777777" w:rsidR="00094DD4" w:rsidRPr="00825297" w:rsidRDefault="00094DD4" w:rsidP="00094DD4">
      <w:pPr>
        <w:pStyle w:val="SingleTxtG"/>
      </w:pPr>
      <w:r w:rsidRPr="00825297">
        <w:tab/>
      </w:r>
      <w:r w:rsidRPr="00825297">
        <w:tab/>
        <w:t>c)</w:t>
      </w:r>
      <w:r w:rsidRPr="00825297">
        <w:tab/>
        <w:t xml:space="preserve">Во втором предложении термин </w:t>
      </w:r>
      <w:r>
        <w:t>«</w:t>
      </w:r>
      <w:proofErr w:type="spellStart"/>
      <w:r w:rsidRPr="00825297">
        <w:t>Betriebsfälle</w:t>
      </w:r>
      <w:proofErr w:type="spellEnd"/>
      <w:r>
        <w:t>»</w:t>
      </w:r>
      <w:r w:rsidRPr="00825297">
        <w:t xml:space="preserve"> (случаи/условия эксплуатации) не упоминается.</w:t>
      </w:r>
    </w:p>
    <w:p w14:paraId="2D9A9A6C" w14:textId="77777777" w:rsidR="00094DD4" w:rsidRPr="00825297" w:rsidRDefault="00094DD4" w:rsidP="00094DD4">
      <w:pPr>
        <w:pStyle w:val="SingleTxtG"/>
      </w:pPr>
      <w:r w:rsidRPr="00825297">
        <w:tab/>
      </w:r>
      <w:r w:rsidRPr="00825297">
        <w:tab/>
        <w:t>d)</w:t>
      </w:r>
      <w:r w:rsidRPr="00825297">
        <w:tab/>
        <w:t>Согласно второму предложению, случаи/условия погрузки (</w:t>
      </w:r>
      <w:r>
        <w:t>«</w:t>
      </w:r>
      <w:proofErr w:type="spellStart"/>
      <w:r w:rsidRPr="00825297">
        <w:t>Ladefälle</w:t>
      </w:r>
      <w:proofErr w:type="spellEnd"/>
      <w:r>
        <w:t>»</w:t>
      </w:r>
      <w:r w:rsidRPr="00825297">
        <w:t>) и балластировки (</w:t>
      </w:r>
      <w:r>
        <w:t>«</w:t>
      </w:r>
      <w:proofErr w:type="spellStart"/>
      <w:r w:rsidRPr="00825297">
        <w:t>Ballastfälle</w:t>
      </w:r>
      <w:proofErr w:type="spellEnd"/>
      <w:r>
        <w:t>»</w:t>
      </w:r>
      <w:r w:rsidRPr="00825297">
        <w:t>) должны только приниматься во внимание (</w:t>
      </w:r>
      <w:r>
        <w:t>«</w:t>
      </w:r>
      <w:proofErr w:type="spellStart"/>
      <w:r w:rsidRPr="00825297">
        <w:t>berücksichtigt</w:t>
      </w:r>
      <w:proofErr w:type="spellEnd"/>
      <w:r>
        <w:t>»</w:t>
      </w:r>
      <w:r w:rsidRPr="00825297">
        <w:t xml:space="preserve">), </w:t>
      </w:r>
      <w:r>
        <w:t>в то время к</w:t>
      </w:r>
      <w:r w:rsidRPr="00825297">
        <w:t>а</w:t>
      </w:r>
      <w:r>
        <w:t>к</w:t>
      </w:r>
      <w:r w:rsidRPr="00825297">
        <w:t xml:space="preserve"> в текстах на французском и английском языках они должны </w:t>
      </w:r>
      <w:r>
        <w:t xml:space="preserve">быть определены </w:t>
      </w:r>
      <w:r w:rsidRPr="00825297">
        <w:t>заранее (</w:t>
      </w:r>
      <w:r>
        <w:t>«</w:t>
      </w:r>
      <w:proofErr w:type="spellStart"/>
      <w:r w:rsidRPr="00825297">
        <w:t>im</w:t>
      </w:r>
      <w:proofErr w:type="spellEnd"/>
      <w:r w:rsidRPr="00825297">
        <w:t xml:space="preserve"> </w:t>
      </w:r>
      <w:proofErr w:type="spellStart"/>
      <w:r w:rsidRPr="00825297">
        <w:t>Voraus</w:t>
      </w:r>
      <w:proofErr w:type="spellEnd"/>
      <w:r w:rsidRPr="00825297">
        <w:t xml:space="preserve"> </w:t>
      </w:r>
      <w:proofErr w:type="spellStart"/>
      <w:r w:rsidRPr="00825297">
        <w:t>zu</w:t>
      </w:r>
      <w:proofErr w:type="spellEnd"/>
      <w:r w:rsidRPr="00825297">
        <w:t xml:space="preserve"> </w:t>
      </w:r>
      <w:proofErr w:type="spellStart"/>
      <w:r w:rsidRPr="00825297">
        <w:t>berechnen</w:t>
      </w:r>
      <w:proofErr w:type="spellEnd"/>
      <w:r>
        <w:t>»</w:t>
      </w:r>
      <w:r w:rsidRPr="00825297">
        <w:t>).</w:t>
      </w:r>
    </w:p>
    <w:p w14:paraId="1F22EA4B" w14:textId="77777777" w:rsidR="00094DD4" w:rsidRPr="00825297" w:rsidRDefault="00094DD4" w:rsidP="00094DD4">
      <w:pPr>
        <w:pStyle w:val="SingleTxtG"/>
        <w:rPr>
          <w:rFonts w:ascii="Arial" w:hAnsi="Arial"/>
          <w:sz w:val="18"/>
          <w:szCs w:val="18"/>
        </w:rPr>
      </w:pPr>
      <w:r w:rsidRPr="00825297">
        <w:t>7.</w:t>
      </w:r>
      <w:r w:rsidRPr="00825297">
        <w:tab/>
        <w:t>С точки зрения Германии, это не просто редакционные или языковые различия, но существенные расхождения.</w:t>
      </w:r>
    </w:p>
    <w:p w14:paraId="1982F68C" w14:textId="77777777" w:rsidR="00094DD4" w:rsidRPr="00825297" w:rsidRDefault="00094DD4" w:rsidP="00094DD4">
      <w:pPr>
        <w:pStyle w:val="HChG"/>
      </w:pPr>
      <w:r>
        <w:tab/>
      </w:r>
      <w:r w:rsidRPr="00825297">
        <w:t>III.</w:t>
      </w:r>
      <w:r w:rsidRPr="00825297">
        <w:tab/>
      </w:r>
      <w:r w:rsidRPr="00825297">
        <w:rPr>
          <w:bCs/>
        </w:rPr>
        <w:t>Предложение</w:t>
      </w:r>
    </w:p>
    <w:p w14:paraId="50390E48" w14:textId="77777777" w:rsidR="00094DD4" w:rsidRPr="00825297" w:rsidRDefault="00094DD4" w:rsidP="00094DD4">
      <w:pPr>
        <w:pStyle w:val="SingleTxtG"/>
      </w:pPr>
      <w:r w:rsidRPr="00825297">
        <w:t>8.</w:t>
      </w:r>
      <w:r w:rsidRPr="00825297">
        <w:tab/>
        <w:t xml:space="preserve">Германия предлагает Комитету по вопросам безопасности рассмотреть этот вопрос и согласовать формулировки пунктов 9.3.1.13.3, 9.3.2.13.13 и 9.3.3.13.3 ВОПОГ в качестве ретроактивного исправления (при условии </w:t>
      </w:r>
      <w:r>
        <w:t xml:space="preserve">получения </w:t>
      </w:r>
      <w:r w:rsidRPr="00825297">
        <w:t>уведомления) или в качестве поправки для вступления в силу с 1 января 2021 года.</w:t>
      </w:r>
    </w:p>
    <w:p w14:paraId="37E5CD8D" w14:textId="77777777" w:rsidR="00094DD4" w:rsidRPr="00825297" w:rsidRDefault="00094DD4" w:rsidP="00094DD4">
      <w:pPr>
        <w:spacing w:before="240"/>
        <w:jc w:val="center"/>
        <w:rPr>
          <w:u w:val="single"/>
        </w:rPr>
      </w:pPr>
      <w:r w:rsidRPr="00825297">
        <w:rPr>
          <w:u w:val="single"/>
        </w:rPr>
        <w:tab/>
      </w:r>
      <w:r w:rsidRPr="00825297">
        <w:rPr>
          <w:u w:val="single"/>
        </w:rPr>
        <w:tab/>
      </w:r>
      <w:r w:rsidRPr="00825297">
        <w:rPr>
          <w:u w:val="single"/>
        </w:rPr>
        <w:tab/>
      </w:r>
    </w:p>
    <w:p w14:paraId="060B7B8F" w14:textId="77777777" w:rsidR="00E12C5F" w:rsidRPr="008D53B6" w:rsidRDefault="00E12C5F" w:rsidP="00D9145B"/>
    <w:sectPr w:rsidR="00E12C5F" w:rsidRPr="008D53B6" w:rsidSect="00094D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1723" w14:textId="77777777" w:rsidR="009D519A" w:rsidRPr="00A312BC" w:rsidRDefault="009D519A" w:rsidP="00A312BC"/>
  </w:endnote>
  <w:endnote w:type="continuationSeparator" w:id="0">
    <w:p w14:paraId="259C1A33" w14:textId="77777777" w:rsidR="009D519A" w:rsidRPr="00A312BC" w:rsidRDefault="009D51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DC81" w14:textId="77777777" w:rsidR="00094DD4" w:rsidRPr="00094DD4" w:rsidRDefault="00094DD4">
    <w:pPr>
      <w:pStyle w:val="Footer"/>
    </w:pPr>
    <w:r w:rsidRPr="00094DD4">
      <w:rPr>
        <w:b/>
        <w:sz w:val="18"/>
      </w:rPr>
      <w:fldChar w:fldCharType="begin"/>
    </w:r>
    <w:r w:rsidRPr="00094DD4">
      <w:rPr>
        <w:b/>
        <w:sz w:val="18"/>
      </w:rPr>
      <w:instrText xml:space="preserve"> PAGE  \* MERGEFORMAT </w:instrText>
    </w:r>
    <w:r w:rsidRPr="00094DD4">
      <w:rPr>
        <w:b/>
        <w:sz w:val="18"/>
      </w:rPr>
      <w:fldChar w:fldCharType="separate"/>
    </w:r>
    <w:r w:rsidRPr="00094DD4">
      <w:rPr>
        <w:b/>
        <w:noProof/>
        <w:sz w:val="18"/>
      </w:rPr>
      <w:t>2</w:t>
    </w:r>
    <w:r w:rsidRPr="00094DD4">
      <w:rPr>
        <w:b/>
        <w:sz w:val="18"/>
      </w:rPr>
      <w:fldChar w:fldCharType="end"/>
    </w:r>
    <w:r>
      <w:rPr>
        <w:b/>
        <w:sz w:val="18"/>
      </w:rPr>
      <w:tab/>
    </w:r>
    <w:r>
      <w:t>GE.19-19516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3C07" w14:textId="77777777" w:rsidR="00094DD4" w:rsidRPr="00094DD4" w:rsidRDefault="00094DD4" w:rsidP="00094DD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GE.19-19516</w:t>
    </w:r>
    <w:r>
      <w:tab/>
    </w:r>
    <w:r w:rsidRPr="00094DD4">
      <w:rPr>
        <w:b/>
        <w:sz w:val="18"/>
      </w:rPr>
      <w:fldChar w:fldCharType="begin"/>
    </w:r>
    <w:r w:rsidRPr="00094DD4">
      <w:rPr>
        <w:b/>
        <w:sz w:val="18"/>
      </w:rPr>
      <w:instrText xml:space="preserve"> PAGE  \* MERGEFORMAT </w:instrText>
    </w:r>
    <w:r w:rsidRPr="00094DD4">
      <w:rPr>
        <w:b/>
        <w:sz w:val="18"/>
      </w:rPr>
      <w:fldChar w:fldCharType="separate"/>
    </w:r>
    <w:r w:rsidRPr="00094DD4">
      <w:rPr>
        <w:b/>
        <w:noProof/>
        <w:sz w:val="18"/>
      </w:rPr>
      <w:t>3</w:t>
    </w:r>
    <w:r w:rsidRPr="00094D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EE5B" w14:textId="77777777" w:rsidR="00042B72" w:rsidRPr="00094DD4" w:rsidRDefault="00094DD4" w:rsidP="00094DD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FB7491" wp14:editId="3BB3979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19-19516  (R)</w:t>
    </w:r>
    <w:r>
      <w:rPr>
        <w:lang w:val="en-US"/>
      </w:rPr>
      <w:t xml:space="preserve">   251119  251119</w:t>
    </w:r>
    <w:r>
      <w:br/>
    </w:r>
    <w:r w:rsidRPr="00094DD4">
      <w:rPr>
        <w:rFonts w:ascii="C39T30Lfz" w:hAnsi="C39T30Lfz"/>
        <w:kern w:val="14"/>
        <w:sz w:val="56"/>
      </w:rPr>
      <w:t></w:t>
    </w:r>
    <w:r w:rsidRPr="00094DD4">
      <w:rPr>
        <w:rFonts w:ascii="C39T30Lfz" w:hAnsi="C39T30Lfz"/>
        <w:kern w:val="14"/>
        <w:sz w:val="56"/>
      </w:rPr>
      <w:t></w:t>
    </w:r>
    <w:r w:rsidRPr="00094DD4">
      <w:rPr>
        <w:rFonts w:ascii="C39T30Lfz" w:hAnsi="C39T30Lfz"/>
        <w:kern w:val="14"/>
        <w:sz w:val="56"/>
      </w:rPr>
      <w:t></w:t>
    </w:r>
    <w:r w:rsidRPr="00094DD4">
      <w:rPr>
        <w:rFonts w:ascii="C39T30Lfz" w:hAnsi="C39T30Lfz"/>
        <w:kern w:val="14"/>
        <w:sz w:val="56"/>
      </w:rPr>
      <w:t></w:t>
    </w:r>
    <w:r w:rsidRPr="00094DD4">
      <w:rPr>
        <w:rFonts w:ascii="C39T30Lfz" w:hAnsi="C39T30Lfz"/>
        <w:kern w:val="14"/>
        <w:sz w:val="56"/>
      </w:rPr>
      <w:t></w:t>
    </w:r>
    <w:r w:rsidRPr="00094DD4">
      <w:rPr>
        <w:rFonts w:ascii="C39T30Lfz" w:hAnsi="C39T30Lfz"/>
        <w:kern w:val="14"/>
        <w:sz w:val="56"/>
      </w:rPr>
      <w:t></w:t>
    </w:r>
    <w:r w:rsidRPr="00094DD4">
      <w:rPr>
        <w:rFonts w:ascii="C39T30Lfz" w:hAnsi="C39T30Lfz"/>
        <w:kern w:val="14"/>
        <w:sz w:val="56"/>
      </w:rPr>
      <w:t></w:t>
    </w:r>
    <w:r w:rsidRPr="00094DD4">
      <w:rPr>
        <w:rFonts w:ascii="C39T30Lfz" w:hAnsi="C39T30Lfz"/>
        <w:kern w:val="14"/>
        <w:sz w:val="56"/>
      </w:rPr>
      <w:t></w:t>
    </w:r>
    <w:r w:rsidRPr="00094DD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CC8A65" wp14:editId="08E64A8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993B" w14:textId="77777777" w:rsidR="009D519A" w:rsidRPr="001075E9" w:rsidRDefault="009D51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993558" w14:textId="77777777" w:rsidR="009D519A" w:rsidRDefault="009D51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C56D51" w14:textId="77777777" w:rsidR="00094DD4" w:rsidRPr="00825297" w:rsidRDefault="00094DD4" w:rsidP="00094DD4">
      <w:pPr>
        <w:pStyle w:val="FootnoteText"/>
      </w:pPr>
      <w:r>
        <w:tab/>
      </w:r>
      <w:r w:rsidRPr="00094DD4"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CCNR/ZKR/ADN/WP.15/AC.2/2020/15.</w:t>
      </w:r>
    </w:p>
  </w:footnote>
  <w:footnote w:id="2">
    <w:p w14:paraId="01FF7B38" w14:textId="77777777" w:rsidR="00094DD4" w:rsidRPr="00825297" w:rsidRDefault="00094DD4" w:rsidP="00094DD4">
      <w:pPr>
        <w:pStyle w:val="FootnoteText"/>
      </w:pPr>
      <w:r>
        <w:tab/>
      </w:r>
      <w:r w:rsidRPr="00094DD4">
        <w:t>**</w:t>
      </w:r>
      <w:r>
        <w:tab/>
        <w:t>В соответствии с программой работы Комитета по внутреннему транспорту на 2018–2019 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1289" w14:textId="4AC6801E" w:rsidR="00094DD4" w:rsidRPr="00094DD4" w:rsidRDefault="006E16E1">
    <w:pPr>
      <w:pStyle w:val="Header"/>
    </w:pPr>
    <w:fldSimple w:instr=" TITLE  \* MERGEFORMAT ">
      <w:r w:rsidR="00745980">
        <w:t>ECE/TRANS/WP.15/AC.2/2020/15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2161" w14:textId="47284D97" w:rsidR="00094DD4" w:rsidRPr="00094DD4" w:rsidRDefault="006E16E1" w:rsidP="00094DD4">
    <w:pPr>
      <w:pStyle w:val="Header"/>
      <w:jc w:val="right"/>
    </w:pPr>
    <w:fldSimple w:instr=" TITLE  \* MERGEFORMAT ">
      <w:r w:rsidR="00745980">
        <w:t>ECE/TRANS/WP.15/AC.2/2020/15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9A"/>
    <w:rsid w:val="00033EE1"/>
    <w:rsid w:val="00042B72"/>
    <w:rsid w:val="000558BD"/>
    <w:rsid w:val="00094DD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564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24D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16E1"/>
    <w:rsid w:val="006F35EE"/>
    <w:rsid w:val="007021FF"/>
    <w:rsid w:val="00712895"/>
    <w:rsid w:val="00734ACB"/>
    <w:rsid w:val="00745980"/>
    <w:rsid w:val="00757357"/>
    <w:rsid w:val="00792497"/>
    <w:rsid w:val="007F6A0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75C7"/>
    <w:rsid w:val="009A24AC"/>
    <w:rsid w:val="009C59D7"/>
    <w:rsid w:val="009C6FE6"/>
    <w:rsid w:val="009D519A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40BA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F48BB"/>
  <w15:docId w15:val="{A34D1C70-36FA-47CC-AB0E-6032832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94DD4"/>
    <w:rPr>
      <w:lang w:val="ru-RU" w:eastAsia="en-US"/>
    </w:rPr>
  </w:style>
  <w:style w:type="character" w:customStyle="1" w:styleId="HChGChar">
    <w:name w:val="_ H _Ch_G Char"/>
    <w:link w:val="HChG"/>
    <w:rsid w:val="00094DD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ECE/TRANS/WP.15/AC.2/2020/15</vt:lpstr>
      <vt:lpstr>ECE/TRANS/WP.15/AC.2/2020/15</vt:lpstr>
      <vt:lpstr>A/</vt:lpstr>
    </vt:vector>
  </TitlesOfParts>
  <Company>DCM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ECE/TRANS/WP.15/AC.2/2020/15</dc:title>
  <dc:subject/>
  <dc:creator>Anna BLAGODATSKIKH</dc:creator>
  <cp:keywords/>
  <cp:lastModifiedBy>Marie-Claude Collet</cp:lastModifiedBy>
  <cp:revision>3</cp:revision>
  <cp:lastPrinted>2019-11-28T10:41:00Z</cp:lastPrinted>
  <dcterms:created xsi:type="dcterms:W3CDTF">2019-11-28T10:40:00Z</dcterms:created>
  <dcterms:modified xsi:type="dcterms:W3CDTF">2019-11-28T10:41:00Z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