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36EE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36EEE" w:rsidP="00436EEE">
            <w:pPr>
              <w:jc w:val="right"/>
            </w:pPr>
            <w:r w:rsidRPr="00436EEE">
              <w:rPr>
                <w:sz w:val="40"/>
              </w:rPr>
              <w:t>ECE</w:t>
            </w:r>
            <w:r>
              <w:t>/TRANS/WP.15/AC.1/2020/8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6EEE" w:rsidP="00C97039">
            <w:pPr>
              <w:spacing w:before="240"/>
            </w:pPr>
            <w:r>
              <w:t>Distr. générale</w:t>
            </w:r>
          </w:p>
          <w:p w:rsidR="00436EEE" w:rsidRDefault="00436EEE" w:rsidP="00436EEE">
            <w:pPr>
              <w:spacing w:line="240" w:lineRule="exact"/>
            </w:pPr>
            <w:r>
              <w:t>17 décembre 2019</w:t>
            </w:r>
          </w:p>
          <w:p w:rsidR="00436EEE" w:rsidRDefault="00436EEE" w:rsidP="00436EEE">
            <w:pPr>
              <w:spacing w:line="240" w:lineRule="exact"/>
            </w:pPr>
            <w:r>
              <w:t>Français</w:t>
            </w:r>
          </w:p>
          <w:p w:rsidR="00436EEE" w:rsidRPr="00DB58B5" w:rsidRDefault="00436EEE" w:rsidP="00436EEE">
            <w:pPr>
              <w:spacing w:line="240" w:lineRule="exact"/>
            </w:pPr>
            <w:r>
              <w:t>Original</w:t>
            </w:r>
            <w:r w:rsidR="001E076E">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C0570" w:rsidRPr="009E01B8" w:rsidRDefault="00AC0570" w:rsidP="00E85C74">
      <w:pPr>
        <w:spacing w:before="120"/>
        <w:rPr>
          <w:b/>
          <w:sz w:val="24"/>
          <w:szCs w:val="24"/>
        </w:rPr>
      </w:pPr>
      <w:r w:rsidRPr="009E01B8">
        <w:rPr>
          <w:b/>
          <w:sz w:val="24"/>
          <w:szCs w:val="24"/>
        </w:rPr>
        <w:t>Groupe de travail des transports de marchandises dangereuses</w:t>
      </w:r>
    </w:p>
    <w:p w:rsidR="009D0CEE" w:rsidRPr="007A4C24" w:rsidRDefault="009D0CEE" w:rsidP="009D0CEE">
      <w:pPr>
        <w:spacing w:before="120" w:line="240" w:lineRule="exact"/>
        <w:rPr>
          <w:b/>
        </w:rPr>
      </w:pPr>
      <w:r w:rsidRPr="007A4C24">
        <w:rPr>
          <w:b/>
        </w:rPr>
        <w:t xml:space="preserve">Réunion commune de la Commission d’experts du RID </w:t>
      </w:r>
      <w:r w:rsidR="00AC0570">
        <w:rPr>
          <w:b/>
        </w:rPr>
        <w:br/>
      </w:r>
      <w:r w:rsidRPr="007A4C24">
        <w:rPr>
          <w:b/>
        </w:rPr>
        <w:t xml:space="preserve">et du Groupe de travail des transports </w:t>
      </w:r>
      <w:r w:rsidR="00AC0570">
        <w:rPr>
          <w:b/>
        </w:rPr>
        <w:br/>
      </w:r>
      <w:r w:rsidRPr="007A4C24">
        <w:rPr>
          <w:b/>
        </w:rPr>
        <w:t>de marchandises dangereuses</w:t>
      </w:r>
    </w:p>
    <w:p w:rsidR="009D0CEE" w:rsidRPr="007A4C24" w:rsidRDefault="009D0CEE" w:rsidP="009D0CEE">
      <w:pPr>
        <w:spacing w:line="240" w:lineRule="exact"/>
      </w:pPr>
      <w:r w:rsidRPr="007A4C24">
        <w:t>Berne, 16-20 mars 2020</w:t>
      </w:r>
    </w:p>
    <w:p w:rsidR="009D0CEE" w:rsidRPr="007A4C24" w:rsidRDefault="009D0CEE" w:rsidP="009D0CEE">
      <w:pPr>
        <w:spacing w:line="240" w:lineRule="exact"/>
      </w:pPr>
      <w:r w:rsidRPr="007A4C24">
        <w:t>Point 5 b) de l’ordre du jour provisoire</w:t>
      </w:r>
    </w:p>
    <w:p w:rsidR="009D0CEE" w:rsidRPr="007A4C24" w:rsidRDefault="009D0CEE" w:rsidP="009D0CEE">
      <w:pPr>
        <w:kinsoku/>
        <w:overflowPunct/>
        <w:autoSpaceDE/>
        <w:autoSpaceDN/>
        <w:adjustRightInd/>
        <w:snapToGrid/>
        <w:spacing w:line="240" w:lineRule="exact"/>
        <w:rPr>
          <w:b/>
        </w:rPr>
      </w:pPr>
      <w:r w:rsidRPr="007A4C24">
        <w:rPr>
          <w:b/>
        </w:rPr>
        <w:t>Propositions d’amendements au RID/ADR/ADN</w:t>
      </w:r>
      <w:r w:rsidR="001E076E">
        <w:rPr>
          <w:b/>
        </w:rPr>
        <w:t> :</w:t>
      </w:r>
    </w:p>
    <w:p w:rsidR="009D0CEE" w:rsidRPr="007A4C24" w:rsidRDefault="00AC0570" w:rsidP="009D0CEE">
      <w:pPr>
        <w:kinsoku/>
        <w:overflowPunct/>
        <w:autoSpaceDE/>
        <w:autoSpaceDN/>
        <w:adjustRightInd/>
        <w:snapToGrid/>
        <w:spacing w:line="240" w:lineRule="exact"/>
        <w:rPr>
          <w:rFonts w:eastAsia="Times New Roman"/>
          <w:b/>
          <w:bCs/>
          <w:lang w:eastAsia="fr-FR"/>
        </w:rPr>
      </w:pPr>
      <w:r>
        <w:rPr>
          <w:b/>
        </w:rPr>
        <w:t>n</w:t>
      </w:r>
      <w:r w:rsidR="009D0CEE" w:rsidRPr="007A4C24">
        <w:rPr>
          <w:b/>
        </w:rPr>
        <w:t>ouvelles propositions</w:t>
      </w:r>
    </w:p>
    <w:p w:rsidR="009D0CEE" w:rsidRPr="007A4C24" w:rsidRDefault="009D0CEE" w:rsidP="00AC0570">
      <w:pPr>
        <w:pStyle w:val="HChG"/>
        <w:rPr>
          <w:lang w:eastAsia="fr-FR"/>
        </w:rPr>
      </w:pPr>
      <w:r w:rsidRPr="007A4C24">
        <w:rPr>
          <w:lang w:eastAsia="fr-FR"/>
        </w:rPr>
        <w:tab/>
      </w:r>
      <w:r w:rsidRPr="007A4C24">
        <w:rPr>
          <w:lang w:eastAsia="fr-FR"/>
        </w:rPr>
        <w:tab/>
        <w:t>Formation de recyclage en ligne pour les conducteurs transportant des marchandises dangereuses</w:t>
      </w:r>
    </w:p>
    <w:p w:rsidR="009D0CEE" w:rsidRPr="007A4C24" w:rsidRDefault="009D0CEE" w:rsidP="00AC0570">
      <w:pPr>
        <w:pStyle w:val="H1G"/>
        <w:rPr>
          <w:lang w:eastAsia="fr-FR"/>
        </w:rPr>
      </w:pPr>
      <w:r w:rsidRPr="007A4C24">
        <w:rPr>
          <w:lang w:eastAsia="fr-FR"/>
        </w:rPr>
        <w:tab/>
      </w:r>
      <w:r w:rsidRPr="007A4C24">
        <w:rPr>
          <w:lang w:eastAsia="fr-FR"/>
        </w:rPr>
        <w:tab/>
        <w:t>Communication de l’Union internationale des transports routiers (IRU)</w:t>
      </w:r>
      <w:r w:rsidRPr="00AC0570">
        <w:rPr>
          <w:b w:val="0"/>
          <w:sz w:val="20"/>
          <w:lang w:eastAsia="fr-FR"/>
        </w:rPr>
        <w:footnoteReference w:customMarkFollows="1" w:id="2"/>
        <w:t>*</w:t>
      </w:r>
      <w:r w:rsidRPr="007A4C24">
        <w:rPr>
          <w:vertAlign w:val="superscript"/>
          <w:lang w:eastAsia="fr-FR"/>
        </w:rPr>
        <w:t xml:space="preserve">, </w:t>
      </w:r>
      <w:r w:rsidRPr="00AC0570">
        <w:rPr>
          <w:b w:val="0"/>
          <w:sz w:val="20"/>
          <w:lang w:eastAsia="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771728">
        <w:trPr>
          <w:jc w:val="center"/>
        </w:trPr>
        <w:tc>
          <w:tcPr>
            <w:tcW w:w="9637" w:type="dxa"/>
            <w:shd w:val="clear" w:color="auto" w:fill="auto"/>
          </w:tcPr>
          <w:p w:rsidR="00771728" w:rsidRDefault="00771728">
            <w:pPr>
              <w:spacing w:before="240" w:after="120"/>
              <w:ind w:left="255"/>
              <w:rPr>
                <w:i/>
                <w:sz w:val="24"/>
              </w:rPr>
            </w:pPr>
            <w:r>
              <w:rPr>
                <w:i/>
                <w:sz w:val="24"/>
              </w:rPr>
              <w:t>Résumé</w:t>
            </w:r>
          </w:p>
        </w:tc>
      </w:tr>
      <w:tr w:rsidR="00771728">
        <w:trPr>
          <w:jc w:val="center"/>
        </w:trPr>
        <w:tc>
          <w:tcPr>
            <w:tcW w:w="9637" w:type="dxa"/>
            <w:shd w:val="clear" w:color="auto" w:fill="auto"/>
          </w:tcPr>
          <w:p w:rsidR="00771728" w:rsidRDefault="00771728" w:rsidP="00771728">
            <w:pPr>
              <w:pStyle w:val="SingleTxtG"/>
              <w:ind w:left="3260" w:hanging="2126"/>
            </w:pPr>
            <w:r w:rsidRPr="00771728">
              <w:rPr>
                <w:b/>
                <w:bCs/>
              </w:rPr>
              <w:t>Résumé analytique</w:t>
            </w:r>
            <w:r w:rsidR="001E076E">
              <w:rPr>
                <w:b/>
                <w:bCs/>
              </w:rPr>
              <w:t> :</w:t>
            </w:r>
            <w:r>
              <w:tab/>
            </w:r>
            <w:r w:rsidRPr="007A4C24">
              <w:rPr>
                <w:rFonts w:eastAsia="Times New Roman"/>
                <w:lang w:eastAsia="fr-FR"/>
              </w:rPr>
              <w:t>Organisation de la formation de recyclage en ligne en vue du renouvellement du certificat de formation ADR.</w:t>
            </w:r>
          </w:p>
        </w:tc>
      </w:tr>
      <w:tr w:rsidR="00771728">
        <w:trPr>
          <w:jc w:val="center"/>
        </w:trPr>
        <w:tc>
          <w:tcPr>
            <w:tcW w:w="9637" w:type="dxa"/>
            <w:shd w:val="clear" w:color="auto" w:fill="auto"/>
          </w:tcPr>
          <w:p w:rsidR="00771728" w:rsidRDefault="00771728"/>
        </w:tc>
      </w:tr>
    </w:tbl>
    <w:p w:rsidR="009D0CEE" w:rsidRPr="007A4C24" w:rsidRDefault="009D0CEE" w:rsidP="00771728">
      <w:pPr>
        <w:pStyle w:val="HChG"/>
        <w:rPr>
          <w:lang w:eastAsia="fr-FR"/>
        </w:rPr>
      </w:pPr>
      <w:r w:rsidRPr="007A4C24">
        <w:rPr>
          <w:rFonts w:eastAsia="Times New Roman"/>
          <w:snapToGrid w:val="0"/>
          <w:lang w:eastAsia="fr-FR"/>
        </w:rPr>
        <w:tab/>
      </w:r>
      <w:r w:rsidRPr="007A4C24">
        <w:rPr>
          <w:rFonts w:eastAsia="Times New Roman"/>
          <w:snapToGrid w:val="0"/>
          <w:lang w:eastAsia="fr-FR"/>
        </w:rPr>
        <w:tab/>
      </w:r>
      <w:r w:rsidRPr="007A4C24">
        <w:rPr>
          <w:lang w:eastAsia="fr-FR"/>
        </w:rPr>
        <w:t>Introduction</w:t>
      </w:r>
    </w:p>
    <w:p w:rsidR="009D0CEE" w:rsidRPr="007A4C24" w:rsidRDefault="009D0CEE" w:rsidP="00771728">
      <w:pPr>
        <w:pStyle w:val="SingleTxtG"/>
        <w:rPr>
          <w:lang w:eastAsia="fr-FR"/>
        </w:rPr>
      </w:pPr>
      <w:r w:rsidRPr="007A4C24">
        <w:rPr>
          <w:lang w:eastAsia="fr-FR"/>
        </w:rPr>
        <w:t>1.</w:t>
      </w:r>
      <w:r w:rsidRPr="007A4C24">
        <w:rPr>
          <w:lang w:eastAsia="fr-FR"/>
        </w:rPr>
        <w:tab/>
        <w:t xml:space="preserve">Selon les prescriptions énoncées au chapitre 8.2 de l’ADR, les conducteurs des véhicules transportant des marchandises dangereuses sont tenus de suivre un cours de formation de base et de réussir l’examen correspondant. </w:t>
      </w:r>
    </w:p>
    <w:p w:rsidR="009D0CEE" w:rsidRPr="007A4C24" w:rsidRDefault="009D0CEE" w:rsidP="00771728">
      <w:pPr>
        <w:pStyle w:val="SingleTxtG"/>
        <w:rPr>
          <w:lang w:eastAsia="fr-FR"/>
        </w:rPr>
      </w:pPr>
      <w:r w:rsidRPr="007A4C24">
        <w:rPr>
          <w:lang w:eastAsia="fr-FR"/>
        </w:rPr>
        <w:t>2.</w:t>
      </w:r>
      <w:r w:rsidRPr="007A4C24">
        <w:rPr>
          <w:lang w:eastAsia="fr-FR"/>
        </w:rPr>
        <w:tab/>
        <w:t>Avant le délai de 12</w:t>
      </w:r>
      <w:r w:rsidR="007378D9">
        <w:rPr>
          <w:lang w:eastAsia="fr-FR"/>
        </w:rPr>
        <w:t> </w:t>
      </w:r>
      <w:r w:rsidRPr="007A4C24">
        <w:rPr>
          <w:lang w:eastAsia="fr-FR"/>
        </w:rPr>
        <w:t>mois précédant la date d’expiration de son certificat, les conducteurs doivent se présenter à un examen portant sur les cours dispensés dans le cadre de la formation de recyclage, comme prévu aux paragraphes 8.2.2.5 et 8.2.2.7.1.6 de l’ADR, et réussir cet examen.</w:t>
      </w:r>
    </w:p>
    <w:p w:rsidR="009D0CEE" w:rsidRPr="007A4C24" w:rsidRDefault="009D0CEE" w:rsidP="00C9304F">
      <w:pPr>
        <w:pStyle w:val="SingleTxtG"/>
        <w:keepLines/>
        <w:rPr>
          <w:lang w:eastAsia="fr-FR"/>
        </w:rPr>
      </w:pPr>
      <w:r w:rsidRPr="007A4C24">
        <w:rPr>
          <w:lang w:eastAsia="fr-FR"/>
        </w:rPr>
        <w:lastRenderedPageBreak/>
        <w:t>3.</w:t>
      </w:r>
      <w:r w:rsidRPr="007A4C24">
        <w:rPr>
          <w:lang w:eastAsia="fr-FR"/>
        </w:rPr>
        <w:tab/>
        <w:t>Les technologies de pointe offrent de nouvelles perspectives aux transporteurs dans tous les secteurs, notamment dans le domaine de la formation.</w:t>
      </w:r>
      <w:r w:rsidR="001E076E">
        <w:rPr>
          <w:lang w:eastAsia="fr-FR"/>
        </w:rPr>
        <w:t xml:space="preserve"> </w:t>
      </w:r>
      <w:r w:rsidRPr="007A4C24">
        <w:rPr>
          <w:lang w:eastAsia="fr-FR"/>
        </w:rPr>
        <w:t xml:space="preserve">Afin d’améliorer et de favoriser le professionnalisme en matière d’enseignement pour toutes les parties, l’IRU cherche à faciliter la formation grâce à des technologies innovantes telles que l’apprentissage en ligne, sans pour autant compromettre la qualité ou le niveau de la formation. </w:t>
      </w:r>
    </w:p>
    <w:p w:rsidR="009D0CEE" w:rsidRPr="007A4C24" w:rsidRDefault="009D0CEE" w:rsidP="00C9304F">
      <w:pPr>
        <w:pStyle w:val="SingleTxtG"/>
        <w:rPr>
          <w:lang w:eastAsia="fr-FR"/>
        </w:rPr>
      </w:pPr>
      <w:r w:rsidRPr="007A4C24">
        <w:rPr>
          <w:lang w:eastAsia="fr-FR"/>
        </w:rPr>
        <w:t>4.</w:t>
      </w:r>
      <w:r w:rsidRPr="007A4C24">
        <w:rPr>
          <w:lang w:eastAsia="fr-FR"/>
        </w:rPr>
        <w:tab/>
        <w:t>Les dispositions proposées ci-après sont considérées comme non contraignantes et d’application facultative.</w:t>
      </w:r>
    </w:p>
    <w:p w:rsidR="009D0CEE" w:rsidRPr="007A4C24" w:rsidRDefault="0057572B" w:rsidP="0057572B">
      <w:pPr>
        <w:pStyle w:val="HChG"/>
        <w:rPr>
          <w:lang w:eastAsia="fr-FR"/>
        </w:rPr>
      </w:pPr>
      <w:r>
        <w:rPr>
          <w:lang w:eastAsia="fr-FR"/>
        </w:rPr>
        <w:tab/>
      </w:r>
      <w:r>
        <w:rPr>
          <w:lang w:eastAsia="fr-FR"/>
        </w:rPr>
        <w:tab/>
      </w:r>
      <w:r w:rsidR="009D0CEE" w:rsidRPr="007A4C24">
        <w:rPr>
          <w:lang w:eastAsia="fr-FR"/>
        </w:rPr>
        <w:t>Contexte</w:t>
      </w:r>
    </w:p>
    <w:p w:rsidR="009D0CEE" w:rsidRPr="007A4C24" w:rsidRDefault="009D0CEE" w:rsidP="0057572B">
      <w:pPr>
        <w:pStyle w:val="SingleTxtG"/>
        <w:rPr>
          <w:lang w:eastAsia="fr-FR"/>
        </w:rPr>
      </w:pPr>
      <w:r w:rsidRPr="007A4C24">
        <w:rPr>
          <w:lang w:eastAsia="fr-FR"/>
        </w:rPr>
        <w:t>5.</w:t>
      </w:r>
      <w:r w:rsidRPr="007A4C24">
        <w:rPr>
          <w:lang w:eastAsia="fr-FR"/>
        </w:rPr>
        <w:tab/>
        <w:t>À l’occasion de la session de mars 2019 de la Réunion commune RID/ADR/ADN, l’IRU a présenté une proposition prévoyant que l’ADR soit modifié de façon à permettre, à l’avenir, l’utilisation de nouvelles méthodes de formation telles que les cours en ligne et par vidéoconférence</w:t>
      </w:r>
      <w:r w:rsidR="002B7F4E">
        <w:rPr>
          <w:lang w:eastAsia="fr-FR"/>
        </w:rPr>
        <w:t>.</w:t>
      </w:r>
      <w:r w:rsidRPr="007A4C24">
        <w:rPr>
          <w:lang w:eastAsia="fr-FR"/>
        </w:rPr>
        <w:t xml:space="preserve"> En outre, il a été confirmé que</w:t>
      </w:r>
      <w:r w:rsidR="00C11913">
        <w:rPr>
          <w:lang w:eastAsia="fr-FR"/>
        </w:rPr>
        <w:t>,</w:t>
      </w:r>
      <w:r w:rsidRPr="007A4C24">
        <w:rPr>
          <w:lang w:eastAsia="fr-FR"/>
        </w:rPr>
        <w:t xml:space="preserve"> dans certaines Parties contractantes, les conducteurs transportant des matières dangereuses avaient déjà la possibilité de suivre une formation de recyclage en ligne.</w:t>
      </w:r>
    </w:p>
    <w:p w:rsidR="009D0CEE" w:rsidRPr="007A4C24" w:rsidRDefault="009D0CEE" w:rsidP="0057572B">
      <w:pPr>
        <w:pStyle w:val="SingleTxtG"/>
        <w:rPr>
          <w:lang w:eastAsia="fr-FR"/>
        </w:rPr>
      </w:pPr>
      <w:r w:rsidRPr="007A4C24">
        <w:rPr>
          <w:lang w:eastAsia="fr-FR"/>
        </w:rPr>
        <w:t>6.</w:t>
      </w:r>
      <w:r w:rsidRPr="007A4C24">
        <w:rPr>
          <w:lang w:eastAsia="fr-FR"/>
        </w:rPr>
        <w:tab/>
        <w:t xml:space="preserve">Les délégations présentes à la Réunion commune lui ayant communiqué plusieurs observations, l’IRU a décidé de rédiger une nouvelle proposition. Dans le cadre de l’élaboration de cette proposition, elle a collaboré avec le Comité de sécurité de l’ADN afin qu’un nombre accru de participants se rallient éventuellement à la proposition commune. </w:t>
      </w:r>
    </w:p>
    <w:p w:rsidR="009D0CEE" w:rsidRPr="007A4C24" w:rsidRDefault="0057572B" w:rsidP="0057572B">
      <w:pPr>
        <w:pStyle w:val="HChG"/>
        <w:rPr>
          <w:lang w:eastAsia="fr-FR"/>
        </w:rPr>
      </w:pPr>
      <w:r>
        <w:rPr>
          <w:lang w:eastAsia="fr-FR"/>
        </w:rPr>
        <w:tab/>
      </w:r>
      <w:r>
        <w:rPr>
          <w:lang w:eastAsia="fr-FR"/>
        </w:rPr>
        <w:tab/>
      </w:r>
      <w:r w:rsidR="009D0CEE" w:rsidRPr="007A4C24">
        <w:rPr>
          <w:lang w:eastAsia="fr-FR"/>
        </w:rPr>
        <w:t>Proposition</w:t>
      </w:r>
    </w:p>
    <w:p w:rsidR="009D0CEE" w:rsidRPr="007A4C24" w:rsidRDefault="009D0CEE" w:rsidP="0057572B">
      <w:pPr>
        <w:pStyle w:val="SingleTxtG"/>
        <w:rPr>
          <w:lang w:eastAsia="fr-FR"/>
        </w:rPr>
      </w:pPr>
      <w:r w:rsidRPr="007A4C24">
        <w:rPr>
          <w:lang w:eastAsia="fr-FR"/>
        </w:rPr>
        <w:t>7.</w:t>
      </w:r>
      <w:r w:rsidRPr="007A4C24">
        <w:rPr>
          <w:lang w:eastAsia="fr-FR"/>
        </w:rPr>
        <w:tab/>
        <w:t xml:space="preserve">L’IRU doit définir la marche à suivre pour modifier le texte du chapitre 8.2 et renvoyer à des lignes directrices dans le texte proposé. </w:t>
      </w:r>
    </w:p>
    <w:p w:rsidR="009D0CEE" w:rsidRPr="007A4C24" w:rsidRDefault="009D0CEE" w:rsidP="009D0CEE">
      <w:pPr>
        <w:kinsoku/>
        <w:overflowPunct/>
        <w:autoSpaceDE/>
        <w:autoSpaceDN/>
        <w:adjustRightInd/>
        <w:snapToGrid/>
        <w:spacing w:after="120" w:line="240" w:lineRule="exact"/>
        <w:ind w:left="1134" w:right="1134"/>
        <w:jc w:val="both"/>
        <w:rPr>
          <w:rFonts w:eastAsia="Times New Roman"/>
          <w:lang w:eastAsia="fr-FR"/>
        </w:rPr>
      </w:pPr>
      <w:r w:rsidRPr="007A4C24">
        <w:rPr>
          <w:rFonts w:eastAsia="Times New Roman"/>
          <w:lang w:eastAsia="fr-FR"/>
        </w:rPr>
        <w:t>8.</w:t>
      </w:r>
      <w:r w:rsidRPr="007A4C24">
        <w:rPr>
          <w:rFonts w:eastAsia="Times New Roman"/>
          <w:lang w:eastAsia="fr-FR"/>
        </w:rPr>
        <w:tab/>
        <w:t>Les lignes directrices pourraient être téléchargées sur le site Web de la CEE et les États membres</w:t>
      </w:r>
      <w:r w:rsidR="001E076E">
        <w:rPr>
          <w:rFonts w:eastAsia="Times New Roman"/>
          <w:lang w:eastAsia="fr-FR"/>
        </w:rPr>
        <w:t xml:space="preserve"> </w:t>
      </w:r>
      <w:r w:rsidRPr="007A4C24">
        <w:rPr>
          <w:rFonts w:eastAsia="Times New Roman"/>
          <w:lang w:eastAsia="fr-FR"/>
        </w:rPr>
        <w:t>soumettre des propositions.</w:t>
      </w:r>
    </w:p>
    <w:p w:rsidR="009D0CEE" w:rsidRPr="007A4C24" w:rsidRDefault="009D0CEE" w:rsidP="00C1017C">
      <w:pPr>
        <w:pStyle w:val="SingleTxtG"/>
        <w:keepNext/>
        <w:rPr>
          <w:lang w:eastAsia="fr-FR"/>
        </w:rPr>
      </w:pPr>
      <w:r w:rsidRPr="007A4C24">
        <w:rPr>
          <w:lang w:eastAsia="fr-FR"/>
        </w:rPr>
        <w:t>9.</w:t>
      </w:r>
      <w:r w:rsidRPr="007A4C24">
        <w:rPr>
          <w:lang w:eastAsia="fr-FR"/>
        </w:rPr>
        <w:tab/>
        <w:t>L’IRU propose</w:t>
      </w:r>
      <w:r w:rsidR="001E076E">
        <w:rPr>
          <w:lang w:eastAsia="fr-FR"/>
        </w:rPr>
        <w:t xml:space="preserve"> </w:t>
      </w:r>
      <w:r w:rsidRPr="007A4C24">
        <w:rPr>
          <w:lang w:eastAsia="fr-FR"/>
        </w:rPr>
        <w:t>de modifier la sous-section</w:t>
      </w:r>
      <w:r w:rsidR="00C1017C">
        <w:rPr>
          <w:lang w:eastAsia="fr-FR"/>
        </w:rPr>
        <w:t xml:space="preserve"> </w:t>
      </w:r>
      <w:r w:rsidRPr="007A4C24">
        <w:rPr>
          <w:lang w:eastAsia="fr-FR"/>
        </w:rPr>
        <w:t>8.2.2.5 de l’ADR,</w:t>
      </w:r>
      <w:r w:rsidR="001E076E">
        <w:rPr>
          <w:lang w:eastAsia="fr-FR"/>
        </w:rPr>
        <w:t xml:space="preserve"> </w:t>
      </w:r>
      <w:r w:rsidRPr="007A4C24">
        <w:rPr>
          <w:lang w:eastAsia="fr-FR"/>
        </w:rPr>
        <w:t>en y ajoutant un nouveau paragraphe 8.2.2.5.4 libellé comme suit</w:t>
      </w:r>
      <w:r w:rsidR="001E076E">
        <w:rPr>
          <w:lang w:eastAsia="fr-FR"/>
        </w:rPr>
        <w:t> :</w:t>
      </w:r>
    </w:p>
    <w:p w:rsidR="009D0CEE" w:rsidRPr="0057572B" w:rsidRDefault="0057572B" w:rsidP="0057572B">
      <w:pPr>
        <w:pStyle w:val="SingleTxtG"/>
        <w:ind w:left="2268" w:hanging="1134"/>
        <w:rPr>
          <w:b/>
          <w:bCs/>
          <w:lang w:eastAsia="fr-FR"/>
        </w:rPr>
      </w:pPr>
      <w:r w:rsidRPr="0057572B">
        <w:rPr>
          <w:lang w:eastAsia="fr-FR"/>
        </w:rPr>
        <w:t>« </w:t>
      </w:r>
      <w:r w:rsidR="009D0CEE" w:rsidRPr="0057572B">
        <w:rPr>
          <w:b/>
          <w:bCs/>
          <w:lang w:eastAsia="fr-FR"/>
        </w:rPr>
        <w:t>8.2.2.5.4</w:t>
      </w:r>
      <w:r w:rsidR="009D0CEE" w:rsidRPr="0057572B">
        <w:rPr>
          <w:b/>
          <w:bCs/>
          <w:lang w:eastAsia="fr-FR"/>
        </w:rPr>
        <w:tab/>
        <w:t>Un cours de recyclage</w:t>
      </w:r>
      <w:r w:rsidR="001E076E" w:rsidRPr="0057572B">
        <w:rPr>
          <w:b/>
          <w:bCs/>
          <w:lang w:eastAsia="fr-FR"/>
        </w:rPr>
        <w:t xml:space="preserve"> </w:t>
      </w:r>
      <w:r w:rsidR="009D0CEE" w:rsidRPr="0057572B">
        <w:rPr>
          <w:b/>
          <w:bCs/>
          <w:lang w:eastAsia="fr-FR"/>
        </w:rPr>
        <w:t>utilisant des outils électroniques conformément aux lignes directrices</w:t>
      </w:r>
      <w:r w:rsidR="009D0CEE" w:rsidRPr="00C11913">
        <w:rPr>
          <w:rStyle w:val="FootnoteReference"/>
          <w:b/>
          <w:bCs/>
          <w:szCs w:val="18"/>
        </w:rPr>
        <w:footnoteReference w:id="4"/>
      </w:r>
      <w:r w:rsidR="009D0CEE" w:rsidRPr="0057572B">
        <w:rPr>
          <w:b/>
          <w:bCs/>
          <w:lang w:eastAsia="fr-FR"/>
        </w:rPr>
        <w:t xml:space="preserve"> est réputé conforme aux prescriptions énoncées à la présente sous-section 8.2.2.5</w:t>
      </w:r>
      <w:r>
        <w:rPr>
          <w:b/>
          <w:bCs/>
          <w:lang w:eastAsia="fr-FR"/>
        </w:rPr>
        <w:t>. </w:t>
      </w:r>
      <w:r w:rsidRPr="0057572B">
        <w:rPr>
          <w:lang w:eastAsia="fr-FR"/>
        </w:rPr>
        <w:t>».</w:t>
      </w:r>
      <w:r w:rsidR="009D0CEE" w:rsidRPr="0057572B">
        <w:rPr>
          <w:b/>
          <w:bCs/>
          <w:lang w:eastAsia="fr-FR"/>
        </w:rPr>
        <w:t xml:space="preserve"> </w:t>
      </w:r>
    </w:p>
    <w:p w:rsidR="009D0CEE" w:rsidRPr="007A4C24" w:rsidRDefault="009D0CEE" w:rsidP="00C1017C">
      <w:pPr>
        <w:pStyle w:val="HChG"/>
        <w:rPr>
          <w:lang w:eastAsia="fr-FR"/>
        </w:rPr>
      </w:pPr>
      <w:r w:rsidRPr="007A4C24">
        <w:rPr>
          <w:lang w:eastAsia="fr-FR"/>
        </w:rPr>
        <w:tab/>
      </w:r>
      <w:r w:rsidRPr="007A4C24">
        <w:rPr>
          <w:lang w:eastAsia="fr-FR"/>
        </w:rPr>
        <w:tab/>
        <w:t>Justification</w:t>
      </w:r>
    </w:p>
    <w:p w:rsidR="009D0CEE" w:rsidRPr="007A4C24" w:rsidRDefault="009D0CEE" w:rsidP="00FF28AB">
      <w:pPr>
        <w:pStyle w:val="SingleTxtG"/>
        <w:ind w:left="3402" w:hanging="2268"/>
        <w:rPr>
          <w:lang w:eastAsia="fr-FR"/>
        </w:rPr>
      </w:pPr>
      <w:r w:rsidRPr="007A4C24">
        <w:rPr>
          <w:lang w:eastAsia="fr-FR"/>
        </w:rPr>
        <w:t>Processus national</w:t>
      </w:r>
      <w:r w:rsidR="001E076E">
        <w:rPr>
          <w:lang w:eastAsia="fr-FR"/>
        </w:rPr>
        <w:t> :</w:t>
      </w:r>
      <w:r w:rsidRPr="007A4C24">
        <w:rPr>
          <w:lang w:eastAsia="fr-FR"/>
        </w:rPr>
        <w:t xml:space="preserve"> </w:t>
      </w:r>
      <w:r w:rsidR="00FF28AB">
        <w:rPr>
          <w:lang w:eastAsia="fr-FR"/>
        </w:rPr>
        <w:tab/>
      </w:r>
      <w:r w:rsidRPr="007A4C24">
        <w:rPr>
          <w:lang w:eastAsia="fr-FR"/>
        </w:rPr>
        <w:t>Les lignes directrices visent à donner à tous</w:t>
      </w:r>
      <w:r w:rsidR="001E076E">
        <w:rPr>
          <w:lang w:eastAsia="fr-FR"/>
        </w:rPr>
        <w:t xml:space="preserve"> </w:t>
      </w:r>
      <w:r w:rsidRPr="007A4C24">
        <w:rPr>
          <w:lang w:eastAsia="fr-FR"/>
        </w:rPr>
        <w:t>les acteurs la possibilité de décrire leurs meilleures pratiques.</w:t>
      </w:r>
    </w:p>
    <w:p w:rsidR="009D0CEE" w:rsidRPr="007A4C24" w:rsidRDefault="009D0CEE" w:rsidP="00FF28AB">
      <w:pPr>
        <w:pStyle w:val="SingleTxtG"/>
        <w:ind w:left="3402" w:hanging="2268"/>
        <w:rPr>
          <w:lang w:eastAsia="fr-FR"/>
        </w:rPr>
      </w:pPr>
      <w:r w:rsidRPr="007A4C24">
        <w:rPr>
          <w:lang w:eastAsia="fr-FR"/>
        </w:rPr>
        <w:t>Sécurité</w:t>
      </w:r>
      <w:r w:rsidR="001E076E">
        <w:rPr>
          <w:lang w:eastAsia="fr-FR"/>
        </w:rPr>
        <w:t> :</w:t>
      </w:r>
      <w:r w:rsidRPr="007A4C24">
        <w:rPr>
          <w:b/>
          <w:lang w:eastAsia="fr-FR"/>
        </w:rPr>
        <w:t xml:space="preserve"> </w:t>
      </w:r>
      <w:r w:rsidR="00FF28AB">
        <w:rPr>
          <w:b/>
          <w:lang w:eastAsia="fr-FR"/>
        </w:rPr>
        <w:tab/>
      </w:r>
      <w:r w:rsidRPr="007A4C24">
        <w:rPr>
          <w:lang w:eastAsia="fr-FR"/>
        </w:rPr>
        <w:t xml:space="preserve">Des textes clairs aident les conducteurs à faire preuve de prévoyance, modernisent la formation de recyclage des conducteurs qui transportent des marchandises dangereuses par route, et améliorent la sécurité des transports conformément aux dispositions applicables. </w:t>
      </w:r>
    </w:p>
    <w:p w:rsidR="009D0CEE" w:rsidRPr="007A4C24" w:rsidRDefault="009D0CEE" w:rsidP="00FF28AB">
      <w:pPr>
        <w:pStyle w:val="SingleTxtG"/>
        <w:ind w:left="3402" w:hanging="2268"/>
        <w:rPr>
          <w:lang w:eastAsia="fr-FR"/>
        </w:rPr>
      </w:pPr>
      <w:r w:rsidRPr="007A4C24">
        <w:rPr>
          <w:lang w:eastAsia="fr-FR"/>
        </w:rPr>
        <w:t>Faisabilité</w:t>
      </w:r>
      <w:r w:rsidR="001E076E">
        <w:rPr>
          <w:lang w:eastAsia="fr-FR"/>
        </w:rPr>
        <w:t> :</w:t>
      </w:r>
      <w:r w:rsidRPr="007A4C24">
        <w:rPr>
          <w:lang w:eastAsia="fr-FR"/>
        </w:rPr>
        <w:t xml:space="preserve"> </w:t>
      </w:r>
      <w:r w:rsidR="00FF28AB">
        <w:rPr>
          <w:lang w:eastAsia="fr-FR"/>
        </w:rPr>
        <w:tab/>
      </w:r>
      <w:r w:rsidRPr="007A4C24">
        <w:rPr>
          <w:lang w:eastAsia="fr-FR"/>
        </w:rPr>
        <w:t>Le contenu de la formation et les mécanismes permettant de le transmettre, ainsi que les obligations des différentes parties concernées, sont clairement définis.</w:t>
      </w:r>
    </w:p>
    <w:p w:rsidR="009D0CEE" w:rsidRPr="00FF28AB" w:rsidRDefault="009D0CEE" w:rsidP="00FF28AB">
      <w:pPr>
        <w:pStyle w:val="HChG"/>
        <w:rPr>
          <w:lang w:eastAsia="fr-FR"/>
        </w:rPr>
      </w:pPr>
      <w:r w:rsidRPr="007A4C24">
        <w:rPr>
          <w:lang w:eastAsia="fr-FR"/>
        </w:rPr>
        <w:br w:type="page"/>
      </w:r>
      <w:r w:rsidRPr="007A4C24">
        <w:rPr>
          <w:lang w:eastAsia="fr-FR"/>
        </w:rPr>
        <w:lastRenderedPageBreak/>
        <w:tab/>
      </w:r>
      <w:r w:rsidRPr="007A4C24">
        <w:rPr>
          <w:lang w:eastAsia="fr-FR"/>
        </w:rPr>
        <w:tab/>
        <w:t>Lignes directrices concernant</w:t>
      </w:r>
      <w:r w:rsidR="001E076E">
        <w:rPr>
          <w:lang w:eastAsia="fr-FR"/>
        </w:rPr>
        <w:t xml:space="preserve"> </w:t>
      </w:r>
      <w:r w:rsidRPr="007A4C24">
        <w:rPr>
          <w:lang w:eastAsia="fr-FR"/>
        </w:rPr>
        <w:t>l’apprentissage</w:t>
      </w:r>
      <w:r w:rsidR="001E076E">
        <w:rPr>
          <w:lang w:eastAsia="fr-FR"/>
        </w:rPr>
        <w:t xml:space="preserve"> </w:t>
      </w:r>
      <w:r w:rsidRPr="007A4C24">
        <w:rPr>
          <w:lang w:eastAsia="fr-FR"/>
        </w:rPr>
        <w:t>électronique</w:t>
      </w:r>
    </w:p>
    <w:p w:rsidR="009D0CEE" w:rsidRPr="007A4C24" w:rsidRDefault="009D0CEE" w:rsidP="00FF28AB">
      <w:pPr>
        <w:pStyle w:val="SingleTxtG"/>
        <w:ind w:firstLine="567"/>
        <w:rPr>
          <w:lang w:eastAsia="fr-FR"/>
        </w:rPr>
      </w:pPr>
      <w:r w:rsidRPr="007A4C24">
        <w:rPr>
          <w:lang w:eastAsia="fr-FR"/>
        </w:rPr>
        <w:t>Une partie des cours relatifs à l’ADR et des activités de formation en cours d’emploi peuvent être assurés au moyen de l’apprentissage</w:t>
      </w:r>
      <w:r w:rsidR="001E076E">
        <w:rPr>
          <w:lang w:eastAsia="fr-FR"/>
        </w:rPr>
        <w:t xml:space="preserve"> </w:t>
      </w:r>
      <w:r w:rsidRPr="007A4C24">
        <w:rPr>
          <w:lang w:eastAsia="fr-FR"/>
        </w:rPr>
        <w:t>électronique. Les prescriptions et les conditions préalables pertinentes sont énoncées au présent chapitre. Les autres conditions et prescriptions en la matière s’appliquent aussi à la formation en cours d’emploi délivrée au moyen d’outils électroniques.</w:t>
      </w:r>
    </w:p>
    <w:p w:rsidR="009D0CEE" w:rsidRPr="007A4C24" w:rsidRDefault="00C96242" w:rsidP="00C96242">
      <w:pPr>
        <w:pStyle w:val="H23G"/>
        <w:rPr>
          <w:lang w:eastAsia="fr-FR"/>
        </w:rPr>
      </w:pPr>
      <w:r>
        <w:rPr>
          <w:lang w:eastAsia="fr-FR"/>
        </w:rPr>
        <w:tab/>
      </w:r>
      <w:r w:rsidR="009D0CEE" w:rsidRPr="007A4C24">
        <w:rPr>
          <w:lang w:eastAsia="fr-FR"/>
        </w:rPr>
        <w:t>1.</w:t>
      </w:r>
      <w:r w:rsidR="009D0CEE" w:rsidRPr="007A4C24">
        <w:rPr>
          <w:lang w:eastAsia="fr-FR"/>
        </w:rPr>
        <w:tab/>
        <w:t>Conditions préalables à l’apprentissage</w:t>
      </w:r>
      <w:r w:rsidR="001E076E">
        <w:rPr>
          <w:lang w:eastAsia="fr-FR"/>
        </w:rPr>
        <w:t xml:space="preserve"> </w:t>
      </w:r>
      <w:r w:rsidR="009D0CEE" w:rsidRPr="007A4C24">
        <w:rPr>
          <w:lang w:eastAsia="fr-FR"/>
        </w:rPr>
        <w:t>électronique</w:t>
      </w:r>
    </w:p>
    <w:p w:rsidR="009D0CEE" w:rsidRPr="007A4C24" w:rsidRDefault="009D0CEE" w:rsidP="00253A1C">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La formation permanente par apprentissage électronique doit remplir les conditions suivantes</w:t>
      </w:r>
      <w:r w:rsidR="001E076E">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a)</w:t>
      </w:r>
      <w:r w:rsidR="00253A1C">
        <w:rPr>
          <w:rFonts w:asciiTheme="majorBidi" w:eastAsia="Times New Roman" w:hAnsiTheme="majorBidi" w:cstheme="majorBidi"/>
          <w:lang w:eastAsia="fr-FR"/>
        </w:rPr>
        <w:tab/>
      </w:r>
      <w:r w:rsidRPr="007A4C24">
        <w:rPr>
          <w:rFonts w:asciiTheme="majorBidi" w:eastAsia="Times New Roman" w:hAnsiTheme="majorBidi" w:cstheme="majorBidi"/>
          <w:lang w:eastAsia="fr-FR"/>
        </w:rPr>
        <w:t>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est assuré au moyen d’un système adéquat (certificat d’agrément d’une autorité compétente)</w:t>
      </w:r>
      <w:r w:rsidR="00253A1C">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b)</w:t>
      </w:r>
      <w:r w:rsidR="00253A1C">
        <w:rPr>
          <w:rFonts w:asciiTheme="majorBidi" w:eastAsia="Times New Roman" w:hAnsiTheme="majorBidi" w:cstheme="majorBidi"/>
          <w:lang w:eastAsia="fr-FR"/>
        </w:rPr>
        <w:tab/>
      </w:r>
      <w:r w:rsidRPr="007A4C24">
        <w:rPr>
          <w:rFonts w:asciiTheme="majorBidi" w:eastAsia="Times New Roman" w:hAnsiTheme="majorBidi" w:cstheme="majorBidi"/>
          <w:lang w:eastAsia="fr-FR"/>
        </w:rPr>
        <w:t>Le programme de formation comporte deux parties</w:t>
      </w:r>
      <w:r w:rsidR="001E076E">
        <w:rPr>
          <w:rFonts w:asciiTheme="majorBidi" w:eastAsia="Times New Roman" w:hAnsiTheme="majorBidi" w:cstheme="majorBidi"/>
          <w:lang w:eastAsia="fr-FR"/>
        </w:rPr>
        <w:t> :</w:t>
      </w:r>
      <w:r w:rsidRPr="007A4C24">
        <w:rPr>
          <w:rFonts w:asciiTheme="majorBidi" w:eastAsia="Times New Roman" w:hAnsiTheme="majorBidi" w:cstheme="majorBidi"/>
          <w:lang w:eastAsia="fr-FR"/>
        </w:rPr>
        <w:t xml:space="preserve"> la première,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toujours assurée au moyen de 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et la seconde partie consistant toujours en une formation en classe et des exercices pratiques. La seconde partie doit commencer dans un délai de 14 jours civils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à compter de la date limite d’achèvement de la première partie</w:t>
      </w:r>
      <w:r w:rsidR="00253A1C">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c)</w:t>
      </w:r>
      <w:r w:rsidR="00253A1C">
        <w:rPr>
          <w:rFonts w:asciiTheme="majorBidi" w:eastAsia="Times New Roman" w:hAnsiTheme="majorBidi" w:cstheme="majorBidi"/>
          <w:lang w:eastAsia="fr-FR"/>
        </w:rPr>
        <w:tab/>
      </w:r>
      <w:r w:rsidRPr="007A4C24">
        <w:rPr>
          <w:rFonts w:asciiTheme="majorBidi" w:eastAsia="Times New Roman" w:hAnsiTheme="majorBidi" w:cstheme="majorBidi"/>
          <w:lang w:eastAsia="fr-FR"/>
        </w:rPr>
        <w:t>L’élève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qui suit la formation de recyclage doit d’abord achever la partie électronique du cours avant de pouvoir en suivre la seconde partie en classe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et sous forme d’exercices pratiques</w:t>
      </w:r>
      <w:r w:rsidR="00253A1C">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d)</w:t>
      </w:r>
      <w:r w:rsidR="00253A1C">
        <w:rPr>
          <w:rFonts w:asciiTheme="majorBidi" w:eastAsia="Times New Roman" w:hAnsiTheme="majorBidi" w:cstheme="majorBidi"/>
          <w:lang w:eastAsia="fr-FR"/>
        </w:rPr>
        <w:tab/>
      </w:r>
      <w:r w:rsidRPr="007A4C24">
        <w:rPr>
          <w:rFonts w:asciiTheme="majorBidi" w:eastAsia="Times New Roman" w:hAnsiTheme="majorBidi" w:cstheme="majorBidi"/>
          <w:lang w:eastAsia="fr-FR"/>
        </w:rPr>
        <w:t>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dure au moins 2 heures. Il pourrait être envisagé de prévoir deux séances de 3 heures (soit 6 heures au total) pour 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et, pour la journée de formation en classe, deux séances de 4 heures. Une formation de recyclage sera composée d’une journée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et d’une journée de formation</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pratique,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avec un test pour commencer</w:t>
      </w:r>
      <w:r w:rsidR="00463AAB">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e)</w:t>
      </w:r>
      <w:r w:rsidR="00463AAB">
        <w:rPr>
          <w:rFonts w:asciiTheme="majorBidi" w:eastAsia="Times New Roman" w:hAnsiTheme="majorBidi" w:cstheme="majorBidi"/>
          <w:lang w:eastAsia="fr-FR"/>
        </w:rPr>
        <w:tab/>
      </w:r>
      <w:r w:rsidRPr="007A4C24">
        <w:rPr>
          <w:rFonts w:asciiTheme="majorBidi" w:eastAsia="Times New Roman" w:hAnsiTheme="majorBidi" w:cstheme="majorBidi"/>
          <w:lang w:eastAsia="fr-FR"/>
        </w:rPr>
        <w:t>Un cours de plusieurs jours est constitué de « journées ». Autrement dit, il faut que 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et la formation en classe et pratique correspondante du premier jour aient été menés à bien pour que ceux</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du deuxième jour puissent commencer. L’ensemble constituant une « journée »</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d’enseignements dispensés dans le cadre de 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et de la formation en classe et pratique doit être assuré pendant une période maximum de 10 jours civils</w:t>
      </w:r>
      <w:r w:rsidR="00463AAB">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f)</w:t>
      </w:r>
      <w:r w:rsidR="00463AAB">
        <w:rPr>
          <w:rFonts w:asciiTheme="majorBidi" w:eastAsia="Times New Roman" w:hAnsiTheme="majorBidi" w:cstheme="majorBidi"/>
          <w:lang w:eastAsia="fr-FR"/>
        </w:rPr>
        <w:tab/>
      </w:r>
      <w:r w:rsidRPr="007A4C24">
        <w:rPr>
          <w:rFonts w:asciiTheme="majorBidi" w:eastAsia="Times New Roman" w:hAnsiTheme="majorBidi" w:cstheme="majorBidi"/>
          <w:lang w:eastAsia="fr-FR"/>
        </w:rPr>
        <w:t>L’ensemble constitué de séances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 xml:space="preserve">électronique et </w:t>
      </w:r>
      <w:bookmarkStart w:id="1" w:name="_Hlk28686461"/>
      <w:r w:rsidRPr="007A4C24">
        <w:rPr>
          <w:rFonts w:asciiTheme="majorBidi" w:eastAsia="Times New Roman" w:hAnsiTheme="majorBidi" w:cstheme="majorBidi"/>
          <w:lang w:eastAsia="fr-FR"/>
        </w:rPr>
        <w:t xml:space="preserve">de séances de formation en classe et pratique </w:t>
      </w:r>
      <w:bookmarkEnd w:id="1"/>
      <w:r w:rsidRPr="007A4C24">
        <w:rPr>
          <w:rFonts w:asciiTheme="majorBidi" w:eastAsia="Times New Roman" w:hAnsiTheme="majorBidi" w:cstheme="majorBidi"/>
          <w:lang w:eastAsia="fr-FR"/>
        </w:rPr>
        <w:t>doit durer le nombre d’heures minimum prévu , même si l’élève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a consacré davantage de temps à 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w:t>
      </w:r>
    </w:p>
    <w:p w:rsidR="009D0CEE" w:rsidRPr="007A4C24" w:rsidRDefault="00463AAB" w:rsidP="00463AAB">
      <w:pPr>
        <w:pStyle w:val="H23G"/>
        <w:rPr>
          <w:lang w:eastAsia="fr-FR"/>
        </w:rPr>
      </w:pPr>
      <w:r>
        <w:rPr>
          <w:lang w:eastAsia="fr-FR"/>
        </w:rPr>
        <w:tab/>
      </w:r>
      <w:r w:rsidR="009D0CEE" w:rsidRPr="007A4C24">
        <w:rPr>
          <w:lang w:eastAsia="fr-FR"/>
        </w:rPr>
        <w:t>2.</w:t>
      </w:r>
      <w:r w:rsidR="009D0CEE" w:rsidRPr="007A4C24">
        <w:rPr>
          <w:lang w:eastAsia="fr-FR"/>
        </w:rPr>
        <w:tab/>
        <w:t>Formation en classe et pratique</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a)</w:t>
      </w:r>
      <w:r w:rsidR="00463AAB">
        <w:rPr>
          <w:rFonts w:asciiTheme="majorBidi" w:eastAsia="Times New Roman" w:hAnsiTheme="majorBidi" w:cstheme="majorBidi"/>
          <w:lang w:eastAsia="fr-FR"/>
        </w:rPr>
        <w:tab/>
      </w:r>
      <w:r w:rsidRPr="007A4C24">
        <w:rPr>
          <w:rFonts w:asciiTheme="majorBidi" w:eastAsia="Times New Roman" w:hAnsiTheme="majorBidi" w:cstheme="majorBidi"/>
          <w:lang w:eastAsia="fr-FR"/>
        </w:rPr>
        <w:t>Elle commence par un test de connaissances approfondi portant sur les enseignements correspondants qui ont été reçus dans le cadre de 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w:t>
      </w:r>
      <w:r w:rsidR="00886D41">
        <w:rPr>
          <w:rFonts w:asciiTheme="majorBidi" w:eastAsia="Times New Roman" w:hAnsiTheme="majorBidi" w:cstheme="majorBidi"/>
          <w:lang w:eastAsia="fr-FR"/>
        </w:rPr>
        <w:t>.</w:t>
      </w:r>
    </w:p>
    <w:p w:rsidR="009D0CEE" w:rsidRPr="007A4C24" w:rsidRDefault="009D0CEE" w:rsidP="00463AAB">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Prescriptions relatives au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w:t>
      </w:r>
      <w:r w:rsidR="001E076E">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Afin de s’assurer que le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utilisé est</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adéquat, des prescriptions et des critères s’appliquant à ce système ont été élaborés</w:t>
      </w:r>
      <w:r w:rsidR="002B7F4E">
        <w:rPr>
          <w:rFonts w:asciiTheme="majorBidi" w:eastAsia="Times New Roman" w:hAnsiTheme="majorBidi" w:cstheme="majorBidi"/>
          <w:lang w:eastAsia="fr-FR"/>
        </w:rPr>
        <w:t>.</w:t>
      </w:r>
      <w:r w:rsidRPr="007A4C24">
        <w:rPr>
          <w:rFonts w:asciiTheme="majorBidi" w:eastAsia="Times New Roman" w:hAnsiTheme="majorBidi" w:cstheme="majorBidi"/>
          <w:lang w:eastAsia="fr-FR"/>
        </w:rPr>
        <w:t xml:space="preserve"> Seuls les systèmes répondant aux prescriptions et critères ci-dessous et agréés par l’autorité compétente peuvent être utilisés pour la formation en cours d’emploi. </w:t>
      </w:r>
    </w:p>
    <w:p w:rsidR="009D0CEE" w:rsidRPr="007A4C24" w:rsidRDefault="00463AAB" w:rsidP="00463AAB">
      <w:pPr>
        <w:pStyle w:val="H23G"/>
        <w:rPr>
          <w:lang w:eastAsia="fr-FR"/>
        </w:rPr>
      </w:pPr>
      <w:r>
        <w:rPr>
          <w:lang w:eastAsia="fr-FR"/>
        </w:rPr>
        <w:tab/>
      </w:r>
      <w:r w:rsidR="009D0CEE" w:rsidRPr="007A4C24">
        <w:rPr>
          <w:lang w:eastAsia="fr-FR"/>
        </w:rPr>
        <w:t>3.</w:t>
      </w:r>
      <w:r w:rsidR="009D0CEE" w:rsidRPr="007A4C24">
        <w:rPr>
          <w:lang w:eastAsia="fr-FR"/>
        </w:rPr>
        <w:tab/>
        <w:t>Dispositions générales</w:t>
      </w:r>
    </w:p>
    <w:p w:rsidR="009D0CEE" w:rsidRPr="007A4C24" w:rsidRDefault="009D0CEE" w:rsidP="00463AAB">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Conditions à remplir</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par le système d’apprentissage électronique</w:t>
      </w:r>
      <w:r w:rsidR="001E076E">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a)</w:t>
      </w:r>
      <w:r w:rsidR="00463AAB">
        <w:rPr>
          <w:rFonts w:asciiTheme="majorBidi" w:eastAsia="Times New Roman" w:hAnsiTheme="majorBidi" w:cstheme="majorBidi"/>
          <w:lang w:eastAsia="fr-FR"/>
        </w:rPr>
        <w:tab/>
      </w:r>
      <w:r w:rsidRPr="007A4C24">
        <w:rPr>
          <w:rFonts w:asciiTheme="majorBidi" w:eastAsia="Times New Roman" w:hAnsiTheme="majorBidi" w:cstheme="majorBidi"/>
          <w:lang w:eastAsia="fr-FR"/>
        </w:rPr>
        <w:t>La garantie que l’élève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qui suit la formation est actif pendant 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(par exemple, un dispositif qui permette de vérifier que des opérations sont régulièrement effectuées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sur l’ordinateur)</w:t>
      </w:r>
      <w:r w:rsidR="00463AAB">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lastRenderedPageBreak/>
        <w:t>b)</w:t>
      </w:r>
      <w:r w:rsidR="00405C84">
        <w:rPr>
          <w:rFonts w:asciiTheme="majorBidi" w:eastAsia="Times New Roman" w:hAnsiTheme="majorBidi" w:cstheme="majorBidi"/>
          <w:lang w:eastAsia="fr-FR"/>
        </w:rPr>
        <w:tab/>
      </w:r>
      <w:r w:rsidRPr="007A4C24">
        <w:rPr>
          <w:rFonts w:asciiTheme="majorBidi" w:eastAsia="Times New Roman" w:hAnsiTheme="majorBidi" w:cstheme="majorBidi"/>
          <w:lang w:eastAsia="fr-FR"/>
        </w:rPr>
        <w:t>La présentation du sujet d’étude sous différents formats (notamment des textes, des images, des fichiers son, des vidéos, des questions et des sujets de réflexion)</w:t>
      </w:r>
      <w:r w:rsidR="00405C84">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c)</w:t>
      </w:r>
      <w:r w:rsidR="00405C84">
        <w:rPr>
          <w:rFonts w:asciiTheme="majorBidi" w:eastAsia="Times New Roman" w:hAnsiTheme="majorBidi" w:cstheme="majorBidi"/>
          <w:lang w:eastAsia="fr-FR"/>
        </w:rPr>
        <w:tab/>
      </w:r>
      <w:r w:rsidRPr="007A4C24">
        <w:rPr>
          <w:rFonts w:asciiTheme="majorBidi" w:eastAsia="Times New Roman" w:hAnsiTheme="majorBidi" w:cstheme="majorBidi"/>
          <w:lang w:eastAsia="fr-FR"/>
        </w:rPr>
        <w:t>La mise en place, après chaque chapitre, d’un «</w:t>
      </w:r>
      <w:r w:rsidR="00882286">
        <w:rPr>
          <w:rFonts w:asciiTheme="majorBidi" w:eastAsia="Times New Roman" w:hAnsiTheme="majorBidi" w:cstheme="majorBidi"/>
          <w:lang w:eastAsia="fr-FR"/>
        </w:rPr>
        <w:t> </w:t>
      </w:r>
      <w:r w:rsidRPr="007A4C24">
        <w:rPr>
          <w:rFonts w:asciiTheme="majorBidi" w:eastAsia="Times New Roman" w:hAnsiTheme="majorBidi" w:cstheme="majorBidi"/>
          <w:lang w:eastAsia="fr-FR"/>
        </w:rPr>
        <w:t>seuil</w:t>
      </w:r>
      <w:r w:rsidR="00882286">
        <w:rPr>
          <w:rFonts w:asciiTheme="majorBidi" w:eastAsia="Times New Roman" w:hAnsiTheme="majorBidi" w:cstheme="majorBidi"/>
          <w:lang w:eastAsia="fr-FR"/>
        </w:rPr>
        <w:t> </w:t>
      </w:r>
      <w:r w:rsidRPr="007A4C24">
        <w:rPr>
          <w:rFonts w:asciiTheme="majorBidi" w:eastAsia="Times New Roman" w:hAnsiTheme="majorBidi" w:cstheme="majorBidi"/>
          <w:lang w:eastAsia="fr-FR"/>
        </w:rPr>
        <w:t>» constitué d’épreuves intermédiaires portant sur les enseignements dispensés. L’élève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ne peut</w:t>
      </w:r>
      <w:r w:rsidR="005142F1">
        <w:rPr>
          <w:rFonts w:asciiTheme="majorBidi" w:eastAsia="Times New Roman" w:hAnsiTheme="majorBidi" w:cstheme="majorBidi"/>
          <w:lang w:eastAsia="fr-FR"/>
        </w:rPr>
        <w:t xml:space="preserve"> pas</w:t>
      </w:r>
      <w:r w:rsidRPr="007A4C24">
        <w:rPr>
          <w:rFonts w:asciiTheme="majorBidi" w:eastAsia="Times New Roman" w:hAnsiTheme="majorBidi" w:cstheme="majorBidi"/>
          <w:lang w:eastAsia="fr-FR"/>
        </w:rPr>
        <w:t xml:space="preserve"> passer au chapitre suivant</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avant d’avoir subi avec succès l’épreuve intermédiaire.</w:t>
      </w:r>
    </w:p>
    <w:p w:rsidR="009D0CEE" w:rsidRPr="007A4C24" w:rsidRDefault="00882286" w:rsidP="00882286">
      <w:pPr>
        <w:pStyle w:val="H23G"/>
        <w:rPr>
          <w:lang w:eastAsia="fr-FR"/>
        </w:rPr>
      </w:pPr>
      <w:r>
        <w:rPr>
          <w:lang w:eastAsia="fr-FR"/>
        </w:rPr>
        <w:tab/>
      </w:r>
      <w:r w:rsidR="009D0CEE" w:rsidRPr="007A4C24">
        <w:rPr>
          <w:lang w:eastAsia="fr-FR"/>
        </w:rPr>
        <w:t>4.</w:t>
      </w:r>
      <w:r w:rsidR="009D0CEE" w:rsidRPr="007A4C24">
        <w:rPr>
          <w:lang w:eastAsia="fr-FR"/>
        </w:rPr>
        <w:tab/>
        <w:t>Contenu</w:t>
      </w:r>
    </w:p>
    <w:p w:rsidR="009D0CEE" w:rsidRPr="007A4C24" w:rsidRDefault="009D0CEE" w:rsidP="00882286">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La partie électronique du cours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remplit les conditions suivantes</w:t>
      </w:r>
      <w:r w:rsidR="001E076E">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a)</w:t>
      </w:r>
      <w:r w:rsidR="00882286">
        <w:rPr>
          <w:rFonts w:asciiTheme="majorBidi" w:eastAsia="Times New Roman" w:hAnsiTheme="majorBidi" w:cstheme="majorBidi"/>
          <w:lang w:eastAsia="fr-FR"/>
        </w:rPr>
        <w:tab/>
      </w:r>
      <w:r w:rsidRPr="007A4C24">
        <w:rPr>
          <w:rFonts w:asciiTheme="majorBidi" w:eastAsia="Times New Roman" w:hAnsiTheme="majorBidi" w:cstheme="majorBidi"/>
          <w:lang w:eastAsia="fr-FR"/>
        </w:rPr>
        <w:t>Le matériel didactique est accessible (texte et image) et compréhensible par tous les élèves</w:t>
      </w:r>
      <w:r w:rsidR="00882286">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b)</w:t>
      </w:r>
      <w:r w:rsidR="00882286">
        <w:rPr>
          <w:rFonts w:asciiTheme="majorBidi" w:eastAsia="Times New Roman" w:hAnsiTheme="majorBidi" w:cstheme="majorBidi"/>
          <w:lang w:eastAsia="fr-FR"/>
        </w:rPr>
        <w:tab/>
      </w:r>
      <w:r w:rsidRPr="007A4C24">
        <w:rPr>
          <w:rFonts w:asciiTheme="majorBidi" w:eastAsia="Times New Roman" w:hAnsiTheme="majorBidi" w:cstheme="majorBidi"/>
          <w:lang w:eastAsia="fr-FR"/>
        </w:rPr>
        <w:t>Le matériel didactique est</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conforme au plan de formation</w:t>
      </w:r>
      <w:r w:rsidR="00882286">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c)</w:t>
      </w:r>
      <w:r w:rsidR="00882286">
        <w:rPr>
          <w:rFonts w:asciiTheme="majorBidi" w:eastAsia="Times New Roman" w:hAnsiTheme="majorBidi" w:cstheme="majorBidi"/>
          <w:lang w:eastAsia="fr-FR"/>
        </w:rPr>
        <w:tab/>
      </w:r>
      <w:r w:rsidRPr="007A4C24">
        <w:rPr>
          <w:rFonts w:asciiTheme="majorBidi" w:eastAsia="Times New Roman" w:hAnsiTheme="majorBidi" w:cstheme="majorBidi"/>
          <w:lang w:eastAsia="fr-FR"/>
        </w:rPr>
        <w:t>L’enseignement est structuré de façon à guider les élèves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du début à la fin du module de formation</w:t>
      </w:r>
      <w:r w:rsidR="00882286">
        <w:rPr>
          <w:rFonts w:asciiTheme="majorBidi" w:eastAsia="Times New Roman" w:hAnsiTheme="majorBidi" w:cstheme="majorBidi"/>
          <w:lang w:eastAsia="fr-FR"/>
        </w:rPr>
        <w:t> ;</w:t>
      </w:r>
    </w:p>
    <w:p w:rsidR="009D0CEE" w:rsidRPr="007A4C24" w:rsidRDefault="009D0CEE" w:rsidP="00C96242">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d)</w:t>
      </w:r>
      <w:r w:rsidR="00882286">
        <w:rPr>
          <w:rFonts w:asciiTheme="majorBidi" w:eastAsia="Times New Roman" w:hAnsiTheme="majorBidi" w:cstheme="majorBidi"/>
          <w:lang w:eastAsia="fr-FR"/>
        </w:rPr>
        <w:tab/>
      </w:r>
      <w:r w:rsidRPr="007A4C24">
        <w:rPr>
          <w:rFonts w:asciiTheme="majorBidi" w:eastAsia="Times New Roman" w:hAnsiTheme="majorBidi" w:cstheme="majorBidi"/>
          <w:lang w:eastAsia="fr-FR"/>
        </w:rPr>
        <w:t>La bonne réponse et des explications complémentaires peuvent être affichées si une question posée dans le cadre des épreuves reçoit une réponse erronée.</w:t>
      </w:r>
    </w:p>
    <w:p w:rsidR="009D0CEE" w:rsidRPr="007A4C24" w:rsidRDefault="00882286" w:rsidP="00882286">
      <w:pPr>
        <w:pStyle w:val="H23G"/>
        <w:rPr>
          <w:lang w:eastAsia="fr-FR"/>
        </w:rPr>
      </w:pPr>
      <w:r>
        <w:rPr>
          <w:lang w:eastAsia="fr-FR"/>
        </w:rPr>
        <w:tab/>
      </w:r>
      <w:r w:rsidR="009D0CEE" w:rsidRPr="007A4C24">
        <w:rPr>
          <w:lang w:eastAsia="fr-FR"/>
        </w:rPr>
        <w:t>5.</w:t>
      </w:r>
      <w:r w:rsidR="009D0CEE" w:rsidRPr="007A4C24">
        <w:rPr>
          <w:lang w:eastAsia="fr-FR"/>
        </w:rPr>
        <w:tab/>
        <w:t xml:space="preserve">Fonctions de support dans le cadre de l’apprentissage </w:t>
      </w:r>
    </w:p>
    <w:p w:rsidR="009D0CEE" w:rsidRPr="007A4C24" w:rsidRDefault="009D0CEE" w:rsidP="00882286">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Le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comporte</w:t>
      </w:r>
      <w:r w:rsidR="001E076E">
        <w:rPr>
          <w:rFonts w:asciiTheme="majorBidi" w:eastAsia="Times New Roman" w:hAnsiTheme="majorBidi" w:cstheme="majorBidi"/>
          <w:lang w:eastAsia="fr-FR"/>
        </w:rPr>
        <w:t> :</w:t>
      </w:r>
    </w:p>
    <w:p w:rsidR="009D0CEE" w:rsidRPr="007A4C24" w:rsidRDefault="009D0CEE" w:rsidP="006D4FCF">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a)</w:t>
      </w:r>
      <w:r w:rsidR="006D4FCF">
        <w:rPr>
          <w:rFonts w:asciiTheme="majorBidi" w:eastAsia="Times New Roman" w:hAnsiTheme="majorBidi" w:cstheme="majorBidi"/>
          <w:lang w:eastAsia="fr-FR"/>
        </w:rPr>
        <w:tab/>
      </w:r>
      <w:r w:rsidRPr="007A4C24">
        <w:rPr>
          <w:rFonts w:asciiTheme="majorBidi" w:eastAsia="Times New Roman" w:hAnsiTheme="majorBidi" w:cstheme="majorBidi"/>
          <w:lang w:eastAsia="fr-FR"/>
        </w:rPr>
        <w:t>Un</w:t>
      </w:r>
      <w:r w:rsidRPr="007A4C24">
        <w:rPr>
          <w:rFonts w:eastAsia="Times New Roman"/>
          <w:lang w:eastAsia="fr-FR"/>
        </w:rPr>
        <w:t xml:space="preserve"> </w:t>
      </w:r>
      <w:r w:rsidRPr="007A4C24">
        <w:rPr>
          <w:rFonts w:asciiTheme="majorBidi" w:eastAsia="Times New Roman" w:hAnsiTheme="majorBidi" w:cstheme="majorBidi"/>
          <w:lang w:eastAsia="fr-FR"/>
        </w:rPr>
        <w:t>service d’assistance. Les questions envoyées par les élèves les jours ouvrables reçoivent une réponse dans les 24 heures</w:t>
      </w:r>
      <w:r w:rsidR="006D4FCF">
        <w:rPr>
          <w:rFonts w:asciiTheme="majorBidi" w:eastAsia="Times New Roman" w:hAnsiTheme="majorBidi" w:cstheme="majorBidi"/>
          <w:lang w:eastAsia="fr-FR"/>
        </w:rPr>
        <w:t> ;</w:t>
      </w:r>
    </w:p>
    <w:p w:rsidR="009D0CEE" w:rsidRPr="007A4C24" w:rsidRDefault="009D0CEE" w:rsidP="006D4FCF">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b)</w:t>
      </w:r>
      <w:r w:rsidR="006D4FCF">
        <w:rPr>
          <w:rFonts w:asciiTheme="majorBidi" w:eastAsia="Times New Roman" w:hAnsiTheme="majorBidi" w:cstheme="majorBidi"/>
          <w:lang w:eastAsia="fr-FR"/>
        </w:rPr>
        <w:tab/>
      </w:r>
      <w:r w:rsidRPr="007A4C24">
        <w:rPr>
          <w:rFonts w:asciiTheme="majorBidi" w:eastAsia="Times New Roman" w:hAnsiTheme="majorBidi" w:cstheme="majorBidi"/>
          <w:lang w:eastAsia="fr-FR"/>
        </w:rPr>
        <w:t>Une structure claire et conviviale complétée par des instructions simples, qui permet aux élèves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de naviguer facilement d’un module à un autre</w:t>
      </w:r>
      <w:r w:rsidR="006D4FCF">
        <w:rPr>
          <w:rFonts w:asciiTheme="majorBidi" w:eastAsia="Times New Roman" w:hAnsiTheme="majorBidi" w:cstheme="majorBidi"/>
          <w:lang w:eastAsia="fr-FR"/>
        </w:rPr>
        <w:t> ;</w:t>
      </w:r>
    </w:p>
    <w:p w:rsidR="009D0CEE" w:rsidRPr="007A4C24" w:rsidRDefault="009D0CEE" w:rsidP="006D4FCF">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c)</w:t>
      </w:r>
      <w:r w:rsidR="006D4FCF">
        <w:rPr>
          <w:rFonts w:asciiTheme="majorBidi" w:eastAsia="Times New Roman" w:hAnsiTheme="majorBidi" w:cstheme="majorBidi"/>
          <w:lang w:eastAsia="fr-FR"/>
        </w:rPr>
        <w:tab/>
      </w:r>
      <w:r w:rsidRPr="007A4C24">
        <w:rPr>
          <w:rFonts w:asciiTheme="majorBidi" w:eastAsia="Times New Roman" w:hAnsiTheme="majorBidi" w:cstheme="majorBidi"/>
          <w:lang w:eastAsia="fr-FR"/>
        </w:rPr>
        <w:t>Un aperçu des modules étudiés qui donne aux élèves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un aperçu des enseignements qu’il leur</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reste à suivre</w:t>
      </w:r>
      <w:r w:rsidR="006D4FCF">
        <w:rPr>
          <w:rFonts w:asciiTheme="majorBidi" w:eastAsia="Times New Roman" w:hAnsiTheme="majorBidi" w:cstheme="majorBidi"/>
          <w:lang w:eastAsia="fr-FR"/>
        </w:rPr>
        <w:t> ;</w:t>
      </w:r>
    </w:p>
    <w:p w:rsidR="009D0CEE" w:rsidRPr="007A4C24" w:rsidRDefault="009D0CEE" w:rsidP="006D4FCF">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d)</w:t>
      </w:r>
      <w:r w:rsidR="006D4FCF">
        <w:rPr>
          <w:rFonts w:asciiTheme="majorBidi" w:eastAsia="Times New Roman" w:hAnsiTheme="majorBidi" w:cstheme="majorBidi"/>
          <w:lang w:eastAsia="fr-FR"/>
        </w:rPr>
        <w:tab/>
      </w:r>
      <w:r w:rsidRPr="007A4C24">
        <w:rPr>
          <w:rFonts w:asciiTheme="majorBidi" w:eastAsia="Times New Roman" w:hAnsiTheme="majorBidi" w:cstheme="majorBidi"/>
          <w:lang w:eastAsia="fr-FR"/>
        </w:rPr>
        <w:t>La possibilité pour</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l’élève et le formateur (intervenant à distance) de prendre contact et d’avoir des interactions grâce à un système de suivi. Une telle fonction permet au formateur de suivre les progrès des élèves</w:t>
      </w:r>
      <w:r w:rsidR="006D4FCF">
        <w:rPr>
          <w:rFonts w:asciiTheme="majorBidi" w:eastAsia="Times New Roman" w:hAnsiTheme="majorBidi" w:cstheme="majorBidi"/>
          <w:lang w:eastAsia="fr-FR"/>
        </w:rPr>
        <w:t> ;</w:t>
      </w:r>
    </w:p>
    <w:p w:rsidR="009D0CEE" w:rsidRPr="007A4C24" w:rsidRDefault="009D0CEE" w:rsidP="006D4FCF">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e)</w:t>
      </w:r>
      <w:r w:rsidR="006D4FCF">
        <w:rPr>
          <w:rFonts w:asciiTheme="majorBidi" w:eastAsia="Times New Roman" w:hAnsiTheme="majorBidi" w:cstheme="majorBidi"/>
          <w:lang w:eastAsia="fr-FR"/>
        </w:rPr>
        <w:tab/>
      </w:r>
      <w:r w:rsidRPr="007A4C24">
        <w:rPr>
          <w:rFonts w:asciiTheme="majorBidi" w:eastAsia="Times New Roman" w:hAnsiTheme="majorBidi" w:cstheme="majorBidi"/>
          <w:lang w:eastAsia="fr-FR"/>
        </w:rPr>
        <w:t>Le formateur peut consulter les données relatives au comportement des élèves , notamment</w:t>
      </w:r>
      <w:r w:rsidR="001E076E">
        <w:rPr>
          <w:rFonts w:asciiTheme="majorBidi" w:eastAsia="Times New Roman" w:hAnsiTheme="majorBidi" w:cstheme="majorBidi"/>
          <w:lang w:eastAsia="fr-FR"/>
        </w:rPr>
        <w:t> :</w:t>
      </w:r>
    </w:p>
    <w:p w:rsidR="009D0CEE" w:rsidRPr="007A4C24" w:rsidRDefault="009D0CEE" w:rsidP="006D4FCF">
      <w:pPr>
        <w:pStyle w:val="SingleTxtG"/>
        <w:ind w:left="1701"/>
        <w:rPr>
          <w:lang w:eastAsia="fr-FR"/>
        </w:rPr>
      </w:pPr>
      <w:r w:rsidRPr="007A4C24">
        <w:rPr>
          <w:lang w:eastAsia="fr-FR"/>
        </w:rPr>
        <w:t>i)</w:t>
      </w:r>
      <w:r w:rsidR="006D4FCF">
        <w:rPr>
          <w:lang w:eastAsia="fr-FR"/>
        </w:rPr>
        <w:tab/>
      </w:r>
      <w:r w:rsidRPr="007A4C24">
        <w:rPr>
          <w:lang w:eastAsia="fr-FR"/>
        </w:rPr>
        <w:t>Les heures d’étude (nombre total d’heures et nombre d’heures consacrées à chaque matière), par élève</w:t>
      </w:r>
      <w:r w:rsidR="001E076E">
        <w:rPr>
          <w:lang w:eastAsia="fr-FR"/>
        </w:rPr>
        <w:t xml:space="preserve"> </w:t>
      </w:r>
      <w:r w:rsidRPr="007A4C24">
        <w:rPr>
          <w:lang w:eastAsia="fr-FR"/>
        </w:rPr>
        <w:t>et par groupe d’élèves</w:t>
      </w:r>
      <w:r w:rsidR="00CD0C89">
        <w:rPr>
          <w:lang w:eastAsia="fr-FR"/>
        </w:rPr>
        <w:t> ;</w:t>
      </w:r>
    </w:p>
    <w:p w:rsidR="009D0CEE" w:rsidRPr="007A4C24" w:rsidRDefault="009D0CEE" w:rsidP="006D4FCF">
      <w:pPr>
        <w:pStyle w:val="SingleTxtG"/>
        <w:ind w:left="1701"/>
        <w:rPr>
          <w:lang w:eastAsia="fr-FR"/>
        </w:rPr>
      </w:pPr>
      <w:r w:rsidRPr="007A4C24">
        <w:rPr>
          <w:lang w:eastAsia="fr-FR"/>
        </w:rPr>
        <w:t>ii)</w:t>
      </w:r>
      <w:r w:rsidR="006D4FCF">
        <w:rPr>
          <w:lang w:eastAsia="fr-FR"/>
        </w:rPr>
        <w:tab/>
      </w:r>
      <w:r w:rsidRPr="007A4C24">
        <w:rPr>
          <w:lang w:eastAsia="fr-FR"/>
        </w:rPr>
        <w:t>Les questions auxquelles il a été répondu, par élève</w:t>
      </w:r>
      <w:r w:rsidR="00CD0C89">
        <w:rPr>
          <w:lang w:eastAsia="fr-FR"/>
        </w:rPr>
        <w:t> ;</w:t>
      </w:r>
    </w:p>
    <w:p w:rsidR="009D0CEE" w:rsidRPr="007A4C24" w:rsidRDefault="009D0CEE" w:rsidP="006D4FCF">
      <w:pPr>
        <w:pStyle w:val="SingleTxtG"/>
        <w:ind w:left="1701"/>
        <w:rPr>
          <w:lang w:eastAsia="fr-FR"/>
        </w:rPr>
      </w:pPr>
      <w:r w:rsidRPr="007A4C24">
        <w:rPr>
          <w:lang w:eastAsia="fr-FR"/>
        </w:rPr>
        <w:t>iii)</w:t>
      </w:r>
      <w:r w:rsidR="006D4FCF">
        <w:rPr>
          <w:lang w:eastAsia="fr-FR"/>
        </w:rPr>
        <w:tab/>
      </w:r>
      <w:r w:rsidRPr="007A4C24">
        <w:rPr>
          <w:lang w:eastAsia="fr-FR"/>
        </w:rPr>
        <w:t>Les questions auxquelles il a été répondu, par groupe d’élèves</w:t>
      </w:r>
      <w:r w:rsidR="00CD0C89">
        <w:rPr>
          <w:lang w:eastAsia="fr-FR"/>
        </w:rPr>
        <w:t> ;</w:t>
      </w:r>
    </w:p>
    <w:p w:rsidR="009D0CEE" w:rsidRPr="007A4C24" w:rsidRDefault="009D0CEE" w:rsidP="006D4FCF">
      <w:pPr>
        <w:pStyle w:val="SingleTxtG"/>
        <w:ind w:left="1701"/>
        <w:rPr>
          <w:lang w:eastAsia="fr-FR"/>
        </w:rPr>
      </w:pPr>
      <w:r w:rsidRPr="007A4C24">
        <w:rPr>
          <w:lang w:eastAsia="fr-FR"/>
        </w:rPr>
        <w:t>iv)</w:t>
      </w:r>
      <w:r w:rsidR="006D4FCF">
        <w:rPr>
          <w:lang w:eastAsia="fr-FR"/>
        </w:rPr>
        <w:tab/>
      </w:r>
      <w:r w:rsidRPr="007A4C24">
        <w:rPr>
          <w:lang w:eastAsia="fr-FR"/>
        </w:rPr>
        <w:t>Les modules inachevés.</w:t>
      </w:r>
    </w:p>
    <w:p w:rsidR="009D0CEE" w:rsidRPr="007A4C24" w:rsidRDefault="00E2341F" w:rsidP="00E2341F">
      <w:pPr>
        <w:pStyle w:val="H23G"/>
        <w:rPr>
          <w:lang w:eastAsia="fr-FR"/>
        </w:rPr>
      </w:pPr>
      <w:r>
        <w:rPr>
          <w:lang w:eastAsia="fr-FR"/>
        </w:rPr>
        <w:tab/>
      </w:r>
      <w:r w:rsidR="009D0CEE" w:rsidRPr="007A4C24">
        <w:rPr>
          <w:lang w:eastAsia="fr-FR"/>
        </w:rPr>
        <w:t>6.</w:t>
      </w:r>
      <w:r w:rsidR="009D0CEE" w:rsidRPr="007A4C24">
        <w:rPr>
          <w:lang w:eastAsia="fr-FR"/>
        </w:rPr>
        <w:tab/>
        <w:t xml:space="preserve">Mesures de sécurité </w:t>
      </w:r>
    </w:p>
    <w:p w:rsidR="009D0CEE" w:rsidRPr="007A4C24" w:rsidRDefault="009D0CEE" w:rsidP="00E2341F">
      <w:pPr>
        <w:pStyle w:val="SingleTxtG"/>
        <w:ind w:firstLine="567"/>
        <w:rPr>
          <w:lang w:eastAsia="fr-FR"/>
        </w:rPr>
      </w:pPr>
      <w:r w:rsidRPr="007A4C24">
        <w:rPr>
          <w:lang w:eastAsia="fr-FR"/>
        </w:rPr>
        <w:t>Afin d’en assurer l’utilisation</w:t>
      </w:r>
      <w:r w:rsidR="001E076E">
        <w:rPr>
          <w:lang w:eastAsia="fr-FR"/>
        </w:rPr>
        <w:t xml:space="preserve"> </w:t>
      </w:r>
      <w:r w:rsidRPr="007A4C24">
        <w:rPr>
          <w:lang w:eastAsia="fr-FR"/>
        </w:rPr>
        <w:t>adéquate, le système d’apprentissage</w:t>
      </w:r>
      <w:r w:rsidR="001E076E">
        <w:rPr>
          <w:lang w:eastAsia="fr-FR"/>
        </w:rPr>
        <w:t xml:space="preserve"> </w:t>
      </w:r>
      <w:r w:rsidRPr="007A4C24">
        <w:rPr>
          <w:lang w:eastAsia="fr-FR"/>
        </w:rPr>
        <w:t xml:space="preserve">électronique est doté des </w:t>
      </w:r>
      <w:r w:rsidRPr="00E2341F">
        <w:rPr>
          <w:rFonts w:asciiTheme="majorBidi" w:eastAsia="Times New Roman" w:hAnsiTheme="majorBidi" w:cstheme="majorBidi"/>
          <w:lang w:eastAsia="fr-FR"/>
        </w:rPr>
        <w:t>fonctions</w:t>
      </w:r>
      <w:r w:rsidRPr="007A4C24">
        <w:rPr>
          <w:lang w:eastAsia="fr-FR"/>
        </w:rPr>
        <w:t xml:space="preserve"> suivantes</w:t>
      </w:r>
      <w:r w:rsidR="001E076E">
        <w:rPr>
          <w:lang w:eastAsia="fr-FR"/>
        </w:rPr>
        <w:t> :</w:t>
      </w:r>
    </w:p>
    <w:p w:rsidR="009D0CEE" w:rsidRPr="007A4C24" w:rsidRDefault="009D0CEE" w:rsidP="00E2341F">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a)</w:t>
      </w:r>
      <w:r w:rsidR="00E2341F">
        <w:rPr>
          <w:rFonts w:asciiTheme="majorBidi" w:eastAsia="Times New Roman" w:hAnsiTheme="majorBidi" w:cstheme="majorBidi"/>
          <w:lang w:eastAsia="fr-FR"/>
        </w:rPr>
        <w:tab/>
      </w:r>
      <w:r w:rsidRPr="007A4C24">
        <w:rPr>
          <w:rFonts w:asciiTheme="majorBidi" w:eastAsia="Times New Roman" w:hAnsiTheme="majorBidi" w:cstheme="majorBidi"/>
          <w:lang w:eastAsia="fr-FR"/>
        </w:rPr>
        <w:t>Chaque élève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se connecte au système d’apprentissage en ligne au moyen d’informations personnalisées (code de connexion ou nom d’utilisateur et mot de passe).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Ces informations de connexion</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lui sont propres</w:t>
      </w:r>
      <w:r w:rsidR="00E2341F">
        <w:rPr>
          <w:rFonts w:asciiTheme="majorBidi" w:eastAsia="Times New Roman" w:hAnsiTheme="majorBidi" w:cstheme="majorBidi"/>
          <w:lang w:eastAsia="fr-FR"/>
        </w:rPr>
        <w:t> ;</w:t>
      </w:r>
    </w:p>
    <w:p w:rsidR="009D0CEE" w:rsidRPr="007A4C24" w:rsidRDefault="009D0CEE" w:rsidP="00E2341F">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b)</w:t>
      </w:r>
      <w:r w:rsidR="00E2341F">
        <w:rPr>
          <w:rFonts w:asciiTheme="majorBidi" w:eastAsia="Times New Roman" w:hAnsiTheme="majorBidi" w:cstheme="majorBidi"/>
          <w:lang w:eastAsia="fr-FR"/>
        </w:rPr>
        <w:tab/>
      </w:r>
      <w:r w:rsidRPr="007A4C24">
        <w:rPr>
          <w:rFonts w:asciiTheme="majorBidi" w:eastAsia="Times New Roman" w:hAnsiTheme="majorBidi" w:cstheme="majorBidi"/>
          <w:lang w:eastAsia="fr-FR"/>
        </w:rPr>
        <w:t>Un seul compte peut être actif/connecté sur un appareil donné (la connexion simultanée de plusieurs comptes sur le même appareil n’est pas possible)</w:t>
      </w:r>
      <w:r w:rsidR="00E2341F">
        <w:rPr>
          <w:rFonts w:asciiTheme="majorBidi" w:eastAsia="Times New Roman" w:hAnsiTheme="majorBidi" w:cstheme="majorBidi"/>
          <w:lang w:eastAsia="fr-FR"/>
        </w:rPr>
        <w:t> ;</w:t>
      </w:r>
    </w:p>
    <w:p w:rsidR="009D0CEE" w:rsidRPr="007A4C24" w:rsidRDefault="009D0CEE" w:rsidP="00E2341F">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c)</w:t>
      </w:r>
      <w:r w:rsidR="00E2341F">
        <w:rPr>
          <w:rFonts w:asciiTheme="majorBidi" w:eastAsia="Times New Roman" w:hAnsiTheme="majorBidi" w:cstheme="majorBidi"/>
          <w:lang w:eastAsia="fr-FR"/>
        </w:rPr>
        <w:tab/>
      </w:r>
      <w:r w:rsidRPr="007A4C24">
        <w:rPr>
          <w:rFonts w:asciiTheme="majorBidi" w:eastAsia="Times New Roman" w:hAnsiTheme="majorBidi" w:cstheme="majorBidi"/>
          <w:lang w:eastAsia="fr-FR"/>
        </w:rPr>
        <w:t>Le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met les élèves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en contact avec un formateur agréé et leur donne accès à un cours de recyclage certifié</w:t>
      </w:r>
      <w:r w:rsidR="00E2341F">
        <w:rPr>
          <w:rFonts w:asciiTheme="majorBidi" w:eastAsia="Times New Roman" w:hAnsiTheme="majorBidi" w:cstheme="majorBidi"/>
          <w:lang w:eastAsia="fr-FR"/>
        </w:rPr>
        <w:t> ;</w:t>
      </w:r>
    </w:p>
    <w:p w:rsidR="00AB2317" w:rsidRDefault="009D0CEE" w:rsidP="00AB2317">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d)</w:t>
      </w:r>
      <w:r w:rsidR="00E2341F">
        <w:rPr>
          <w:rFonts w:asciiTheme="majorBidi" w:eastAsia="Times New Roman" w:hAnsiTheme="majorBidi" w:cstheme="majorBidi"/>
          <w:lang w:eastAsia="fr-FR"/>
        </w:rPr>
        <w:tab/>
      </w:r>
      <w:r w:rsidRPr="007A4C24">
        <w:rPr>
          <w:rFonts w:asciiTheme="majorBidi" w:eastAsia="Times New Roman" w:hAnsiTheme="majorBidi" w:cstheme="majorBidi"/>
          <w:lang w:eastAsia="fr-FR"/>
        </w:rPr>
        <w:t>Le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définit le délai dans lequel chaque module doit être achevé. Passé ce délai,</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l’élève ne peut plus accéder au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w:t>
      </w:r>
      <w:r w:rsidR="00AB2317">
        <w:rPr>
          <w:rFonts w:asciiTheme="majorBidi" w:eastAsia="Times New Roman" w:hAnsiTheme="majorBidi" w:cstheme="majorBidi"/>
          <w:lang w:eastAsia="fr-FR"/>
        </w:rPr>
        <w:t xml:space="preserve"> ; </w:t>
      </w:r>
    </w:p>
    <w:p w:rsidR="009D0CEE" w:rsidRPr="007A4C24" w:rsidRDefault="009D0CEE" w:rsidP="00624220">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lastRenderedPageBreak/>
        <w:t>e)</w:t>
      </w:r>
      <w:r w:rsidR="00624220">
        <w:rPr>
          <w:rFonts w:asciiTheme="majorBidi" w:eastAsia="Times New Roman" w:hAnsiTheme="majorBidi" w:cstheme="majorBidi"/>
          <w:lang w:eastAsia="fr-FR"/>
        </w:rPr>
        <w:tab/>
      </w:r>
      <w:r w:rsidRPr="007A4C24">
        <w:rPr>
          <w:rFonts w:asciiTheme="majorBidi" w:eastAsia="Times New Roman" w:hAnsiTheme="majorBidi" w:cstheme="majorBidi"/>
          <w:lang w:eastAsia="fr-FR"/>
        </w:rPr>
        <w:t>Les élèves (voir également la section 8, intitulée «</w:t>
      </w:r>
      <w:r w:rsidR="00624220">
        <w:rPr>
          <w:rFonts w:asciiTheme="majorBidi" w:eastAsia="Times New Roman" w:hAnsiTheme="majorBidi" w:cstheme="majorBidi"/>
          <w:lang w:eastAsia="fr-FR"/>
        </w:rPr>
        <w:t> </w:t>
      </w:r>
      <w:r w:rsidRPr="007A4C24">
        <w:rPr>
          <w:rFonts w:asciiTheme="majorBidi" w:eastAsia="Times New Roman" w:hAnsiTheme="majorBidi" w:cstheme="majorBidi"/>
          <w:lang w:eastAsia="fr-FR"/>
        </w:rPr>
        <w:t>Communication de données</w:t>
      </w:r>
      <w:r w:rsidR="00624220">
        <w:rPr>
          <w:rFonts w:asciiTheme="majorBidi" w:eastAsia="Times New Roman" w:hAnsiTheme="majorBidi" w:cstheme="majorBidi"/>
          <w:lang w:eastAsia="fr-FR"/>
        </w:rPr>
        <w:t> </w:t>
      </w:r>
      <w:r w:rsidRPr="007A4C24">
        <w:rPr>
          <w:rFonts w:asciiTheme="majorBidi" w:eastAsia="Times New Roman" w:hAnsiTheme="majorBidi" w:cstheme="majorBidi"/>
          <w:lang w:eastAsia="fr-FR"/>
        </w:rPr>
        <w:t>») doivent</w:t>
      </w:r>
      <w:r w:rsidR="001E076E">
        <w:rPr>
          <w:rFonts w:asciiTheme="majorBidi" w:eastAsia="Times New Roman" w:hAnsiTheme="majorBidi" w:cstheme="majorBidi"/>
          <w:lang w:eastAsia="fr-FR"/>
        </w:rPr>
        <w:t> :</w:t>
      </w:r>
    </w:p>
    <w:p w:rsidR="009D0CEE" w:rsidRPr="007A4C24" w:rsidRDefault="009D0CEE" w:rsidP="00624220">
      <w:pPr>
        <w:pStyle w:val="SingleTxtG"/>
        <w:ind w:left="1701"/>
        <w:rPr>
          <w:rFonts w:asciiTheme="majorBidi" w:eastAsia="Times New Roman" w:hAnsiTheme="majorBidi" w:cstheme="majorBidi"/>
          <w:lang w:eastAsia="fr-FR"/>
        </w:rPr>
      </w:pPr>
      <w:r w:rsidRPr="007A4C24">
        <w:rPr>
          <w:rFonts w:asciiTheme="majorBidi" w:eastAsia="Times New Roman" w:hAnsiTheme="majorBidi" w:cstheme="majorBidi"/>
          <w:lang w:eastAsia="fr-FR"/>
        </w:rPr>
        <w:t xml:space="preserve">i) </w:t>
      </w:r>
      <w:r w:rsidRPr="007A4C24">
        <w:rPr>
          <w:rFonts w:asciiTheme="majorBidi" w:eastAsia="Times New Roman" w:hAnsiTheme="majorBidi" w:cstheme="majorBidi"/>
          <w:lang w:eastAsia="fr-FR"/>
        </w:rPr>
        <w:tab/>
        <w:t>Se connecter et se déconnecter</w:t>
      </w:r>
      <w:r w:rsidR="00624220">
        <w:rPr>
          <w:rFonts w:asciiTheme="majorBidi" w:eastAsia="Times New Roman" w:hAnsiTheme="majorBidi" w:cstheme="majorBidi"/>
          <w:lang w:eastAsia="fr-FR"/>
        </w:rPr>
        <w:t> ;</w:t>
      </w:r>
    </w:p>
    <w:p w:rsidR="009D0CEE" w:rsidRPr="007A4C24" w:rsidRDefault="009D0CEE" w:rsidP="00624220">
      <w:pPr>
        <w:pStyle w:val="SingleTxtG"/>
        <w:ind w:left="1701"/>
        <w:rPr>
          <w:rFonts w:asciiTheme="majorBidi" w:eastAsia="Times New Roman" w:hAnsiTheme="majorBidi" w:cstheme="majorBidi"/>
          <w:lang w:eastAsia="fr-FR"/>
        </w:rPr>
      </w:pPr>
      <w:r w:rsidRPr="007A4C24">
        <w:rPr>
          <w:rFonts w:asciiTheme="majorBidi" w:eastAsia="Times New Roman" w:hAnsiTheme="majorBidi" w:cstheme="majorBidi"/>
          <w:lang w:eastAsia="fr-FR"/>
        </w:rPr>
        <w:t xml:space="preserve">ii) </w:t>
      </w:r>
      <w:r w:rsidRPr="007A4C24">
        <w:rPr>
          <w:rFonts w:asciiTheme="majorBidi" w:eastAsia="Times New Roman" w:hAnsiTheme="majorBidi" w:cstheme="majorBidi"/>
          <w:lang w:eastAsia="fr-FR"/>
        </w:rPr>
        <w:tab/>
        <w:t xml:space="preserve">Rester actifs </w:t>
      </w:r>
      <w:r w:rsidR="00624220">
        <w:rPr>
          <w:rFonts w:asciiTheme="majorBidi" w:eastAsia="Times New Roman" w:hAnsiTheme="majorBidi" w:cstheme="majorBidi"/>
          <w:lang w:eastAsia="fr-FR"/>
        </w:rPr>
        <w:t>−</w:t>
      </w:r>
      <w:r w:rsidRPr="007A4C24">
        <w:rPr>
          <w:rFonts w:asciiTheme="majorBidi" w:eastAsia="Times New Roman" w:hAnsiTheme="majorBidi" w:cstheme="majorBidi"/>
          <w:lang w:eastAsia="fr-FR"/>
        </w:rPr>
        <w:t xml:space="preserve"> toute période continue d’inaction d’une durée supérieure ou égale à 15</w:t>
      </w:r>
      <w:r w:rsidR="00624220">
        <w:rPr>
          <w:rFonts w:asciiTheme="majorBidi" w:eastAsia="Times New Roman" w:hAnsiTheme="majorBidi" w:cstheme="majorBidi"/>
          <w:lang w:eastAsia="fr-FR"/>
        </w:rPr>
        <w:t> </w:t>
      </w:r>
      <w:r w:rsidRPr="007A4C24">
        <w:rPr>
          <w:rFonts w:asciiTheme="majorBidi" w:eastAsia="Times New Roman" w:hAnsiTheme="majorBidi" w:cstheme="majorBidi"/>
          <w:lang w:eastAsia="fr-FR"/>
        </w:rPr>
        <w:t>minutes entraîne l’arrêt momentané du système d’apprentissage en ligne.</w:t>
      </w:r>
    </w:p>
    <w:p w:rsidR="009D0CEE" w:rsidRPr="007A4C24" w:rsidRDefault="00624220" w:rsidP="00624220">
      <w:pPr>
        <w:pStyle w:val="H23G"/>
        <w:rPr>
          <w:lang w:eastAsia="fr-FR"/>
        </w:rPr>
      </w:pPr>
      <w:r>
        <w:rPr>
          <w:lang w:eastAsia="fr-FR"/>
        </w:rPr>
        <w:tab/>
      </w:r>
      <w:r w:rsidR="009D0CEE" w:rsidRPr="007A4C24">
        <w:rPr>
          <w:lang w:eastAsia="fr-FR"/>
        </w:rPr>
        <w:t>7.</w:t>
      </w:r>
      <w:r w:rsidR="009D0CEE" w:rsidRPr="007A4C24">
        <w:rPr>
          <w:lang w:eastAsia="fr-FR"/>
        </w:rPr>
        <w:tab/>
        <w:t>Responsabilités</w:t>
      </w:r>
    </w:p>
    <w:p w:rsidR="009D0CEE" w:rsidRPr="007A4C24" w:rsidRDefault="009D0CEE" w:rsidP="00624220">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Le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doit respecter les obligations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du règlement général sur la protection des données.</w:t>
      </w:r>
    </w:p>
    <w:p w:rsidR="009D0CEE" w:rsidRPr="007A4C24" w:rsidRDefault="009D0CEE" w:rsidP="00624220">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Le fournisseur du système d’apprentissage en ligne garantit les conditions suivantes</w:t>
      </w:r>
      <w:r w:rsidR="001E076E">
        <w:rPr>
          <w:rFonts w:asciiTheme="majorBidi" w:eastAsia="Times New Roman" w:hAnsiTheme="majorBidi" w:cstheme="majorBidi"/>
          <w:lang w:eastAsia="fr-FR"/>
        </w:rPr>
        <w:t> :</w:t>
      </w:r>
    </w:p>
    <w:p w:rsidR="009D0CEE" w:rsidRPr="007A4C24" w:rsidRDefault="009D0CEE" w:rsidP="00624220">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a)</w:t>
      </w:r>
      <w:r w:rsidR="00624220">
        <w:rPr>
          <w:rFonts w:asciiTheme="majorBidi" w:eastAsia="Times New Roman" w:hAnsiTheme="majorBidi" w:cstheme="majorBidi"/>
          <w:lang w:eastAsia="fr-FR"/>
        </w:rPr>
        <w:tab/>
      </w:r>
      <w:r w:rsidRPr="007A4C24">
        <w:rPr>
          <w:rFonts w:asciiTheme="majorBidi" w:eastAsia="Times New Roman" w:hAnsiTheme="majorBidi" w:cstheme="majorBidi"/>
          <w:lang w:eastAsia="fr-FR"/>
        </w:rPr>
        <w:t>Le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est opérationnel 24 heures sur 24</w:t>
      </w:r>
      <w:r w:rsidR="00624220">
        <w:rPr>
          <w:rFonts w:asciiTheme="majorBidi" w:eastAsia="Times New Roman" w:hAnsiTheme="majorBidi" w:cstheme="majorBidi"/>
          <w:lang w:eastAsia="fr-FR"/>
        </w:rPr>
        <w:t> ;</w:t>
      </w:r>
    </w:p>
    <w:p w:rsidR="009D0CEE" w:rsidRPr="007A4C24" w:rsidRDefault="009D0CEE" w:rsidP="00624220">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b)</w:t>
      </w:r>
      <w:r w:rsidR="00624220">
        <w:rPr>
          <w:rFonts w:asciiTheme="majorBidi" w:eastAsia="Times New Roman" w:hAnsiTheme="majorBidi" w:cstheme="majorBidi"/>
          <w:lang w:eastAsia="fr-FR"/>
        </w:rPr>
        <w:tab/>
      </w:r>
      <w:r w:rsidRPr="007A4C24">
        <w:rPr>
          <w:rFonts w:asciiTheme="majorBidi" w:eastAsia="Times New Roman" w:hAnsiTheme="majorBidi" w:cstheme="majorBidi"/>
          <w:lang w:eastAsia="fr-FR"/>
        </w:rPr>
        <w:t>Le système d’apprentissage à médiation électronique est disponible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99 % du temps</w:t>
      </w:r>
      <w:r w:rsidR="00624220">
        <w:rPr>
          <w:rFonts w:asciiTheme="majorBidi" w:eastAsia="Times New Roman" w:hAnsiTheme="majorBidi" w:cstheme="majorBidi"/>
          <w:lang w:eastAsia="fr-FR"/>
        </w:rPr>
        <w:t> ;</w:t>
      </w:r>
    </w:p>
    <w:p w:rsidR="009D0CEE" w:rsidRPr="007A4C24" w:rsidRDefault="009D0CEE" w:rsidP="00624220">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c)</w:t>
      </w:r>
      <w:r w:rsidR="00624220">
        <w:rPr>
          <w:rFonts w:asciiTheme="majorBidi" w:eastAsia="Times New Roman" w:hAnsiTheme="majorBidi" w:cstheme="majorBidi"/>
          <w:lang w:eastAsia="fr-FR"/>
        </w:rPr>
        <w:tab/>
      </w:r>
      <w:r w:rsidRPr="007A4C24">
        <w:rPr>
          <w:rFonts w:asciiTheme="majorBidi" w:eastAsia="Times New Roman" w:hAnsiTheme="majorBidi" w:cstheme="majorBidi"/>
          <w:lang w:eastAsia="fr-FR"/>
        </w:rPr>
        <w:t>Lorsque le système n’est pas disponible en raison d’opérations de maintenance, les usagers en sont informés en temps voulu, par des messages clairs</w:t>
      </w:r>
      <w:r w:rsidR="00624220">
        <w:rPr>
          <w:rFonts w:asciiTheme="majorBidi" w:eastAsia="Times New Roman" w:hAnsiTheme="majorBidi" w:cstheme="majorBidi"/>
          <w:lang w:eastAsia="fr-FR"/>
        </w:rPr>
        <w:t> ;</w:t>
      </w:r>
    </w:p>
    <w:p w:rsidR="009D0CEE" w:rsidRPr="007A4C24" w:rsidRDefault="009D0CEE" w:rsidP="00624220">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d)</w:t>
      </w:r>
      <w:r w:rsidR="00624220">
        <w:rPr>
          <w:rFonts w:asciiTheme="majorBidi" w:eastAsia="Times New Roman" w:hAnsiTheme="majorBidi" w:cstheme="majorBidi"/>
          <w:lang w:eastAsia="fr-FR"/>
        </w:rPr>
        <w:tab/>
      </w:r>
      <w:r w:rsidRPr="007A4C24">
        <w:rPr>
          <w:rFonts w:asciiTheme="majorBidi" w:eastAsia="Times New Roman" w:hAnsiTheme="majorBidi" w:cstheme="majorBidi"/>
          <w:lang w:eastAsia="fr-FR"/>
        </w:rPr>
        <w:t>Les mises à jour du système n’ont pas d’incidences négatives sur les données enregistrées ni sur les opérations déjà accomplies par les élèves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pendant la formation.</w:t>
      </w:r>
    </w:p>
    <w:p w:rsidR="009D0CEE" w:rsidRPr="007A4C24" w:rsidRDefault="009D0CEE" w:rsidP="00624220">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Le formateur qui utilise l’apprentissage électronique pour</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la formation continue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veille à ce que</w:t>
      </w:r>
      <w:r w:rsidR="001E076E">
        <w:rPr>
          <w:rFonts w:asciiTheme="majorBidi" w:eastAsia="Times New Roman" w:hAnsiTheme="majorBidi" w:cstheme="majorBidi"/>
          <w:lang w:eastAsia="fr-FR"/>
        </w:rPr>
        <w:t> :</w:t>
      </w:r>
    </w:p>
    <w:p w:rsidR="009D0CEE" w:rsidRPr="007A4C24" w:rsidRDefault="009D0CEE" w:rsidP="00624220">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e)</w:t>
      </w:r>
      <w:r w:rsidR="00624220">
        <w:rPr>
          <w:rFonts w:asciiTheme="majorBidi" w:eastAsia="Times New Roman" w:hAnsiTheme="majorBidi" w:cstheme="majorBidi"/>
          <w:lang w:eastAsia="fr-FR"/>
        </w:rPr>
        <w:tab/>
      </w:r>
      <w:r w:rsidRPr="007A4C24">
        <w:rPr>
          <w:rFonts w:asciiTheme="majorBidi" w:eastAsia="Times New Roman" w:hAnsiTheme="majorBidi" w:cstheme="majorBidi"/>
          <w:lang w:eastAsia="fr-FR"/>
        </w:rPr>
        <w:t>Seuls les élèves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ayant achevé avec succès la partie électronique de la formation de recyclage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puissent commencer la partie dispensée sous forme de formation en classe et</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pratique</w:t>
      </w:r>
      <w:r w:rsidR="001F2AF9">
        <w:rPr>
          <w:rFonts w:asciiTheme="majorBidi" w:eastAsia="Times New Roman" w:hAnsiTheme="majorBidi" w:cstheme="majorBidi"/>
          <w:lang w:eastAsia="fr-FR"/>
        </w:rPr>
        <w:t> ;</w:t>
      </w:r>
    </w:p>
    <w:p w:rsidR="009D0CEE" w:rsidRPr="007A4C24" w:rsidRDefault="009D0CEE" w:rsidP="001F2AF9">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f)</w:t>
      </w:r>
      <w:r w:rsidR="00624220">
        <w:rPr>
          <w:rFonts w:asciiTheme="majorBidi" w:eastAsia="Times New Roman" w:hAnsiTheme="majorBidi" w:cstheme="majorBidi"/>
          <w:lang w:eastAsia="fr-FR"/>
        </w:rPr>
        <w:tab/>
      </w:r>
      <w:r w:rsidRPr="007A4C24">
        <w:rPr>
          <w:rFonts w:asciiTheme="majorBidi" w:eastAsia="Times New Roman" w:hAnsiTheme="majorBidi" w:cstheme="majorBidi"/>
          <w:lang w:eastAsia="fr-FR"/>
        </w:rPr>
        <w:t>Pendant la formation en classe et pratique, une série de données relative à chaque groupe d’élèves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est disponible</w:t>
      </w:r>
      <w:r w:rsidR="001E076E">
        <w:rPr>
          <w:rFonts w:asciiTheme="majorBidi" w:eastAsia="Times New Roman" w:hAnsiTheme="majorBidi" w:cstheme="majorBidi"/>
          <w:lang w:eastAsia="fr-FR"/>
        </w:rPr>
        <w:t> ;</w:t>
      </w:r>
      <w:r w:rsidRPr="007A4C24">
        <w:rPr>
          <w:rFonts w:asciiTheme="majorBidi" w:eastAsia="Times New Roman" w:hAnsiTheme="majorBidi" w:cstheme="majorBidi"/>
          <w:lang w:eastAsia="fr-FR"/>
        </w:rPr>
        <w:t xml:space="preserve"> elle contient les données suivantes</w:t>
      </w:r>
      <w:r w:rsidR="001E076E">
        <w:rPr>
          <w:rFonts w:asciiTheme="majorBidi" w:eastAsia="Times New Roman" w:hAnsiTheme="majorBidi" w:cstheme="majorBidi"/>
          <w:lang w:eastAsia="fr-FR"/>
        </w:rPr>
        <w:t> :</w:t>
      </w:r>
    </w:p>
    <w:p w:rsidR="009D0CEE" w:rsidRPr="007A4C24" w:rsidRDefault="009D0CEE" w:rsidP="001F2AF9">
      <w:pPr>
        <w:pStyle w:val="SingleTxtG"/>
        <w:ind w:left="1701"/>
        <w:rPr>
          <w:rFonts w:asciiTheme="majorBidi" w:eastAsia="Times New Roman" w:hAnsiTheme="majorBidi" w:cstheme="majorBidi"/>
          <w:lang w:eastAsia="fr-FR"/>
        </w:rPr>
      </w:pPr>
      <w:r w:rsidRPr="007A4C24">
        <w:rPr>
          <w:rFonts w:asciiTheme="majorBidi" w:eastAsia="Times New Roman" w:hAnsiTheme="majorBidi" w:cstheme="majorBidi"/>
          <w:lang w:eastAsia="fr-FR"/>
        </w:rPr>
        <w:t>i)</w:t>
      </w:r>
      <w:r w:rsidR="001F2AF9">
        <w:rPr>
          <w:rFonts w:asciiTheme="majorBidi" w:eastAsia="Times New Roman" w:hAnsiTheme="majorBidi" w:cstheme="majorBidi"/>
          <w:lang w:eastAsia="fr-FR"/>
        </w:rPr>
        <w:tab/>
      </w:r>
      <w:r w:rsidRPr="007A4C24">
        <w:rPr>
          <w:rFonts w:asciiTheme="majorBidi" w:eastAsia="Times New Roman" w:hAnsiTheme="majorBidi" w:cstheme="majorBidi"/>
          <w:lang w:eastAsia="fr-FR"/>
        </w:rPr>
        <w:t>Le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nom de l’établissement de formation et le numéro d’enregistrement de l’autorité compétente</w:t>
      </w:r>
      <w:r w:rsidR="001F2AF9">
        <w:rPr>
          <w:rFonts w:asciiTheme="majorBidi" w:eastAsia="Times New Roman" w:hAnsiTheme="majorBidi" w:cstheme="majorBidi"/>
          <w:lang w:eastAsia="fr-FR"/>
        </w:rPr>
        <w:t> ;</w:t>
      </w:r>
    </w:p>
    <w:p w:rsidR="009D0CEE" w:rsidRPr="007A4C24" w:rsidRDefault="009D0CEE" w:rsidP="001F2AF9">
      <w:pPr>
        <w:pStyle w:val="SingleTxtG"/>
        <w:ind w:left="1701"/>
        <w:rPr>
          <w:rFonts w:asciiTheme="majorBidi" w:eastAsia="Times New Roman" w:hAnsiTheme="majorBidi" w:cstheme="majorBidi"/>
          <w:lang w:eastAsia="fr-FR"/>
        </w:rPr>
      </w:pPr>
      <w:r w:rsidRPr="007A4C24">
        <w:rPr>
          <w:rFonts w:asciiTheme="majorBidi" w:eastAsia="Times New Roman" w:hAnsiTheme="majorBidi" w:cstheme="majorBidi"/>
          <w:lang w:eastAsia="fr-FR"/>
        </w:rPr>
        <w:t>ii)</w:t>
      </w:r>
      <w:r w:rsidR="001F2AF9">
        <w:rPr>
          <w:rFonts w:asciiTheme="majorBidi" w:eastAsia="Times New Roman" w:hAnsiTheme="majorBidi" w:cstheme="majorBidi"/>
          <w:lang w:eastAsia="fr-FR"/>
        </w:rPr>
        <w:tab/>
      </w:r>
      <w:r w:rsidRPr="007A4C24">
        <w:rPr>
          <w:rFonts w:asciiTheme="majorBidi" w:eastAsia="Times New Roman" w:hAnsiTheme="majorBidi" w:cstheme="majorBidi"/>
          <w:lang w:eastAsia="fr-FR"/>
        </w:rPr>
        <w:t>Le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nom du propriétaire du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w:t>
      </w:r>
      <w:r w:rsidR="001F2AF9">
        <w:rPr>
          <w:rFonts w:asciiTheme="majorBidi" w:eastAsia="Times New Roman" w:hAnsiTheme="majorBidi" w:cstheme="majorBidi"/>
          <w:lang w:eastAsia="fr-FR"/>
        </w:rPr>
        <w:t> ;</w:t>
      </w:r>
    </w:p>
    <w:p w:rsidR="009D0CEE" w:rsidRPr="007A4C24" w:rsidRDefault="009D0CEE" w:rsidP="001F2AF9">
      <w:pPr>
        <w:pStyle w:val="SingleTxtG"/>
        <w:ind w:left="1701"/>
        <w:rPr>
          <w:rFonts w:asciiTheme="majorBidi" w:eastAsia="Times New Roman" w:hAnsiTheme="majorBidi" w:cstheme="majorBidi"/>
          <w:lang w:eastAsia="fr-FR"/>
        </w:rPr>
      </w:pPr>
      <w:r w:rsidRPr="007A4C24">
        <w:rPr>
          <w:rFonts w:asciiTheme="majorBidi" w:eastAsia="Times New Roman" w:hAnsiTheme="majorBidi" w:cstheme="majorBidi"/>
          <w:lang w:eastAsia="fr-FR"/>
        </w:rPr>
        <w:t>iii)</w:t>
      </w:r>
      <w:r w:rsidR="001F2AF9">
        <w:rPr>
          <w:rFonts w:asciiTheme="majorBidi" w:eastAsia="Times New Roman" w:hAnsiTheme="majorBidi" w:cstheme="majorBidi"/>
          <w:lang w:eastAsia="fr-FR"/>
        </w:rPr>
        <w:tab/>
      </w:r>
      <w:r w:rsidRPr="007A4C24">
        <w:rPr>
          <w:rFonts w:asciiTheme="majorBidi" w:eastAsia="Times New Roman" w:hAnsiTheme="majorBidi" w:cstheme="majorBidi"/>
          <w:lang w:eastAsia="fr-FR"/>
        </w:rPr>
        <w:t>Les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noms des élèves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et les numéros des candidats</w:t>
      </w:r>
      <w:r w:rsidR="001F2AF9">
        <w:rPr>
          <w:rFonts w:asciiTheme="majorBidi" w:eastAsia="Times New Roman" w:hAnsiTheme="majorBidi" w:cstheme="majorBidi"/>
          <w:lang w:eastAsia="fr-FR"/>
        </w:rPr>
        <w:t> ;</w:t>
      </w:r>
    </w:p>
    <w:p w:rsidR="009D0CEE" w:rsidRPr="007A4C24" w:rsidRDefault="009D0CEE" w:rsidP="001F2AF9">
      <w:pPr>
        <w:pStyle w:val="SingleTxtG"/>
        <w:ind w:left="1701"/>
        <w:rPr>
          <w:rFonts w:asciiTheme="majorBidi" w:eastAsia="Times New Roman" w:hAnsiTheme="majorBidi" w:cstheme="majorBidi"/>
          <w:lang w:eastAsia="fr-FR"/>
        </w:rPr>
      </w:pPr>
      <w:r w:rsidRPr="007A4C24">
        <w:rPr>
          <w:rFonts w:asciiTheme="majorBidi" w:eastAsia="Times New Roman" w:hAnsiTheme="majorBidi" w:cstheme="majorBidi"/>
          <w:lang w:eastAsia="fr-FR"/>
        </w:rPr>
        <w:t>iv)</w:t>
      </w:r>
      <w:r w:rsidR="001F2AF9">
        <w:rPr>
          <w:rFonts w:asciiTheme="majorBidi" w:eastAsia="Times New Roman" w:hAnsiTheme="majorBidi" w:cstheme="majorBidi"/>
          <w:lang w:eastAsia="fr-FR"/>
        </w:rPr>
        <w:tab/>
      </w:r>
      <w:r w:rsidRPr="007A4C24">
        <w:rPr>
          <w:rFonts w:asciiTheme="majorBidi" w:eastAsia="Times New Roman" w:hAnsiTheme="majorBidi" w:cstheme="majorBidi"/>
          <w:lang w:eastAsia="fr-FR"/>
        </w:rPr>
        <w:t>Pour chaque élève</w:t>
      </w:r>
      <w:r w:rsidR="00EC784B">
        <w:rPr>
          <w:rFonts w:asciiTheme="majorBidi" w:eastAsia="Times New Roman" w:hAnsiTheme="majorBidi" w:cstheme="majorBidi"/>
          <w:lang w:eastAsia="fr-FR"/>
        </w:rPr>
        <w:t> </w:t>
      </w:r>
      <w:r w:rsidR="001E076E">
        <w:rPr>
          <w:rFonts w:asciiTheme="majorBidi" w:eastAsia="Times New Roman" w:hAnsiTheme="majorBidi" w:cstheme="majorBidi"/>
          <w:lang w:eastAsia="fr-FR"/>
        </w:rPr>
        <w:t>:</w:t>
      </w:r>
      <w:r w:rsidRPr="007A4C24">
        <w:rPr>
          <w:rFonts w:asciiTheme="majorBidi" w:eastAsia="Times New Roman" w:hAnsiTheme="majorBidi" w:cstheme="majorBidi"/>
          <w:lang w:eastAsia="fr-FR"/>
        </w:rPr>
        <w:t xml:space="preserve"> le calendrier, la fréquence de connexion, la durée de chaque connexion, la durée des périodes d’activité et d’inaction, ainsi que les résultats de 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w:t>
      </w:r>
    </w:p>
    <w:p w:rsidR="009D0CEE" w:rsidRPr="007A4C24" w:rsidRDefault="009D0CEE" w:rsidP="00624220">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Un rapport contenant</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le nombre d’heures d’étude par élève, la fréquence/le nombre de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connexions, la durée des périodes d’activité et d’inaction, et les progrès sur une période d’au moins 6 mois/1 an après la formation en classe et pratique, est enregistré</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sur la plateforme d’apprentissage en ligne et demeure accessible. À la demande de l’autorité compétente, la personne chargée du cours enregistre ce rapport</w:t>
      </w:r>
      <w:r w:rsidR="002B7F4E">
        <w:rPr>
          <w:rFonts w:asciiTheme="majorBidi" w:eastAsia="Times New Roman" w:hAnsiTheme="majorBidi" w:cstheme="majorBidi"/>
          <w:lang w:eastAsia="fr-FR"/>
        </w:rPr>
        <w:t>.</w:t>
      </w:r>
    </w:p>
    <w:p w:rsidR="00321D80" w:rsidRDefault="00321D80" w:rsidP="00321D80">
      <w:pPr>
        <w:pStyle w:val="H23G"/>
        <w:rPr>
          <w:lang w:eastAsia="fr-FR"/>
        </w:rPr>
      </w:pPr>
      <w:r>
        <w:rPr>
          <w:lang w:eastAsia="fr-FR"/>
        </w:rPr>
        <w:tab/>
      </w:r>
      <w:r w:rsidR="009D0CEE" w:rsidRPr="007A4C24">
        <w:rPr>
          <w:lang w:eastAsia="fr-FR"/>
        </w:rPr>
        <w:t>8.</w:t>
      </w:r>
      <w:r w:rsidR="009D0CEE" w:rsidRPr="007A4C24">
        <w:rPr>
          <w:lang w:eastAsia="fr-FR"/>
        </w:rPr>
        <w:tab/>
        <w:t xml:space="preserve">Rapports </w:t>
      </w:r>
    </w:p>
    <w:p w:rsidR="009D0CEE" w:rsidRPr="007A4C24" w:rsidRDefault="009D0CEE" w:rsidP="002B7F4E">
      <w:pPr>
        <w:pStyle w:val="SingleTxtG"/>
        <w:keepNext/>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À la demande de l’autorité compétente, le propriétaire du système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soumet des données relatives à chaque formateur, cours (identifié par un code) et élève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en formation, notamment</w:t>
      </w:r>
      <w:r w:rsidR="002B7F4E">
        <w:rPr>
          <w:rFonts w:asciiTheme="majorBidi" w:eastAsia="Times New Roman" w:hAnsiTheme="majorBidi" w:cstheme="majorBidi"/>
          <w:lang w:eastAsia="fr-FR"/>
        </w:rPr>
        <w:t> :</w:t>
      </w:r>
    </w:p>
    <w:p w:rsidR="009D0CEE" w:rsidRPr="007A4C24" w:rsidRDefault="009D0CEE" w:rsidP="00624220">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a)</w:t>
      </w:r>
      <w:r w:rsidR="00F629F1">
        <w:rPr>
          <w:rFonts w:asciiTheme="majorBidi" w:eastAsia="Times New Roman" w:hAnsiTheme="majorBidi" w:cstheme="majorBidi"/>
          <w:lang w:eastAsia="fr-FR"/>
        </w:rPr>
        <w:tab/>
      </w:r>
      <w:r w:rsidRPr="007A4C24">
        <w:rPr>
          <w:rFonts w:asciiTheme="majorBidi" w:eastAsia="Times New Roman" w:hAnsiTheme="majorBidi" w:cstheme="majorBidi"/>
          <w:lang w:eastAsia="fr-FR"/>
        </w:rPr>
        <w:t>Une liste de tous les dépassements de la période de 10 jours civils</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(période maximale autorisée pour valider la partie qui est assurée au moyen de l’apprentissage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 et celle qui est dispensée sous forme de formation en classe et pratique)</w:t>
      </w:r>
      <w:r w:rsidR="002B7F4E">
        <w:rPr>
          <w:rFonts w:asciiTheme="majorBidi" w:eastAsia="Times New Roman" w:hAnsiTheme="majorBidi" w:cstheme="majorBidi"/>
          <w:lang w:eastAsia="fr-FR"/>
        </w:rPr>
        <w:t> ;</w:t>
      </w:r>
    </w:p>
    <w:p w:rsidR="002B7F4E" w:rsidRDefault="009D0CEE" w:rsidP="002B7F4E">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b)</w:t>
      </w:r>
      <w:r w:rsidR="002B7F4E">
        <w:rPr>
          <w:rFonts w:asciiTheme="majorBidi" w:eastAsia="Times New Roman" w:hAnsiTheme="majorBidi" w:cstheme="majorBidi"/>
          <w:lang w:eastAsia="fr-FR"/>
        </w:rPr>
        <w:tab/>
      </w:r>
      <w:r w:rsidRPr="007A4C24">
        <w:rPr>
          <w:rFonts w:asciiTheme="majorBidi" w:eastAsia="Times New Roman" w:hAnsiTheme="majorBidi" w:cstheme="majorBidi"/>
          <w:lang w:eastAsia="fr-FR"/>
        </w:rPr>
        <w:t>Une liste de tous les dépassements du nombre d’heures de connexion autorisé (dépassement du nombre d’heures de formation en ligne prévu dans le plan de formation)</w:t>
      </w:r>
      <w:r w:rsidR="002B7F4E">
        <w:rPr>
          <w:rFonts w:asciiTheme="majorBidi" w:eastAsia="Times New Roman" w:hAnsiTheme="majorBidi" w:cstheme="majorBidi"/>
          <w:lang w:eastAsia="fr-FR"/>
        </w:rPr>
        <w:t> ;</w:t>
      </w:r>
    </w:p>
    <w:p w:rsidR="002B7F4E" w:rsidRDefault="009D0CEE" w:rsidP="002B7F4E">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lastRenderedPageBreak/>
        <w:t>c)</w:t>
      </w:r>
      <w:r w:rsidR="002B7F4E">
        <w:rPr>
          <w:rFonts w:asciiTheme="majorBidi" w:eastAsia="Times New Roman" w:hAnsiTheme="majorBidi" w:cstheme="majorBidi"/>
          <w:lang w:eastAsia="fr-FR"/>
        </w:rPr>
        <w:tab/>
      </w:r>
      <w:r w:rsidRPr="007A4C24">
        <w:rPr>
          <w:rFonts w:asciiTheme="majorBidi" w:eastAsia="Times New Roman" w:hAnsiTheme="majorBidi" w:cstheme="majorBidi"/>
          <w:lang w:eastAsia="fr-FR"/>
        </w:rPr>
        <w:t>Une liste des longues périodes d’inaction (périodes pendant lesquelles le système est en mode repos ou momentanément interrompu en raison de l’inaction de l’élève</w:t>
      </w:r>
      <w:r w:rsidR="002B7F4E">
        <w:rPr>
          <w:rFonts w:asciiTheme="majorBidi" w:eastAsia="Times New Roman" w:hAnsiTheme="majorBidi" w:cstheme="majorBidi"/>
          <w:lang w:eastAsia="fr-FR"/>
        </w:rPr>
        <w:t>.</w:t>
      </w:r>
      <w:r w:rsidRPr="007A4C24">
        <w:rPr>
          <w:rFonts w:asciiTheme="majorBidi" w:eastAsia="Times New Roman" w:hAnsiTheme="majorBidi" w:cstheme="majorBidi"/>
          <w:lang w:eastAsia="fr-FR"/>
        </w:rPr>
        <w:t xml:space="preserve"> Toute période d’inaction de 15 minutes ou plus est enregistrée)</w:t>
      </w:r>
      <w:r w:rsidR="002B7F4E">
        <w:rPr>
          <w:rFonts w:asciiTheme="majorBidi" w:eastAsia="Times New Roman" w:hAnsiTheme="majorBidi" w:cstheme="majorBidi"/>
          <w:lang w:eastAsia="fr-FR"/>
        </w:rPr>
        <w:t> ;</w:t>
      </w:r>
    </w:p>
    <w:p w:rsidR="002B7F4E" w:rsidRDefault="009D0CEE" w:rsidP="002B7F4E">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d)</w:t>
      </w:r>
      <w:r w:rsidR="002B7F4E">
        <w:rPr>
          <w:rFonts w:asciiTheme="majorBidi" w:eastAsia="Times New Roman" w:hAnsiTheme="majorBidi" w:cstheme="majorBidi"/>
          <w:lang w:eastAsia="fr-FR"/>
        </w:rPr>
        <w:tab/>
      </w:r>
      <w:r w:rsidRPr="007A4C24">
        <w:rPr>
          <w:rFonts w:asciiTheme="majorBidi" w:eastAsia="Times New Roman" w:hAnsiTheme="majorBidi" w:cstheme="majorBidi"/>
          <w:lang w:eastAsia="fr-FR"/>
        </w:rPr>
        <w:t>Une liste des modules d’apprentissage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électronique</w:t>
      </w:r>
      <w:r w:rsidR="001E076E">
        <w:rPr>
          <w:rFonts w:asciiTheme="majorBidi" w:eastAsia="Times New Roman" w:hAnsiTheme="majorBidi" w:cstheme="majorBidi"/>
          <w:lang w:eastAsia="fr-FR"/>
        </w:rPr>
        <w:t xml:space="preserve"> </w:t>
      </w:r>
      <w:r w:rsidRPr="007A4C24">
        <w:rPr>
          <w:rFonts w:asciiTheme="majorBidi" w:eastAsia="Times New Roman" w:hAnsiTheme="majorBidi" w:cstheme="majorBidi"/>
          <w:lang w:eastAsia="fr-FR"/>
        </w:rPr>
        <w:t>qui n’ont pas été complétés</w:t>
      </w:r>
      <w:r w:rsidR="002B7F4E">
        <w:rPr>
          <w:rFonts w:asciiTheme="majorBidi" w:eastAsia="Times New Roman" w:hAnsiTheme="majorBidi" w:cstheme="majorBidi"/>
          <w:lang w:eastAsia="fr-FR"/>
        </w:rPr>
        <w:t> ;</w:t>
      </w:r>
    </w:p>
    <w:p w:rsidR="00F9573C" w:rsidRDefault="009D0CEE" w:rsidP="002B7F4E">
      <w:pPr>
        <w:pStyle w:val="SingleTxtG"/>
        <w:ind w:firstLine="567"/>
        <w:rPr>
          <w:rFonts w:asciiTheme="majorBidi" w:eastAsia="Times New Roman" w:hAnsiTheme="majorBidi" w:cstheme="majorBidi"/>
          <w:lang w:eastAsia="fr-FR"/>
        </w:rPr>
      </w:pPr>
      <w:r w:rsidRPr="007A4C24">
        <w:rPr>
          <w:rFonts w:asciiTheme="majorBidi" w:eastAsia="Times New Roman" w:hAnsiTheme="majorBidi" w:cstheme="majorBidi"/>
          <w:lang w:eastAsia="fr-FR"/>
        </w:rPr>
        <w:t>e)</w:t>
      </w:r>
      <w:r w:rsidR="0017211A">
        <w:rPr>
          <w:rFonts w:asciiTheme="majorBidi" w:eastAsia="Times New Roman" w:hAnsiTheme="majorBidi" w:cstheme="majorBidi"/>
          <w:lang w:eastAsia="fr-FR"/>
        </w:rPr>
        <w:tab/>
      </w:r>
      <w:r w:rsidRPr="007A4C24">
        <w:rPr>
          <w:rFonts w:asciiTheme="majorBidi" w:eastAsia="Times New Roman" w:hAnsiTheme="majorBidi" w:cstheme="majorBidi"/>
          <w:lang w:eastAsia="fr-FR"/>
        </w:rPr>
        <w:t>L’autorité compétente est autorisée à demander des rapports à tout moment aussi bien à l’établissement de formation qu’au propriétaire du système.</w:t>
      </w:r>
    </w:p>
    <w:p w:rsidR="00287BC7" w:rsidRPr="00287BC7" w:rsidRDefault="00287BC7" w:rsidP="00287BC7">
      <w:pPr>
        <w:pStyle w:val="SingleTxtG"/>
        <w:spacing w:before="240" w:after="0"/>
        <w:jc w:val="center"/>
        <w:rPr>
          <w:u w:val="single"/>
          <w:lang w:eastAsia="fr-FR"/>
        </w:rPr>
      </w:pPr>
      <w:r>
        <w:rPr>
          <w:u w:val="single"/>
          <w:lang w:eastAsia="fr-FR"/>
        </w:rPr>
        <w:tab/>
      </w:r>
      <w:r>
        <w:rPr>
          <w:u w:val="single"/>
          <w:lang w:eastAsia="fr-FR"/>
        </w:rPr>
        <w:tab/>
      </w:r>
      <w:r>
        <w:rPr>
          <w:u w:val="single"/>
          <w:lang w:eastAsia="fr-FR"/>
        </w:rPr>
        <w:tab/>
      </w:r>
    </w:p>
    <w:sectPr w:rsidR="00287BC7" w:rsidRPr="00287BC7" w:rsidSect="00436E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4F" w:rsidRDefault="00C9304F" w:rsidP="00F95C08">
      <w:pPr>
        <w:spacing w:line="240" w:lineRule="auto"/>
      </w:pPr>
    </w:p>
  </w:endnote>
  <w:endnote w:type="continuationSeparator" w:id="0">
    <w:p w:rsidR="00C9304F" w:rsidRPr="00AC3823" w:rsidRDefault="00C9304F" w:rsidP="00AC3823">
      <w:pPr>
        <w:pStyle w:val="Footer"/>
      </w:pPr>
    </w:p>
  </w:endnote>
  <w:endnote w:type="continuationNotice" w:id="1">
    <w:p w:rsidR="00C9304F" w:rsidRDefault="00C930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4F" w:rsidRPr="00436EEE" w:rsidRDefault="00C9304F" w:rsidP="00436EEE">
    <w:pPr>
      <w:pStyle w:val="Footer"/>
      <w:tabs>
        <w:tab w:val="right" w:pos="9638"/>
      </w:tabs>
    </w:pPr>
    <w:r w:rsidRPr="00436EEE">
      <w:rPr>
        <w:b/>
        <w:sz w:val="18"/>
      </w:rPr>
      <w:fldChar w:fldCharType="begin"/>
    </w:r>
    <w:r w:rsidRPr="00436EEE">
      <w:rPr>
        <w:b/>
        <w:sz w:val="18"/>
      </w:rPr>
      <w:instrText xml:space="preserve"> PAGE  \* MERGEFORMAT </w:instrText>
    </w:r>
    <w:r w:rsidRPr="00436EEE">
      <w:rPr>
        <w:b/>
        <w:sz w:val="18"/>
      </w:rPr>
      <w:fldChar w:fldCharType="separate"/>
    </w:r>
    <w:r w:rsidRPr="00436EEE">
      <w:rPr>
        <w:b/>
        <w:noProof/>
        <w:sz w:val="18"/>
      </w:rPr>
      <w:t>2</w:t>
    </w:r>
    <w:r w:rsidRPr="00436EEE">
      <w:rPr>
        <w:b/>
        <w:sz w:val="18"/>
      </w:rPr>
      <w:fldChar w:fldCharType="end"/>
    </w:r>
    <w:r>
      <w:rPr>
        <w:b/>
        <w:sz w:val="18"/>
      </w:rPr>
      <w:tab/>
    </w:r>
    <w:r>
      <w:t>GE.19-21808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4F" w:rsidRPr="00436EEE" w:rsidRDefault="00C9304F" w:rsidP="00436EEE">
    <w:pPr>
      <w:pStyle w:val="Footer"/>
      <w:tabs>
        <w:tab w:val="right" w:pos="9638"/>
      </w:tabs>
      <w:rPr>
        <w:b/>
        <w:sz w:val="18"/>
      </w:rPr>
    </w:pPr>
    <w:r>
      <w:t>GE.19-21808</w:t>
    </w:r>
    <w:r>
      <w:tab/>
    </w:r>
    <w:r w:rsidRPr="00436EEE">
      <w:rPr>
        <w:b/>
        <w:sz w:val="18"/>
      </w:rPr>
      <w:fldChar w:fldCharType="begin"/>
    </w:r>
    <w:r w:rsidRPr="00436EEE">
      <w:rPr>
        <w:b/>
        <w:sz w:val="18"/>
      </w:rPr>
      <w:instrText xml:space="preserve"> PAGE  \* MERGEFORMAT </w:instrText>
    </w:r>
    <w:r w:rsidRPr="00436EEE">
      <w:rPr>
        <w:b/>
        <w:sz w:val="18"/>
      </w:rPr>
      <w:fldChar w:fldCharType="separate"/>
    </w:r>
    <w:r w:rsidRPr="00436EEE">
      <w:rPr>
        <w:b/>
        <w:noProof/>
        <w:sz w:val="18"/>
      </w:rPr>
      <w:t>3</w:t>
    </w:r>
    <w:r w:rsidRPr="00436E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4F" w:rsidRPr="00436EEE" w:rsidRDefault="00C9304F" w:rsidP="00436EEE">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19-21808  (F)    130120    140120</w:t>
    </w:r>
    <w:r>
      <w:rPr>
        <w:sz w:val="20"/>
      </w:rPr>
      <w:br/>
    </w:r>
    <w:r w:rsidRPr="00436EEE">
      <w:rPr>
        <w:rFonts w:ascii="C39T30Lfz" w:hAnsi="C39T30Lfz"/>
        <w:sz w:val="56"/>
      </w:rPr>
      <w:t></w:t>
    </w:r>
    <w:r w:rsidRPr="00436EEE">
      <w:rPr>
        <w:rFonts w:ascii="C39T30Lfz" w:hAnsi="C39T30Lfz"/>
        <w:sz w:val="56"/>
      </w:rPr>
      <w:t></w:t>
    </w:r>
    <w:r w:rsidRPr="00436EEE">
      <w:rPr>
        <w:rFonts w:ascii="C39T30Lfz" w:hAnsi="C39T30Lfz"/>
        <w:sz w:val="56"/>
      </w:rPr>
      <w:t></w:t>
    </w:r>
    <w:r w:rsidRPr="00436EEE">
      <w:rPr>
        <w:rFonts w:ascii="C39T30Lfz" w:hAnsi="C39T30Lfz"/>
        <w:sz w:val="56"/>
      </w:rPr>
      <w:t></w:t>
    </w:r>
    <w:r w:rsidRPr="00436EEE">
      <w:rPr>
        <w:rFonts w:ascii="C39T30Lfz" w:hAnsi="C39T30Lfz"/>
        <w:sz w:val="56"/>
      </w:rPr>
      <w:t></w:t>
    </w:r>
    <w:r w:rsidRPr="00436EEE">
      <w:rPr>
        <w:rFonts w:ascii="C39T30Lfz" w:hAnsi="C39T30Lfz"/>
        <w:sz w:val="56"/>
      </w:rPr>
      <w:t></w:t>
    </w:r>
    <w:r w:rsidRPr="00436EEE">
      <w:rPr>
        <w:rFonts w:ascii="C39T30Lfz" w:hAnsi="C39T30Lfz"/>
        <w:sz w:val="56"/>
      </w:rPr>
      <w:t></w:t>
    </w:r>
    <w:r w:rsidRPr="00436EEE">
      <w:rPr>
        <w:rFonts w:ascii="C39T30Lfz" w:hAnsi="C39T30Lfz"/>
        <w:sz w:val="56"/>
      </w:rPr>
      <w:t></w:t>
    </w:r>
    <w:r w:rsidRPr="00436EE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4F" w:rsidRPr="00AC3823" w:rsidRDefault="00C9304F" w:rsidP="00AC3823">
      <w:pPr>
        <w:pStyle w:val="Footer"/>
        <w:tabs>
          <w:tab w:val="right" w:pos="2155"/>
        </w:tabs>
        <w:spacing w:after="80" w:line="240" w:lineRule="atLeast"/>
        <w:ind w:left="680"/>
        <w:rPr>
          <w:u w:val="single"/>
        </w:rPr>
      </w:pPr>
      <w:r>
        <w:rPr>
          <w:u w:val="single"/>
        </w:rPr>
        <w:tab/>
      </w:r>
    </w:p>
  </w:footnote>
  <w:footnote w:type="continuationSeparator" w:id="0">
    <w:p w:rsidR="00C9304F" w:rsidRPr="00AC3823" w:rsidRDefault="00C9304F" w:rsidP="00AC3823">
      <w:pPr>
        <w:pStyle w:val="Footer"/>
        <w:tabs>
          <w:tab w:val="right" w:pos="2155"/>
        </w:tabs>
        <w:spacing w:after="80" w:line="240" w:lineRule="atLeast"/>
        <w:ind w:left="680"/>
        <w:rPr>
          <w:u w:val="single"/>
        </w:rPr>
      </w:pPr>
      <w:r>
        <w:rPr>
          <w:u w:val="single"/>
        </w:rPr>
        <w:tab/>
      </w:r>
    </w:p>
  </w:footnote>
  <w:footnote w:type="continuationNotice" w:id="1">
    <w:p w:rsidR="00C9304F" w:rsidRPr="00AC3823" w:rsidRDefault="00C9304F">
      <w:pPr>
        <w:spacing w:line="240" w:lineRule="auto"/>
        <w:rPr>
          <w:sz w:val="2"/>
          <w:szCs w:val="2"/>
        </w:rPr>
      </w:pPr>
    </w:p>
  </w:footnote>
  <w:footnote w:id="2">
    <w:p w:rsidR="00C9304F" w:rsidRPr="009357E0" w:rsidRDefault="00C9304F" w:rsidP="009D0CEE">
      <w:pPr>
        <w:pStyle w:val="FootnoteText"/>
        <w:rPr>
          <w:sz w:val="20"/>
        </w:rPr>
      </w:pPr>
      <w:r w:rsidRPr="009357E0">
        <w:rPr>
          <w:sz w:val="20"/>
        </w:rPr>
        <w:tab/>
      </w:r>
      <w:r w:rsidRPr="009357E0">
        <w:rPr>
          <w:sz w:val="20"/>
          <w:lang w:val="fr-FR"/>
        </w:rPr>
        <w:t>*</w:t>
      </w:r>
      <w:r w:rsidRPr="009357E0">
        <w:rPr>
          <w:sz w:val="20"/>
        </w:rPr>
        <w:tab/>
      </w:r>
      <w:r w:rsidRPr="009357E0">
        <w:t>Conformément au programme de travail du Comité des transports intérieurs pour la période 2018</w:t>
      </w:r>
      <w:r>
        <w:noBreakHyphen/>
      </w:r>
      <w:r w:rsidRPr="009357E0">
        <w:t xml:space="preserve">2019 </w:t>
      </w:r>
      <w:r w:rsidRPr="009357E0">
        <w:rPr>
          <w:lang w:eastAsia="en-GB"/>
        </w:rPr>
        <w:t xml:space="preserve">(ECE/TRANS/WP.15/237, annexe V (9.2)). </w:t>
      </w:r>
    </w:p>
  </w:footnote>
  <w:footnote w:id="3">
    <w:p w:rsidR="00C9304F" w:rsidRPr="009357E0" w:rsidRDefault="00C9304F" w:rsidP="009D0CEE">
      <w:pPr>
        <w:pStyle w:val="FootnoteText"/>
        <w:rPr>
          <w:sz w:val="20"/>
        </w:rPr>
      </w:pPr>
      <w:r w:rsidRPr="009357E0">
        <w:rPr>
          <w:sz w:val="20"/>
          <w:lang w:val="fr-FR"/>
        </w:rPr>
        <w:tab/>
        <w:t>**</w:t>
      </w:r>
      <w:r w:rsidRPr="009357E0">
        <w:rPr>
          <w:sz w:val="20"/>
        </w:rPr>
        <w:tab/>
      </w:r>
      <w:r w:rsidRPr="009357E0">
        <w:t>Diffusée par l’Organisation intergouvernementale pour les transports internationaux ferroviaires (OTIF) sous la cote OTIF/RID/RC/2020/8.</w:t>
      </w:r>
    </w:p>
  </w:footnote>
  <w:footnote w:id="4">
    <w:p w:rsidR="00C9304F" w:rsidRPr="00C11913" w:rsidRDefault="00C9304F" w:rsidP="00FF28AB">
      <w:pPr>
        <w:pStyle w:val="FootnoteText"/>
        <w:rPr>
          <w:b/>
          <w:bCs/>
        </w:rPr>
      </w:pPr>
      <w:r w:rsidRPr="009357E0">
        <w:tab/>
      </w:r>
      <w:r w:rsidRPr="00C11913">
        <w:rPr>
          <w:rStyle w:val="FootnoteReference"/>
          <w:b/>
          <w:bCs/>
        </w:rPr>
        <w:footnoteRef/>
      </w:r>
      <w:r w:rsidRPr="00C11913">
        <w:rPr>
          <w:b/>
          <w:bCs/>
          <w:sz w:val="28"/>
          <w:szCs w:val="28"/>
        </w:rPr>
        <w:tab/>
      </w:r>
      <w:r w:rsidRPr="00C11913">
        <w:rPr>
          <w:b/>
          <w:bCs/>
        </w:rPr>
        <w:t xml:space="preserve">On trouvera les lignes directrices sur la formation en ligne à l’adresse suivante : (l’hyperlien sera communiqué lorsqu’il sera disponible).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4F" w:rsidRPr="00436EEE" w:rsidRDefault="00CA09D0">
    <w:pPr>
      <w:pStyle w:val="Header"/>
    </w:pPr>
    <w:r>
      <w:fldChar w:fldCharType="begin"/>
    </w:r>
    <w:r>
      <w:instrText xml:space="preserve"> TITLE  \* MERGEFORMAT </w:instrText>
    </w:r>
    <w:r>
      <w:fldChar w:fldCharType="separate"/>
    </w:r>
    <w:r w:rsidR="00E75093">
      <w:t>ECE/TRANS/WP.15/AC.1/2020/8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4F" w:rsidRPr="00436EEE" w:rsidRDefault="00CA09D0" w:rsidP="00436EEE">
    <w:pPr>
      <w:pStyle w:val="Header"/>
      <w:jc w:val="right"/>
    </w:pPr>
    <w:r>
      <w:fldChar w:fldCharType="begin"/>
    </w:r>
    <w:r>
      <w:instrText xml:space="preserve"> TITLE  \* MERGEFORMAT </w:instrText>
    </w:r>
    <w:r>
      <w:fldChar w:fldCharType="separate"/>
    </w:r>
    <w:r w:rsidR="00E75093">
      <w:t>ECE/TRANS/WP.15/AC.1/2020/8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11"/>
    <w:rsid w:val="00017F94"/>
    <w:rsid w:val="00023842"/>
    <w:rsid w:val="000334F9"/>
    <w:rsid w:val="00045FEB"/>
    <w:rsid w:val="0007796D"/>
    <w:rsid w:val="000B7790"/>
    <w:rsid w:val="00111F2F"/>
    <w:rsid w:val="0014365E"/>
    <w:rsid w:val="00143C66"/>
    <w:rsid w:val="0017211A"/>
    <w:rsid w:val="00176178"/>
    <w:rsid w:val="001E076E"/>
    <w:rsid w:val="001F2AF9"/>
    <w:rsid w:val="001F525A"/>
    <w:rsid w:val="00223272"/>
    <w:rsid w:val="0024779E"/>
    <w:rsid w:val="00253A1C"/>
    <w:rsid w:val="00257168"/>
    <w:rsid w:val="002744B8"/>
    <w:rsid w:val="002832AC"/>
    <w:rsid w:val="00287BC7"/>
    <w:rsid w:val="002B7F4E"/>
    <w:rsid w:val="002D7C93"/>
    <w:rsid w:val="00305801"/>
    <w:rsid w:val="00321D80"/>
    <w:rsid w:val="003916DE"/>
    <w:rsid w:val="00405C84"/>
    <w:rsid w:val="00421996"/>
    <w:rsid w:val="00436EEE"/>
    <w:rsid w:val="00441C3B"/>
    <w:rsid w:val="00446FE5"/>
    <w:rsid w:val="00452396"/>
    <w:rsid w:val="00460911"/>
    <w:rsid w:val="00463AAB"/>
    <w:rsid w:val="004837D8"/>
    <w:rsid w:val="004D3FD6"/>
    <w:rsid w:val="004E2EED"/>
    <w:rsid w:val="004E468C"/>
    <w:rsid w:val="005142F1"/>
    <w:rsid w:val="005505B7"/>
    <w:rsid w:val="00573BE5"/>
    <w:rsid w:val="0057572B"/>
    <w:rsid w:val="00586ED3"/>
    <w:rsid w:val="00596AA9"/>
    <w:rsid w:val="00624220"/>
    <w:rsid w:val="0063514F"/>
    <w:rsid w:val="006D4FCF"/>
    <w:rsid w:val="0071601D"/>
    <w:rsid w:val="007378D9"/>
    <w:rsid w:val="00771728"/>
    <w:rsid w:val="007A62E6"/>
    <w:rsid w:val="007F20FA"/>
    <w:rsid w:val="0080684C"/>
    <w:rsid w:val="00871C75"/>
    <w:rsid w:val="008776DC"/>
    <w:rsid w:val="00882286"/>
    <w:rsid w:val="00886D41"/>
    <w:rsid w:val="009446C0"/>
    <w:rsid w:val="009705C8"/>
    <w:rsid w:val="009C1CF4"/>
    <w:rsid w:val="009D0CEE"/>
    <w:rsid w:val="009F6B74"/>
    <w:rsid w:val="00A3029F"/>
    <w:rsid w:val="00A30353"/>
    <w:rsid w:val="00A30561"/>
    <w:rsid w:val="00AB2317"/>
    <w:rsid w:val="00AC0570"/>
    <w:rsid w:val="00AC3823"/>
    <w:rsid w:val="00AE323C"/>
    <w:rsid w:val="00AF0CB5"/>
    <w:rsid w:val="00B00181"/>
    <w:rsid w:val="00B00B0D"/>
    <w:rsid w:val="00B45F2E"/>
    <w:rsid w:val="00B765F7"/>
    <w:rsid w:val="00BA0CA9"/>
    <w:rsid w:val="00C02897"/>
    <w:rsid w:val="00C1017C"/>
    <w:rsid w:val="00C11913"/>
    <w:rsid w:val="00C9304F"/>
    <w:rsid w:val="00C96242"/>
    <w:rsid w:val="00C97039"/>
    <w:rsid w:val="00CA09D0"/>
    <w:rsid w:val="00CD0C89"/>
    <w:rsid w:val="00D3439C"/>
    <w:rsid w:val="00DB1831"/>
    <w:rsid w:val="00DD3BFD"/>
    <w:rsid w:val="00DF6678"/>
    <w:rsid w:val="00E0299A"/>
    <w:rsid w:val="00E2341F"/>
    <w:rsid w:val="00E75093"/>
    <w:rsid w:val="00E85C74"/>
    <w:rsid w:val="00EA6547"/>
    <w:rsid w:val="00EC784B"/>
    <w:rsid w:val="00EF2E22"/>
    <w:rsid w:val="00F35BAF"/>
    <w:rsid w:val="00F46BDE"/>
    <w:rsid w:val="00F629F1"/>
    <w:rsid w:val="00F660DF"/>
    <w:rsid w:val="00F94664"/>
    <w:rsid w:val="00F9573C"/>
    <w:rsid w:val="00F95C08"/>
    <w:rsid w:val="00FF28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B2D4BC-D1A9-45AA-90DE-C202A024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7172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11497</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ECE/TRANS/WP.15/AC.1/2020/8</vt:lpstr>
      <vt:lpstr>ECE/TRANS/WP.15/AC.1/2020/8</vt:lpstr>
    </vt:vector>
  </TitlesOfParts>
  <Company>DCM</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ECE/TRANS/WP.15/AC.1/2020/8</dc:title>
  <dc:subject/>
  <dc:creator>Nathalie VITTOZ</dc:creator>
  <cp:keywords/>
  <cp:lastModifiedBy>Christine Barrio-Champeau</cp:lastModifiedBy>
  <cp:revision>2</cp:revision>
  <cp:lastPrinted>2020-01-14T13:29:00Z</cp:lastPrinted>
  <dcterms:created xsi:type="dcterms:W3CDTF">2020-01-14T15:06:00Z</dcterms:created>
  <dcterms:modified xsi:type="dcterms:W3CDTF">2020-01-14T15:06:00Z</dcterms:modified>
</cp:coreProperties>
</file>