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06A14F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F43823" w14:textId="77777777" w:rsidR="002D5AAC" w:rsidRDefault="002D5AAC" w:rsidP="007A26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1A7B1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F21706" w14:textId="77777777" w:rsidR="002D5AAC" w:rsidRDefault="007A2647" w:rsidP="007A2647">
            <w:pPr>
              <w:jc w:val="right"/>
            </w:pPr>
            <w:r w:rsidRPr="007A2647">
              <w:rPr>
                <w:sz w:val="40"/>
              </w:rPr>
              <w:t>ECE</w:t>
            </w:r>
            <w:r>
              <w:t>/TRANS/WP.15/AC.1/2020/6</w:t>
            </w:r>
          </w:p>
        </w:tc>
      </w:tr>
      <w:tr w:rsidR="002D5AAC" w:rsidRPr="008207EA" w14:paraId="4085390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B28AF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1324F8" wp14:editId="0A7E1A6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89F3A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3554A46" w14:textId="77777777" w:rsidR="002D5AAC" w:rsidRDefault="007A264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A0F3BE4" w14:textId="77777777" w:rsidR="007A2647" w:rsidRDefault="007A2647" w:rsidP="007A26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75797935" w14:textId="77777777" w:rsidR="007A2647" w:rsidRDefault="007A2647" w:rsidP="007A26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2BEF39" w14:textId="77777777" w:rsidR="007A2647" w:rsidRPr="008D53B6" w:rsidRDefault="007A2647" w:rsidP="007A26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EA44F2" w14:textId="77777777" w:rsidR="007A264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363CB9C" w14:textId="77777777" w:rsidR="006F3620" w:rsidRPr="006F3620" w:rsidRDefault="006F3620" w:rsidP="006F3620">
      <w:pPr>
        <w:spacing w:before="120"/>
        <w:rPr>
          <w:sz w:val="28"/>
          <w:szCs w:val="28"/>
        </w:rPr>
      </w:pPr>
      <w:r w:rsidRPr="006F3620">
        <w:rPr>
          <w:sz w:val="28"/>
          <w:szCs w:val="28"/>
        </w:rPr>
        <w:t>Комитет по внутреннему транспорту</w:t>
      </w:r>
    </w:p>
    <w:p w14:paraId="4686F564" w14:textId="77777777" w:rsidR="006F3620" w:rsidRPr="006F3620" w:rsidRDefault="006F3620" w:rsidP="006F3620">
      <w:pPr>
        <w:spacing w:before="120" w:after="120"/>
        <w:rPr>
          <w:b/>
          <w:sz w:val="24"/>
          <w:szCs w:val="24"/>
        </w:rPr>
      </w:pPr>
      <w:r w:rsidRPr="006F3620">
        <w:rPr>
          <w:b/>
          <w:bCs/>
          <w:sz w:val="24"/>
          <w:szCs w:val="24"/>
        </w:rPr>
        <w:t>Рабочая группа по перевозкам опасных грузов</w:t>
      </w:r>
    </w:p>
    <w:p w14:paraId="4280CF60" w14:textId="77777777" w:rsidR="006F3620" w:rsidRPr="00F01C2A" w:rsidRDefault="006F3620" w:rsidP="006F3620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 w:rsidR="0038299B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62A06BBE" w14:textId="77777777" w:rsidR="006F3620" w:rsidRPr="00F01C2A" w:rsidRDefault="006F3620" w:rsidP="006F3620">
      <w:r>
        <w:t>Берн, 16</w:t>
      </w:r>
      <w:r w:rsidR="0038299B" w:rsidRPr="008207EA">
        <w:t>–</w:t>
      </w:r>
      <w:r>
        <w:t>20 марта 2020 года</w:t>
      </w:r>
    </w:p>
    <w:p w14:paraId="3F523802" w14:textId="77777777" w:rsidR="006F3620" w:rsidRPr="00F01C2A" w:rsidRDefault="006F3620" w:rsidP="006F3620">
      <w:r>
        <w:t>Пункт 2 предварительной повестки дня</w:t>
      </w:r>
    </w:p>
    <w:p w14:paraId="503B725A" w14:textId="77777777" w:rsidR="006F3620" w:rsidRPr="00F01C2A" w:rsidRDefault="006F3620" w:rsidP="006F3620">
      <w:pPr>
        <w:rPr>
          <w:b/>
          <w:bCs/>
        </w:rPr>
      </w:pPr>
      <w:r>
        <w:rPr>
          <w:b/>
          <w:bCs/>
        </w:rPr>
        <w:t>Цистерны</w:t>
      </w:r>
    </w:p>
    <w:p w14:paraId="139EC76E" w14:textId="77777777" w:rsidR="006F3620" w:rsidRPr="00F01C2A" w:rsidRDefault="006F3620" w:rsidP="0038299B">
      <w:pPr>
        <w:pStyle w:val="HChG"/>
      </w:pPr>
      <w:r>
        <w:tab/>
      </w:r>
      <w:r>
        <w:tab/>
        <w:t>Сверхбольшие контейнеры-цистерны</w:t>
      </w:r>
    </w:p>
    <w:p w14:paraId="4D558D8B" w14:textId="77777777" w:rsidR="006F3620" w:rsidRDefault="006F3620" w:rsidP="0038299B">
      <w:pPr>
        <w:pStyle w:val="H1G"/>
        <w:rPr>
          <w:b w:val="0"/>
          <w:bCs/>
          <w:sz w:val="20"/>
        </w:rPr>
      </w:pPr>
      <w:r>
        <w:tab/>
      </w:r>
      <w:r>
        <w:tab/>
        <w:t>Предложение, переданное секретариатом ОТИФ</w:t>
      </w:r>
      <w:r w:rsidR="0038299B" w:rsidRPr="0038299B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38299B" w:rsidRPr="008207EA">
        <w:rPr>
          <w:b w:val="0"/>
          <w:bCs/>
          <w:sz w:val="20"/>
        </w:rPr>
        <w:t xml:space="preserve"> </w:t>
      </w:r>
      <w:r w:rsidRPr="0038299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bookmarkStart w:id="1" w:name="_Hlk27131928"/>
      <w:bookmarkEnd w:id="1"/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38299B" w:rsidRPr="00B12F4A" w14:paraId="0B09D8EF" w14:textId="77777777" w:rsidTr="00783339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623EB61" w14:textId="77777777" w:rsidR="0038299B" w:rsidRPr="00B12F4A" w:rsidRDefault="0038299B" w:rsidP="00783339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12F4A">
              <w:rPr>
                <w:rFonts w:cs="Times New Roman"/>
              </w:rPr>
              <w:tab/>
            </w:r>
            <w:r w:rsidRPr="00B12F4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8299B" w:rsidRPr="00B12F4A" w14:paraId="4796DB3B" w14:textId="77777777" w:rsidTr="0078333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3D4037F" w14:textId="77777777" w:rsidR="0038299B" w:rsidRPr="00B12F4A" w:rsidRDefault="0038299B" w:rsidP="0038299B">
            <w:pPr>
              <w:pStyle w:val="SingleTxtG"/>
              <w:tabs>
                <w:tab w:val="left" w:pos="3534"/>
              </w:tabs>
              <w:ind w:left="3534" w:hanging="2400"/>
            </w:pPr>
            <w:r>
              <w:rPr>
                <w:b/>
                <w:bCs/>
              </w:rPr>
              <w:t>Существо предложения:</w:t>
            </w:r>
            <w:r>
              <w:t xml:space="preserve"> </w:t>
            </w:r>
            <w:r>
              <w:tab/>
              <w:t xml:space="preserve">В ходе обсуждения вопросов безопасности в связи </w:t>
            </w:r>
            <w:r>
              <w:br/>
              <w:t>с перевозкой сверхбольших контейнеров-цистерн постоянная рабочая группа Комиссии экспертов МПОГ и рабочая группа по оборудованию цистерн и транспортных средств отметили, что два положения, которые в настоящее время касаются только конструкции вагонов-цистерн, также должны быть включены для контейнеров-цистерн МПОГ/ДОПОГ.</w:t>
            </w:r>
          </w:p>
        </w:tc>
      </w:tr>
      <w:tr w:rsidR="0038299B" w:rsidRPr="00B12F4A" w14:paraId="22826492" w14:textId="77777777" w:rsidTr="0078333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16533D7" w14:textId="77777777" w:rsidR="0038299B" w:rsidRPr="00B12F4A" w:rsidRDefault="0038299B" w:rsidP="0038299B">
            <w:pPr>
              <w:pStyle w:val="SingleTxtG"/>
              <w:tabs>
                <w:tab w:val="left" w:pos="3534"/>
              </w:tabs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Внести изменения в пункты 6.8.2.2.1 и 6.8.2.2.4.</w:t>
            </w:r>
          </w:p>
        </w:tc>
      </w:tr>
      <w:tr w:rsidR="0038299B" w:rsidRPr="00B12F4A" w14:paraId="613DE183" w14:textId="77777777" w:rsidTr="0078333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F5907FB" w14:textId="77777777" w:rsidR="0038299B" w:rsidRPr="007A457A" w:rsidRDefault="0038299B" w:rsidP="0038299B">
            <w:pPr>
              <w:pStyle w:val="SingleTxtG"/>
              <w:tabs>
                <w:tab w:val="left" w:pos="3534"/>
              </w:tabs>
              <w:ind w:left="3534" w:hanging="2400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 xml:space="preserve">Неофициальный документ </w:t>
            </w:r>
            <w:hyperlink r:id="rId8" w:history="1">
              <w:r w:rsidR="0024392D">
                <w:rPr>
                  <w:rStyle w:val="Hyperlink"/>
                  <w:snapToGrid w:val="0"/>
                </w:rPr>
                <w:t>INF.19</w:t>
              </w:r>
            </w:hyperlink>
            <w:r>
              <w:t xml:space="preserve"> Совместного совещания, состоявшегося в марте 2018 года; доклад рабочей группы по цистернам на Совместном совещании, состоявшемся в марте 2018 года</w:t>
            </w:r>
            <w:r w:rsidR="003C3A21" w:rsidRPr="003C3A21">
              <w:t xml:space="preserve"> </w:t>
            </w:r>
            <w:hyperlink r:id="rId9" w:history="1">
              <w:r w:rsidR="007A457A" w:rsidRPr="00C17E47">
                <w:rPr>
                  <w:rStyle w:val="Hyperlink"/>
                  <w:lang w:val="en-US"/>
                </w:rPr>
                <w:t>ECE</w:t>
              </w:r>
              <w:r w:rsidR="007A457A" w:rsidRPr="00C17E47">
                <w:rPr>
                  <w:rStyle w:val="Hyperlink"/>
                </w:rPr>
                <w:t>/</w:t>
              </w:r>
              <w:r w:rsidR="007A457A" w:rsidRPr="00C17E47">
                <w:rPr>
                  <w:rStyle w:val="Hyperlink"/>
                  <w:lang w:val="en-US"/>
                </w:rPr>
                <w:t>TRANS</w:t>
              </w:r>
              <w:r w:rsidR="007A457A" w:rsidRPr="00C17E47">
                <w:rPr>
                  <w:rStyle w:val="Hyperlink"/>
                </w:rPr>
                <w:t>/</w:t>
              </w:r>
              <w:r w:rsidR="007A457A" w:rsidRPr="00C17E47">
                <w:rPr>
                  <w:rStyle w:val="Hyperlink"/>
                  <w:lang w:val="en-US"/>
                </w:rPr>
                <w:t>WP</w:t>
              </w:r>
              <w:r w:rsidR="007A457A" w:rsidRPr="00C17E47">
                <w:rPr>
                  <w:rStyle w:val="Hyperlink"/>
                </w:rPr>
                <w:t>.15/</w:t>
              </w:r>
              <w:r w:rsidR="007A457A" w:rsidRPr="00C17E47">
                <w:rPr>
                  <w:rStyle w:val="Hyperlink"/>
                  <w:lang w:val="en-US"/>
                </w:rPr>
                <w:t>AC</w:t>
              </w:r>
              <w:r w:rsidR="007A457A" w:rsidRPr="00C17E47">
                <w:rPr>
                  <w:rStyle w:val="Hyperlink"/>
                </w:rPr>
                <w:t>.1/150/</w:t>
              </w:r>
              <w:r w:rsidR="007A457A" w:rsidRPr="00C17E47">
                <w:rPr>
                  <w:rStyle w:val="Hyperlink"/>
                  <w:lang w:val="en-US"/>
                </w:rPr>
                <w:t>Add</w:t>
              </w:r>
              <w:r w:rsidR="007A457A" w:rsidRPr="00C17E47">
                <w:rPr>
                  <w:rStyle w:val="Hyperlink"/>
                </w:rPr>
                <w:t>.1</w:t>
              </w:r>
            </w:hyperlink>
            <w:r w:rsidR="007A457A" w:rsidRPr="007A457A">
              <w:t xml:space="preserve"> </w:t>
            </w:r>
            <w:r w:rsidR="003C3A21" w:rsidRPr="007A457A">
              <w:t>(</w:t>
            </w:r>
            <w:hyperlink r:id="rId10" w:history="1">
              <w:r w:rsidR="007A457A" w:rsidRPr="0024392D">
                <w:rPr>
                  <w:rStyle w:val="Hyperlink"/>
                </w:rPr>
                <w:t>OTIF/RID/RC/2018-A/Add.1</w:t>
              </w:r>
            </w:hyperlink>
            <w:r w:rsidR="003C3A21" w:rsidRPr="007A457A">
              <w:t>)</w:t>
            </w:r>
            <w:r w:rsidRPr="007A457A">
              <w:t>;</w:t>
            </w:r>
          </w:p>
          <w:p w14:paraId="159436D0" w14:textId="77777777" w:rsidR="0038299B" w:rsidRPr="00F01C2A" w:rsidRDefault="0038299B" w:rsidP="0038299B">
            <w:pPr>
              <w:pStyle w:val="SingleTxtG"/>
              <w:tabs>
                <w:tab w:val="left" w:pos="3534"/>
              </w:tabs>
              <w:ind w:left="3534" w:hanging="2400"/>
              <w:rPr>
                <w:snapToGrid w:val="0"/>
              </w:rPr>
            </w:pPr>
            <w:r w:rsidRPr="007A457A">
              <w:tab/>
            </w:r>
            <w:r>
              <w:t xml:space="preserve">доклад о работе шестнадцатой сессии рабочей группы по оборудованию цистерн и транспортных средств </w:t>
            </w:r>
            <w:hyperlink r:id="rId11" w:history="1">
              <w:r w:rsidR="003C3A21">
                <w:rPr>
                  <w:rStyle w:val="Hyperlink"/>
                  <w:snapToGrid w:val="0"/>
                </w:rPr>
                <w:t>OTIF/RID/CE/GTT/2018-B</w:t>
              </w:r>
            </w:hyperlink>
            <w:r>
              <w:t>;</w:t>
            </w:r>
          </w:p>
          <w:p w14:paraId="720786C7" w14:textId="77777777" w:rsidR="0038299B" w:rsidRPr="00F01C2A" w:rsidRDefault="0038299B" w:rsidP="0038299B">
            <w:pPr>
              <w:pStyle w:val="SingleTxtG"/>
              <w:tabs>
                <w:tab w:val="left" w:pos="3534"/>
              </w:tabs>
              <w:ind w:left="3534" w:hanging="2400"/>
              <w:rPr>
                <w:snapToGrid w:val="0"/>
              </w:rPr>
            </w:pPr>
            <w:r>
              <w:lastRenderedPageBreak/>
              <w:tab/>
              <w:t xml:space="preserve">доклад о работе семнадцатой сессии рабочей группы по оборудованию цистерн и транспортных средств </w:t>
            </w:r>
            <w:hyperlink r:id="rId12" w:history="1">
              <w:r w:rsidRPr="00C17E47">
                <w:rPr>
                  <w:rStyle w:val="Hyperlink"/>
                </w:rPr>
                <w:t>OTIF/RID/CE/GTT/2019-A</w:t>
              </w:r>
            </w:hyperlink>
            <w:r>
              <w:t>;</w:t>
            </w:r>
          </w:p>
          <w:p w14:paraId="25CA697F" w14:textId="77777777" w:rsidR="0038299B" w:rsidRPr="00B12F4A" w:rsidRDefault="0038299B" w:rsidP="0038299B">
            <w:pPr>
              <w:pStyle w:val="SingleTxtG"/>
              <w:tabs>
                <w:tab w:val="left" w:pos="3534"/>
              </w:tabs>
              <w:ind w:left="3534" w:hanging="2400"/>
            </w:pPr>
            <w:r>
              <w:tab/>
              <w:t xml:space="preserve">доклад о работе одиннадцатой сессии постоянной рабочей группы Комиссии экспертов МПОГ </w:t>
            </w:r>
            <w:hyperlink r:id="rId13" w:history="1">
              <w:r w:rsidRPr="00C17E47">
                <w:rPr>
                  <w:rStyle w:val="Hyperlink"/>
                </w:rPr>
                <w:t>OTIF/RID/CE/GTP/</w:t>
              </w:r>
              <w:r w:rsidR="00C17E47" w:rsidRPr="00C17E47">
                <w:rPr>
                  <w:rStyle w:val="Hyperlink"/>
                </w:rPr>
                <w:t xml:space="preserve"> </w:t>
              </w:r>
              <w:r w:rsidRPr="00C17E47">
                <w:rPr>
                  <w:rStyle w:val="Hyperlink"/>
                </w:rPr>
                <w:t>2019-A</w:t>
              </w:r>
            </w:hyperlink>
            <w:r>
              <w:rPr>
                <w:rStyle w:val="FootnoteReference"/>
              </w:rPr>
              <w:footnoteReference w:id="3"/>
            </w:r>
          </w:p>
        </w:tc>
      </w:tr>
      <w:tr w:rsidR="0038299B" w:rsidRPr="00B12F4A" w14:paraId="2FADC7D5" w14:textId="77777777" w:rsidTr="00783339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E013728" w14:textId="77777777" w:rsidR="0038299B" w:rsidRPr="00B12F4A" w:rsidRDefault="0038299B" w:rsidP="00783339">
            <w:pPr>
              <w:rPr>
                <w:rFonts w:cs="Times New Roman"/>
              </w:rPr>
            </w:pPr>
          </w:p>
        </w:tc>
      </w:tr>
    </w:tbl>
    <w:p w14:paraId="38D8091A" w14:textId="77777777" w:rsidR="0038299B" w:rsidRDefault="0038299B" w:rsidP="0038299B">
      <w:pPr>
        <w:rPr>
          <w:lang w:eastAsia="ru-RU"/>
        </w:rPr>
      </w:pPr>
    </w:p>
    <w:p w14:paraId="52E1F24D" w14:textId="77777777" w:rsidR="006F3620" w:rsidRPr="00F01C2A" w:rsidRDefault="006F3620" w:rsidP="0038299B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4119553B" w14:textId="77777777" w:rsidR="006F3620" w:rsidRPr="001318AB" w:rsidRDefault="006F3620" w:rsidP="006F3620">
      <w:pPr>
        <w:pStyle w:val="SingleTxtG"/>
      </w:pPr>
      <w:r>
        <w:t>1.</w:t>
      </w:r>
      <w:r>
        <w:tab/>
        <w:t>Совместно с бельгийским производителем контейнеров-цистерн Van Hool компания BASF разработала новые 45-футовые и 52-футовые контейнеры-цистерны</w:t>
      </w:r>
      <w:r w:rsidRPr="0038299B">
        <w:rPr>
          <w:sz w:val="18"/>
          <w:szCs w:val="18"/>
          <w:vertAlign w:val="superscript"/>
        </w:rPr>
        <w:footnoteReference w:id="4"/>
      </w:r>
      <w:r>
        <w:t xml:space="preserve"> на технической базе 20-футовых и 30-футовых контейнеров-цистерн, которые уже используются в комбинированных перевозках. Эти контейнеры-цистерны имеют вместимость до 73 500  литров и грузоподъемность 66 тонн. Таким образом, по своей грузоподъемности они эквивалентны двум обычным контейнерам-цистернам или одному вагону-цистерне на тележке.</w:t>
      </w:r>
    </w:p>
    <w:p w14:paraId="03E7896F" w14:textId="77777777" w:rsidR="006F3620" w:rsidRPr="00F01C2A" w:rsidRDefault="006F3620" w:rsidP="006F3620">
      <w:pPr>
        <w:pStyle w:val="SingleTxtG"/>
      </w:pPr>
      <w:r>
        <w:t>2.</w:t>
      </w:r>
      <w:r>
        <w:tab/>
        <w:t>Поскольку эти сверхбольшие контейнеры-цистерны в настоящее время из-за их значительной массы перевозятся в основном по железной дороге, вопросы их безопасности на транспорте до настоящего момента обсуждались в рамках постоянной рабочей группы Комиссии экспертов МПОГ и рабочей группы по оборудованию цистерн и транспортных средств.</w:t>
      </w:r>
    </w:p>
    <w:p w14:paraId="6490285C" w14:textId="77777777" w:rsidR="006F3620" w:rsidRPr="00F01C2A" w:rsidRDefault="006F3620" w:rsidP="006F3620">
      <w:pPr>
        <w:pStyle w:val="SingleTxtG"/>
        <w:rPr>
          <w:szCs w:val="22"/>
        </w:rPr>
      </w:pPr>
      <w:r>
        <w:t>3.</w:t>
      </w:r>
      <w:r>
        <w:tab/>
        <w:t>На своем совещании в марте 2019 года рабочая группа по цистернам Совместного совещания в неофициальном документе INF.19 была проинформирована о соответствующих обсуждениях в рамках рабочей группы по оборудованию цистерн и транспортных средств, при этом в ее адрес была обращена просьба провести обсуждения в отношении толщины стенок, устойчивости к давлению затворов, указав дату следующей проверки цистерны и общих требований, предъявляемых к контейнерам-цистернам.</w:t>
      </w:r>
    </w:p>
    <w:p w14:paraId="096944BD" w14:textId="77777777" w:rsidR="006F3620" w:rsidRPr="00F01C2A" w:rsidRDefault="006F3620" w:rsidP="006F3620">
      <w:pPr>
        <w:pStyle w:val="SingleTxtG"/>
        <w:rPr>
          <w:szCs w:val="22"/>
        </w:rPr>
      </w:pPr>
      <w:r>
        <w:t>4.</w:t>
      </w:r>
      <w:r>
        <w:tab/>
        <w:t>На своем совещании в марте 2018 года рабочая группа по цистернам приняла предварительное решение по пункту 6.8.2.1.2, которое было отражено в издании МПОГ/ДОПОГ 2019 года.</w:t>
      </w:r>
    </w:p>
    <w:p w14:paraId="267ECF0B" w14:textId="77777777" w:rsidR="006F3620" w:rsidRPr="00F01C2A" w:rsidRDefault="006F3620" w:rsidP="006F3620">
      <w:pPr>
        <w:pStyle w:val="SingleTxtG"/>
      </w:pPr>
      <w:r>
        <w:t>5.</w:t>
      </w:r>
      <w:r>
        <w:tab/>
        <w:t>Что касается других вопросов, то рабочая группа по цистернам сочла более целесообразным рассмотреть вопросы, касающиеся прежде всего железных дорог, в рамках рабочей группы по оборудованию цистерн и транспортных средств, с участием экспертов по цистернам (см. доклад ECE/TRANS/WP.15/AC.1/150/Add.1 (OTIF/RID/</w:t>
      </w:r>
      <w:r w:rsidR="0038299B" w:rsidRPr="0038299B">
        <w:t xml:space="preserve"> </w:t>
      </w:r>
      <w:r>
        <w:t>RC/2018-A/Add.1), пункты 27</w:t>
      </w:r>
      <w:r w:rsidR="0024392D" w:rsidRPr="0024392D">
        <w:t>–</w:t>
      </w:r>
      <w:r>
        <w:t>35).</w:t>
      </w:r>
    </w:p>
    <w:p w14:paraId="69D99E4D" w14:textId="77777777" w:rsidR="006F3620" w:rsidRPr="00F01C2A" w:rsidRDefault="006F3620" w:rsidP="006F3620">
      <w:pPr>
        <w:pStyle w:val="SingleTxtG"/>
      </w:pPr>
      <w:r>
        <w:t>6.</w:t>
      </w:r>
      <w:r>
        <w:tab/>
        <w:t>Тем временем рабочая группа по оборудованию цистерн и транспортных средств провела еще две сессии, результаты которых обобщены в докладах OTIF/RID/CE/GTT/2018-B и OTIF/RID/CE/GTT/2019-A. Оба доклада были представлены постоянной рабочей группе.</w:t>
      </w:r>
    </w:p>
    <w:p w14:paraId="5C9AF0D9" w14:textId="77777777" w:rsidR="006F3620" w:rsidRPr="00F01C2A" w:rsidRDefault="006F3620" w:rsidP="006F3620">
      <w:pPr>
        <w:pStyle w:val="SingleTxtG"/>
        <w:rPr>
          <w:szCs w:val="22"/>
        </w:rPr>
      </w:pPr>
      <w:r>
        <w:t>7.</w:t>
      </w:r>
      <w:r>
        <w:tab/>
        <w:t xml:space="preserve">На своей одиннадцатой сессии постоянная рабочая группа постановила, что рассмотрение вопросов </w:t>
      </w:r>
      <w:r w:rsidR="0038299B">
        <w:t>«</w:t>
      </w:r>
      <w:r>
        <w:t>крепления сварных элементов</w:t>
      </w:r>
      <w:r w:rsidR="0038299B">
        <w:t>»</w:t>
      </w:r>
      <w:r>
        <w:t xml:space="preserve"> и </w:t>
      </w:r>
      <w:r w:rsidR="0038299B">
        <w:t>«</w:t>
      </w:r>
      <w:r>
        <w:t>устойчивости к давлению затворов корпуса</w:t>
      </w:r>
      <w:r w:rsidR="0038299B">
        <w:t>»</w:t>
      </w:r>
      <w:r>
        <w:t xml:space="preserve"> считается завершенным, и просила секретариат представить Совместному совещанию соответствующие предложения по адаптации положений, применимых к контейнерам-цистернам (см. доклад OTIF/RID/CE/GTP/2019-A, пункт</w:t>
      </w:r>
      <w:r w:rsidR="0038299B">
        <w:rPr>
          <w:lang w:val="en-US"/>
        </w:rPr>
        <w:t> </w:t>
      </w:r>
      <w:r>
        <w:t>53).</w:t>
      </w:r>
    </w:p>
    <w:p w14:paraId="3F169EDB" w14:textId="77777777" w:rsidR="006F3620" w:rsidRDefault="006F3620" w:rsidP="006F3620">
      <w:pPr>
        <w:pStyle w:val="H1G"/>
        <w:rPr>
          <w:rFonts w:cs="Arial"/>
        </w:rPr>
      </w:pPr>
      <w:r>
        <w:tab/>
      </w:r>
      <w:r>
        <w:tab/>
      </w:r>
      <w:r>
        <w:rPr>
          <w:bCs/>
        </w:rPr>
        <w:t>Крепление сварных соединений</w:t>
      </w:r>
    </w:p>
    <w:p w14:paraId="61D91238" w14:textId="77777777" w:rsidR="006F3620" w:rsidRPr="001318AB" w:rsidRDefault="006F3620" w:rsidP="006F3620">
      <w:pPr>
        <w:pStyle w:val="SingleTxtG"/>
      </w:pPr>
      <w:r>
        <w:t>8.</w:t>
      </w:r>
      <w:r>
        <w:tab/>
        <w:t>В отношении вагонов-цистерн во втором подпункте пункта 6.8.2.2.1 МПОГ в отношении крепления сварных соединений предусматривается следующее:</w:t>
      </w:r>
    </w:p>
    <w:p w14:paraId="5F9CE64D" w14:textId="77777777" w:rsidR="006F3620" w:rsidRPr="00F01C2A" w:rsidRDefault="0038299B" w:rsidP="006F3620">
      <w:pPr>
        <w:pStyle w:val="SingleTxtG"/>
        <w:rPr>
          <w:bCs/>
          <w:iCs/>
        </w:rPr>
      </w:pPr>
      <w:r>
        <w:t>«</w:t>
      </w:r>
      <w:r w:rsidR="006F3620">
        <w:t>Сварные соединения эксплуатационного оборудования, которое приварено к корпусу, должны выполняться так, чтобы корпус был защищен от разгерметизации при нагрузках в случае возникновения аварии. Это может осуществляться следующими способами:</w:t>
      </w:r>
    </w:p>
    <w:p w14:paraId="213C10C2" w14:textId="77777777" w:rsidR="006F3620" w:rsidRPr="00F01C2A" w:rsidRDefault="006F3620" w:rsidP="0038299B">
      <w:pPr>
        <w:pStyle w:val="Bullet1G"/>
        <w:rPr>
          <w:bCs/>
          <w:iCs/>
        </w:rPr>
      </w:pPr>
      <w:r>
        <w:tab/>
      </w:r>
      <w:r w:rsidR="0024392D">
        <w:t>п</w:t>
      </w:r>
      <w:r>
        <w:t>одрамные соединения: крепление с помощью подкладки, которая распределяет динамические нагрузки;</w:t>
      </w:r>
    </w:p>
    <w:p w14:paraId="185BB4D3" w14:textId="77777777" w:rsidR="006F3620" w:rsidRPr="00F01C2A" w:rsidRDefault="006F3620" w:rsidP="0038299B">
      <w:pPr>
        <w:pStyle w:val="Bullet1G"/>
        <w:rPr>
          <w:bCs/>
          <w:iCs/>
        </w:rPr>
      </w:pPr>
      <w:r>
        <w:lastRenderedPageBreak/>
        <w:tab/>
      </w:r>
      <w:r w:rsidR="0024392D">
        <w:t>о</w:t>
      </w:r>
      <w:r>
        <w:t>поры верхних дорожек, лестниц для доступа, дренажных трубопроводов, механизмов для управления клапанами и другие кронштейны под нагрузкой: крепление с помощью приваренной усиливающей пластины;</w:t>
      </w:r>
    </w:p>
    <w:p w14:paraId="1134CE09" w14:textId="77777777" w:rsidR="006F3620" w:rsidRPr="00F01C2A" w:rsidRDefault="006F3620" w:rsidP="0038299B">
      <w:pPr>
        <w:pStyle w:val="Bullet1G"/>
        <w:rPr>
          <w:bCs/>
          <w:iCs/>
        </w:rPr>
      </w:pPr>
      <w:r>
        <w:tab/>
      </w:r>
      <w:r w:rsidR="0024392D">
        <w:t>с</w:t>
      </w:r>
      <w:r>
        <w:t>оответствующие размеры или другие защитные меры (например, предполагаемое место для излома)</w:t>
      </w:r>
      <w:r w:rsidR="0038299B">
        <w:t>»</w:t>
      </w:r>
      <w:r>
        <w:t>.</w:t>
      </w:r>
    </w:p>
    <w:p w14:paraId="31D0D868" w14:textId="77777777" w:rsidR="006F3620" w:rsidRPr="00F01C2A" w:rsidRDefault="006F3620" w:rsidP="006F3620">
      <w:pPr>
        <w:pStyle w:val="SingleTxtG"/>
      </w:pPr>
      <w:r>
        <w:t>9.</w:t>
      </w:r>
      <w:r>
        <w:tab/>
        <w:t xml:space="preserve">В ходе пятнадцатой сессии постоянной рабочей группы ЕСФХП и </w:t>
      </w:r>
      <w:r w:rsidRPr="00904D7E">
        <w:t xml:space="preserve">Van </w:t>
      </w:r>
      <w:r>
        <w:t>Hool подтвердили, что в случае сверхбольших контейнеров-цистерн соединения для стенок не предусматриваются. Сами фитинги заглубляются в цистерну. Кроме того, не используются и стационарные лестницы, а только точки крепления (см.</w:t>
      </w:r>
      <w:r w:rsidR="0038299B">
        <w:t> </w:t>
      </w:r>
      <w:r>
        <w:t>OTIF/RID/</w:t>
      </w:r>
      <w:r w:rsidR="0038299B">
        <w:t xml:space="preserve"> </w:t>
      </w:r>
      <w:r>
        <w:t>CE/GTT/2018-A, пункты 23 и 24).</w:t>
      </w:r>
    </w:p>
    <w:p w14:paraId="340ADCE8" w14:textId="77777777" w:rsidR="006F3620" w:rsidRPr="00F01C2A" w:rsidRDefault="006F3620" w:rsidP="006F3620">
      <w:pPr>
        <w:pStyle w:val="SingleTxtG"/>
      </w:pPr>
      <w:r>
        <w:t>10.</w:t>
      </w:r>
      <w:r>
        <w:tab/>
        <w:t>На своем последнем заседании постоянная рабочая группа рекомендовала предложить включить такое требование и в отношении контейнеров-цистерн.</w:t>
      </w:r>
    </w:p>
    <w:p w14:paraId="1FC982EE" w14:textId="77777777" w:rsidR="006F3620" w:rsidRPr="00F01C2A" w:rsidRDefault="006F3620" w:rsidP="006F3620">
      <w:pPr>
        <w:pStyle w:val="HChG"/>
      </w:pPr>
      <w:r>
        <w:tab/>
      </w:r>
      <w:r>
        <w:tab/>
      </w:r>
      <w:r>
        <w:rPr>
          <w:bCs/>
        </w:rPr>
        <w:t>Предложение 1</w:t>
      </w:r>
    </w:p>
    <w:p w14:paraId="10B0A55A" w14:textId="77777777" w:rsidR="006F3620" w:rsidRPr="00F01C2A" w:rsidRDefault="006F3620" w:rsidP="006F3620">
      <w:pPr>
        <w:pStyle w:val="SingleTxtG"/>
      </w:pPr>
      <w:r>
        <w:t>11.</w:t>
      </w:r>
      <w:r>
        <w:tab/>
        <w:t>Предлагается изменить пункт 6.8.2.2.1 следующим образом:</w:t>
      </w:r>
    </w:p>
    <w:p w14:paraId="63C42CB5" w14:textId="77777777" w:rsidR="006F3620" w:rsidRPr="00F01C2A" w:rsidRDefault="006F3620" w:rsidP="006F3620">
      <w:pPr>
        <w:pStyle w:val="SingleTxtG"/>
      </w:pPr>
      <w:r>
        <w:t>(МПОГ:)</w:t>
      </w:r>
    </w:p>
    <w:p w14:paraId="77F412BD" w14:textId="77777777" w:rsidR="006F3620" w:rsidRPr="00F01C2A" w:rsidRDefault="006F3620" w:rsidP="006F3620">
      <w:pPr>
        <w:pStyle w:val="SingleTxtG"/>
        <w:ind w:left="2268" w:hanging="1134"/>
      </w:pPr>
      <w:r w:rsidRPr="0024392D">
        <w:rPr>
          <w:b/>
        </w:rPr>
        <w:t>6.8.2.2.1</w:t>
      </w:r>
      <w:r>
        <w:tab/>
        <w:t>За исключением первого абзаца распространить текст второго подпункта, показанного в левой колонке, на правую колонку, с тем чтобы он применялся также и к контейнерам-цистернам.</w:t>
      </w:r>
    </w:p>
    <w:p w14:paraId="697FC795" w14:textId="77777777" w:rsidR="006F3620" w:rsidRPr="00F01C2A" w:rsidRDefault="006F3620" w:rsidP="006F3620">
      <w:pPr>
        <w:pStyle w:val="SingleTxtG"/>
      </w:pPr>
      <w:r>
        <w:t>(ДОПОГ:)</w:t>
      </w:r>
    </w:p>
    <w:p w14:paraId="661880C2" w14:textId="77777777" w:rsidR="006F3620" w:rsidRPr="00F01C2A" w:rsidRDefault="006F3620" w:rsidP="006F3620">
      <w:pPr>
        <w:pStyle w:val="SingleTxtG"/>
      </w:pPr>
      <w:r w:rsidRPr="0024392D">
        <w:rPr>
          <w:b/>
        </w:rPr>
        <w:t>6.8.2.2.1</w:t>
      </w:r>
      <w:r>
        <w:tab/>
        <w:t>Включить в правую колонку следующий второй подпункт:</w:t>
      </w:r>
    </w:p>
    <w:p w14:paraId="55108651" w14:textId="77777777" w:rsidR="006F3620" w:rsidRPr="00F01C2A" w:rsidRDefault="0038299B" w:rsidP="006F3620">
      <w:pPr>
        <w:pStyle w:val="SingleTxtG"/>
        <w:ind w:left="2268"/>
        <w:rPr>
          <w:rFonts w:cs="Arial"/>
          <w:bCs/>
          <w:iCs/>
          <w:szCs w:val="22"/>
        </w:rPr>
      </w:pPr>
      <w:r>
        <w:t>«</w:t>
      </w:r>
      <w:r w:rsidR="006F3620">
        <w:t>Сварные соединения эксплуатационного оборудования, которое приварено к корпусу, должны выполняться так, чтобы корпус был защищен от разгерметизации при нагрузках в случае возникновения аварии. Это может осуществляться следующими способами:</w:t>
      </w:r>
    </w:p>
    <w:p w14:paraId="75FDA438" w14:textId="77777777" w:rsidR="006F3620" w:rsidRPr="00F01C2A" w:rsidRDefault="006F3620" w:rsidP="0038299B">
      <w:pPr>
        <w:pStyle w:val="Bullet2G"/>
        <w:rPr>
          <w:rFonts w:cs="Arial"/>
          <w:bCs/>
          <w:iCs/>
          <w:szCs w:val="22"/>
        </w:rPr>
      </w:pPr>
      <w:r>
        <w:tab/>
      </w:r>
      <w:r w:rsidR="0024392D">
        <w:t>о</w:t>
      </w:r>
      <w:r>
        <w:t>поры верхних дорожек, лестниц для доступа, дренажных трубопроводов, механизмов для управления клапанами и другие кронштейны под нагрузкой: крепление с помощью приваренной усиливающей пластины;</w:t>
      </w:r>
    </w:p>
    <w:p w14:paraId="1E91ED89" w14:textId="77777777" w:rsidR="006F3620" w:rsidRPr="00F01C2A" w:rsidRDefault="0024392D" w:rsidP="0038299B">
      <w:pPr>
        <w:pStyle w:val="Bullet2G"/>
        <w:rPr>
          <w:rFonts w:cs="Arial"/>
          <w:bCs/>
          <w:iCs/>
          <w:szCs w:val="22"/>
        </w:rPr>
      </w:pPr>
      <w:r>
        <w:t>с</w:t>
      </w:r>
      <w:r w:rsidR="006F3620">
        <w:t>оответствующие размеры или другие защитные меры (например, предполагаемое место для излома)</w:t>
      </w:r>
      <w:r w:rsidR="0038299B">
        <w:t>»</w:t>
      </w:r>
      <w:r w:rsidR="006F3620">
        <w:t>.</w:t>
      </w:r>
    </w:p>
    <w:p w14:paraId="5F52578A" w14:textId="77777777" w:rsidR="006F3620" w:rsidRPr="00F01C2A" w:rsidRDefault="006F3620" w:rsidP="006F3620">
      <w:pPr>
        <w:pStyle w:val="SingleTxtG"/>
      </w:pPr>
      <w:r>
        <w:t>12.</w:t>
      </w:r>
      <w:r>
        <w:tab/>
        <w:t>В случае необходимости рабочая группа по цистернам могла бы также проверить, требуется ли аналогичное положение и для автоцистерн.</w:t>
      </w:r>
    </w:p>
    <w:p w14:paraId="74F540DE" w14:textId="77777777" w:rsidR="006F3620" w:rsidRPr="00F01C2A" w:rsidRDefault="006F3620" w:rsidP="006F3620">
      <w:pPr>
        <w:pStyle w:val="H1G"/>
      </w:pPr>
      <w:r>
        <w:tab/>
      </w:r>
      <w:r>
        <w:tab/>
      </w:r>
      <w:r>
        <w:rPr>
          <w:bCs/>
        </w:rPr>
        <w:t>Устойчивые к давлению затворы</w:t>
      </w:r>
    </w:p>
    <w:p w14:paraId="7FC66886" w14:textId="77777777" w:rsidR="006F3620" w:rsidRPr="00F01C2A" w:rsidRDefault="006F3620" w:rsidP="0038299B">
      <w:pPr>
        <w:pStyle w:val="SingleTxtG"/>
        <w:spacing w:after="240"/>
      </w:pPr>
      <w:r>
        <w:t>13.</w:t>
      </w:r>
      <w:r>
        <w:tab/>
        <w:t>В действующем варианте пункт 6.8.2.2.4 гласит: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29"/>
        <w:gridCol w:w="2976"/>
      </w:tblGrid>
      <w:tr w:rsidR="006F3620" w:rsidRPr="00F01C2A" w14:paraId="2915D1A8" w14:textId="77777777" w:rsidTr="00783339">
        <w:tc>
          <w:tcPr>
            <w:tcW w:w="700" w:type="dxa"/>
          </w:tcPr>
          <w:p w14:paraId="79A4E1D3" w14:textId="77777777" w:rsidR="006F3620" w:rsidRPr="00794A17" w:rsidRDefault="006F3620" w:rsidP="00783339">
            <w:pPr>
              <w:tabs>
                <w:tab w:val="left" w:pos="1027"/>
                <w:tab w:val="left" w:pos="2977"/>
                <w:tab w:val="left" w:pos="4395"/>
              </w:tabs>
            </w:pPr>
            <w:r>
              <w:rPr>
                <w:b/>
                <w:bCs/>
              </w:rPr>
              <w:t>6.8.2.2.4</w:t>
            </w:r>
          </w:p>
        </w:tc>
        <w:tc>
          <w:tcPr>
            <w:tcW w:w="780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05"/>
            </w:tblGrid>
            <w:tr w:rsidR="006F3620" w:rsidRPr="00F01C2A" w14:paraId="3421010D" w14:textId="77777777" w:rsidTr="00783339">
              <w:trPr>
                <w:trHeight w:val="187"/>
              </w:trPr>
              <w:tc>
                <w:tcPr>
                  <w:tcW w:w="7805" w:type="dxa"/>
                </w:tcPr>
                <w:p w14:paraId="45785350" w14:textId="77777777" w:rsidR="006F3620" w:rsidRPr="00F01C2A" w:rsidRDefault="006F3620" w:rsidP="0038299B">
                  <w:pPr>
                    <w:tabs>
                      <w:tab w:val="left" w:pos="1418"/>
                      <w:tab w:val="left" w:pos="2977"/>
                      <w:tab w:val="left" w:pos="4395"/>
                    </w:tabs>
                    <w:ind w:left="315"/>
                  </w:pPr>
                  <w:r>
                    <w:t xml:space="preserve">Корпус или каждая из его секций должны иметь достаточно большое отверстие, позволяющее производить внутренний осмотр. </w:t>
                  </w:r>
                </w:p>
              </w:tc>
            </w:tr>
          </w:tbl>
          <w:p w14:paraId="71321328" w14:textId="77777777" w:rsidR="006F3620" w:rsidRPr="00F01C2A" w:rsidRDefault="006F3620" w:rsidP="0038299B">
            <w:pPr>
              <w:tabs>
                <w:tab w:val="left" w:pos="1418"/>
                <w:tab w:val="left" w:pos="2977"/>
                <w:tab w:val="left" w:pos="4395"/>
              </w:tabs>
              <w:ind w:left="434"/>
            </w:pPr>
          </w:p>
        </w:tc>
      </w:tr>
      <w:tr w:rsidR="006F3620" w:rsidRPr="00F01C2A" w14:paraId="18B2807F" w14:textId="77777777" w:rsidTr="00783339">
        <w:tc>
          <w:tcPr>
            <w:tcW w:w="700" w:type="dxa"/>
          </w:tcPr>
          <w:p w14:paraId="4518D1B4" w14:textId="77777777" w:rsidR="006F3620" w:rsidRPr="00F01C2A" w:rsidRDefault="006F3620" w:rsidP="00783339">
            <w:pPr>
              <w:tabs>
                <w:tab w:val="left" w:pos="1418"/>
                <w:tab w:val="left" w:pos="2977"/>
                <w:tab w:val="left" w:pos="4395"/>
              </w:tabs>
            </w:pPr>
          </w:p>
        </w:tc>
        <w:tc>
          <w:tcPr>
            <w:tcW w:w="4829" w:type="dxa"/>
            <w:tcBorders>
              <w:right w:val="single" w:sz="4" w:space="0" w:color="auto"/>
            </w:tcBorders>
          </w:tcPr>
          <w:p w14:paraId="6431BEA7" w14:textId="77777777" w:rsidR="006F3620" w:rsidRPr="00F01C2A" w:rsidRDefault="006F3620" w:rsidP="0038299B">
            <w:pPr>
              <w:tabs>
                <w:tab w:val="left" w:pos="1418"/>
                <w:tab w:val="left" w:pos="2977"/>
                <w:tab w:val="left" w:pos="4395"/>
              </w:tabs>
              <w:ind w:left="434"/>
            </w:pPr>
            <w:r>
              <w:t>(Только МПОГ:)</w:t>
            </w:r>
          </w:p>
          <w:p w14:paraId="636C0BD2" w14:textId="77777777" w:rsidR="006F3620" w:rsidRPr="00F01C2A" w:rsidRDefault="006F3620" w:rsidP="0038299B">
            <w:pPr>
              <w:tabs>
                <w:tab w:val="left" w:pos="1418"/>
                <w:tab w:val="left" w:pos="2977"/>
                <w:tab w:val="left" w:pos="4395"/>
              </w:tabs>
              <w:ind w:left="434"/>
            </w:pPr>
            <w:r>
              <w:t xml:space="preserve">Эти отверстия должны быть снабжены затворами, рассчитанными на испытательное давление не менее 0,4 МРа (4 бар). Крышки откидных куполов для цистерн с испытательным давлением более </w:t>
            </w:r>
            <w:r w:rsidR="0038299B">
              <w:br/>
            </w:r>
            <w:r>
              <w:t>0,6 МРа (6 бар) не допускаются.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30E5A7F" w14:textId="77777777" w:rsidR="006F3620" w:rsidRPr="00F01C2A" w:rsidRDefault="006F3620" w:rsidP="0038299B">
            <w:pPr>
              <w:tabs>
                <w:tab w:val="left" w:pos="1418"/>
                <w:tab w:val="left" w:pos="2977"/>
                <w:tab w:val="left" w:pos="4395"/>
              </w:tabs>
              <w:ind w:left="434"/>
            </w:pPr>
          </w:p>
        </w:tc>
      </w:tr>
    </w:tbl>
    <w:p w14:paraId="12F8511F" w14:textId="77777777" w:rsidR="006F3620" w:rsidRPr="00F01C2A" w:rsidRDefault="006F3620" w:rsidP="0038299B">
      <w:pPr>
        <w:pStyle w:val="SingleTxtG"/>
        <w:pageBreakBefore/>
        <w:spacing w:before="120"/>
      </w:pPr>
      <w:r>
        <w:lastRenderedPageBreak/>
        <w:t>14.</w:t>
      </w:r>
      <w:r>
        <w:tab/>
        <w:t>В докладе OTIF/RID/CE/GTT/2018-A рабочая группа по оборудованию цистерн и транспортных средств отметила в этой связи следующее:</w:t>
      </w:r>
    </w:p>
    <w:p w14:paraId="5B4CC297" w14:textId="77777777" w:rsidR="006F3620" w:rsidRPr="00F01C2A" w:rsidRDefault="0038299B" w:rsidP="006F3620">
      <w:pPr>
        <w:pStyle w:val="SingleTxtG"/>
        <w:ind w:left="3402"/>
        <w:rPr>
          <w:bCs/>
          <w:i/>
        </w:rPr>
      </w:pPr>
      <w:r>
        <w:rPr>
          <w:i/>
          <w:iCs/>
        </w:rPr>
        <w:t>«</w:t>
      </w:r>
      <w:r w:rsidR="006F3620">
        <w:rPr>
          <w:i/>
          <w:iCs/>
          <w:u w:val="single"/>
        </w:rPr>
        <w:t>Устойчивые к давлению затворы</w:t>
      </w:r>
    </w:p>
    <w:p w14:paraId="2AD1FAC4" w14:textId="77777777" w:rsidR="006F3620" w:rsidRPr="00F01C2A" w:rsidRDefault="006F3620" w:rsidP="006F3620">
      <w:pPr>
        <w:pStyle w:val="SingleTxtG"/>
        <w:ind w:left="1701"/>
        <w:rPr>
          <w:bCs/>
          <w:i/>
        </w:rPr>
      </w:pPr>
      <w:r w:rsidRPr="0024392D">
        <w:rPr>
          <w:i/>
        </w:rPr>
        <w:t>26.</w:t>
      </w:r>
      <w:r>
        <w:tab/>
      </w:r>
      <w:r>
        <w:rPr>
          <w:i/>
          <w:iCs/>
        </w:rPr>
        <w:t>В пункте 6.8.2.2.4 для вагонов-цистерн указано удельное сопротивление давлению для затворов отверстий.</w:t>
      </w:r>
      <w:r>
        <w:t xml:space="preserve"> </w:t>
      </w:r>
      <w:r>
        <w:rPr>
          <w:i/>
          <w:iCs/>
        </w:rPr>
        <w:t xml:space="preserve">Напоминалось, что это положение было включено, с тем чтобы избежать утечек из затворов в результате </w:t>
      </w:r>
      <w:r w:rsidRPr="00395DD1">
        <w:rPr>
          <w:i/>
          <w:iCs/>
        </w:rPr>
        <w:t>удара от всплеска жидкости</w:t>
      </w:r>
      <w:r>
        <w:rPr>
          <w:i/>
          <w:iCs/>
        </w:rPr>
        <w:t>.</w:t>
      </w:r>
    </w:p>
    <w:p w14:paraId="548DF7DC" w14:textId="77777777" w:rsidR="006F3620" w:rsidRPr="00F01C2A" w:rsidRDefault="006F3620" w:rsidP="006F3620">
      <w:pPr>
        <w:pStyle w:val="SingleTxtG"/>
        <w:ind w:left="1701"/>
        <w:rPr>
          <w:bCs/>
          <w:i/>
        </w:rPr>
      </w:pPr>
      <w:r w:rsidRPr="0024392D">
        <w:rPr>
          <w:i/>
        </w:rPr>
        <w:t>27.</w:t>
      </w:r>
      <w:r>
        <w:tab/>
      </w:r>
      <w:r>
        <w:rPr>
          <w:i/>
          <w:iCs/>
        </w:rPr>
        <w:t xml:space="preserve">Представитель </w:t>
      </w:r>
      <w:r>
        <w:rPr>
          <w:i/>
          <w:iCs/>
          <w:lang w:val="fr-CA"/>
        </w:rPr>
        <w:t>V</w:t>
      </w:r>
      <w:r>
        <w:rPr>
          <w:i/>
          <w:iCs/>
        </w:rPr>
        <w:t>an Hool подтвердил, что сверхбольшие контейнеры-цистерны также соответствуют этому требованию.</w:t>
      </w:r>
    </w:p>
    <w:p w14:paraId="656A97C6" w14:textId="77777777" w:rsidR="006F3620" w:rsidRPr="00F01C2A" w:rsidRDefault="006F3620" w:rsidP="006F3620">
      <w:pPr>
        <w:pStyle w:val="SingleTxtG"/>
        <w:ind w:left="1701"/>
        <w:rPr>
          <w:bCs/>
          <w:i/>
        </w:rPr>
      </w:pPr>
      <w:r w:rsidRPr="0024392D">
        <w:rPr>
          <w:i/>
        </w:rPr>
        <w:t>28.</w:t>
      </w:r>
      <w:r>
        <w:tab/>
      </w:r>
      <w:r>
        <w:rPr>
          <w:i/>
          <w:iCs/>
        </w:rPr>
        <w:t>Рабочая группа обратилась к рабочей группе по цистернам Совместного совещания с просьбой проверить, можно ли в этом случае согласовать положения, касающиеся вагонов-цистерн и контейнеров-цистерн, поскольку стандарт EN 14025 также определяет соответствующие значения давления для всех цистерн</w:t>
      </w:r>
      <w:r w:rsidR="0038299B">
        <w:rPr>
          <w:i/>
          <w:iCs/>
        </w:rPr>
        <w:t>»</w:t>
      </w:r>
      <w:r>
        <w:rPr>
          <w:i/>
          <w:iCs/>
        </w:rPr>
        <w:t>.</w:t>
      </w:r>
    </w:p>
    <w:p w14:paraId="454D7380" w14:textId="77777777" w:rsidR="006F3620" w:rsidRPr="006F3620" w:rsidRDefault="006F3620" w:rsidP="006F3620">
      <w:pPr>
        <w:pStyle w:val="SingleTxtG"/>
        <w:rPr>
          <w:rFonts w:cs="Arial"/>
          <w:szCs w:val="22"/>
          <w:lang w:val="en-US"/>
        </w:rPr>
      </w:pPr>
      <w:r>
        <w:t>15.</w:t>
      </w:r>
      <w:r>
        <w:tab/>
        <w:t>На своем совещании в марте 2018 года рабочая группа по цистернам Совместного совещания уже установила, что, п</w:t>
      </w:r>
      <w:r w:rsidRPr="00395DD1">
        <w:t>оскольку длина сверхбольших контейнеров-цистерн превышает длину обычных контейнеров-цистерн,</w:t>
      </w:r>
      <w:r>
        <w:t xml:space="preserve"> давление в результате </w:t>
      </w:r>
      <w:r w:rsidRPr="00395DD1">
        <w:t>удара от всплеска жидкости</w:t>
      </w:r>
      <w:r>
        <w:t xml:space="preserve"> также возрастает по сравнению с обычными контейнерами-цистернами. Это может служить основанием для применения требований, содержащихся в пункте 6.8.2.2.4, к сверхбольшим контейнерам-цистернам (см. </w:t>
      </w:r>
      <w:r w:rsidRPr="00F01C2A">
        <w:rPr>
          <w:lang w:val="en-US"/>
        </w:rPr>
        <w:t xml:space="preserve">ECE/TRANS/WP.15/AC.1/150/Add.1 (OTIF/RID/RC/2018/Add.1), </w:t>
      </w:r>
      <w:r>
        <w:t>пункт</w:t>
      </w:r>
      <w:r w:rsidR="0038299B" w:rsidRPr="0038299B">
        <w:rPr>
          <w:lang w:val="en-US"/>
        </w:rPr>
        <w:t> </w:t>
      </w:r>
      <w:r w:rsidRPr="00F01C2A">
        <w:rPr>
          <w:lang w:val="en-US"/>
        </w:rPr>
        <w:t>32).</w:t>
      </w:r>
    </w:p>
    <w:p w14:paraId="4754D6E8" w14:textId="77777777" w:rsidR="006F3620" w:rsidRPr="00F01C2A" w:rsidRDefault="006F3620" w:rsidP="006F3620">
      <w:pPr>
        <w:pStyle w:val="SingleTxtG"/>
        <w:rPr>
          <w:rFonts w:cs="Arial"/>
          <w:szCs w:val="22"/>
        </w:rPr>
      </w:pPr>
      <w:r>
        <w:t>16.</w:t>
      </w:r>
      <w:r>
        <w:tab/>
        <w:t>После того как на семнадцатой сессии рабочей группы по оборудованию цистерн и транспортных средств было вновь подтверждено, что запоры уже существующих сверхбольших контейнеров-цистерн отвечают этому требованию и что обычные контейнеры-цистерны в настоящее время также изготовляются исходя из минимального расчетного давления 4 бар, рабочая группа по оборудованию цистерн и транспортных средств рекомендовала рабочей группе по цистернам Совместного совещания МПОГ/ДОПОГ/ВОПОГ предложить включить это требование и в отношении контейнеров-цистерн.</w:t>
      </w:r>
    </w:p>
    <w:p w14:paraId="1CC56138" w14:textId="77777777" w:rsidR="006F3620" w:rsidRPr="00F01C2A" w:rsidRDefault="006F3620" w:rsidP="006F3620">
      <w:pPr>
        <w:pStyle w:val="HChG"/>
      </w:pPr>
      <w:r>
        <w:tab/>
      </w:r>
      <w:r>
        <w:tab/>
      </w:r>
      <w:r>
        <w:rPr>
          <w:bCs/>
        </w:rPr>
        <w:t>Предложение 2</w:t>
      </w:r>
    </w:p>
    <w:p w14:paraId="5B2F5A23" w14:textId="77777777" w:rsidR="006F3620" w:rsidRPr="00F01C2A" w:rsidRDefault="006F3620" w:rsidP="006F3620">
      <w:pPr>
        <w:pStyle w:val="SingleTxtG"/>
      </w:pPr>
      <w:r>
        <w:t>17.</w:t>
      </w:r>
      <w:r>
        <w:tab/>
        <w:t>Предлагается изменить пункт 6.8.2.2.4 следующим образом:</w:t>
      </w:r>
    </w:p>
    <w:p w14:paraId="42A1E4C7" w14:textId="77777777" w:rsidR="006F3620" w:rsidRPr="00F01C2A" w:rsidRDefault="006F3620" w:rsidP="006F3620">
      <w:pPr>
        <w:pStyle w:val="SingleTxtG"/>
      </w:pPr>
      <w:r>
        <w:t>(МПОГ:)</w:t>
      </w:r>
    </w:p>
    <w:p w14:paraId="57D28DFE" w14:textId="77777777" w:rsidR="006F3620" w:rsidRPr="00F01C2A" w:rsidRDefault="006F3620" w:rsidP="006F3620">
      <w:pPr>
        <w:pStyle w:val="SingleTxtG"/>
        <w:ind w:left="2268" w:hanging="1134"/>
      </w:pPr>
      <w:r w:rsidRPr="0024392D">
        <w:rPr>
          <w:b/>
        </w:rPr>
        <w:t>6.8.2.2.4</w:t>
      </w:r>
      <w:r>
        <w:tab/>
        <w:t>Распространить текст второго подпункта, показанного в левой колонке, на правую колонку, с тем чтобы он применялся также и к контейнерам-цистернам.</w:t>
      </w:r>
    </w:p>
    <w:p w14:paraId="439E3219" w14:textId="77777777" w:rsidR="006F3620" w:rsidRPr="00F01C2A" w:rsidRDefault="006F3620" w:rsidP="006F3620">
      <w:pPr>
        <w:pStyle w:val="SingleTxtG"/>
      </w:pPr>
      <w:r>
        <w:t>(ДОПОГ:)</w:t>
      </w:r>
    </w:p>
    <w:p w14:paraId="26F4C758" w14:textId="77777777" w:rsidR="006F3620" w:rsidRPr="00F01C2A" w:rsidRDefault="006F3620" w:rsidP="006F3620">
      <w:pPr>
        <w:pStyle w:val="SingleTxtG"/>
      </w:pPr>
      <w:r w:rsidRPr="0024392D">
        <w:rPr>
          <w:b/>
        </w:rPr>
        <w:t>6.8.2.2.1</w:t>
      </w:r>
      <w:r>
        <w:tab/>
        <w:t>Включить в правую колонку следующий второй подпункт:</w:t>
      </w:r>
    </w:p>
    <w:p w14:paraId="179041C7" w14:textId="77777777" w:rsidR="006F3620" w:rsidRPr="00F01C2A" w:rsidRDefault="0038299B" w:rsidP="006F3620">
      <w:pPr>
        <w:pStyle w:val="SingleTxtG"/>
        <w:ind w:left="2268"/>
      </w:pPr>
      <w:r>
        <w:t>«</w:t>
      </w:r>
      <w:r w:rsidR="006F3620">
        <w:t>Эти отверстия должны быть снабжены затворами, рассчитанными на испытательное давление не менее 0,4 МРа (4 бар). Крышки откидных куполов для цистерн с испытательным давлением более 0,6 МРа (6 бар) не допускаются</w:t>
      </w:r>
      <w:r>
        <w:t>»</w:t>
      </w:r>
      <w:r w:rsidR="006F3620">
        <w:t>.</w:t>
      </w:r>
    </w:p>
    <w:p w14:paraId="14383BB9" w14:textId="77777777" w:rsidR="006F3620" w:rsidRPr="00F01C2A" w:rsidRDefault="006F3620" w:rsidP="006F3620">
      <w:pPr>
        <w:pStyle w:val="SingleTxtG"/>
      </w:pPr>
      <w:r>
        <w:t>18.</w:t>
      </w:r>
      <w:r>
        <w:tab/>
        <w:t>Поскольку стандарт EN 14025 предусматривает эти значения давления для всех цистерн, автоцистерны могут быть включены и в ДОПОГ с предусмотренной в пункте</w:t>
      </w:r>
      <w:r w:rsidR="0038299B">
        <w:t> </w:t>
      </w:r>
      <w:r>
        <w:t>6.8.2.2.1 схемой, аналогичной той, которая приводится в МПОГ.</w:t>
      </w:r>
    </w:p>
    <w:p w14:paraId="4C57E62C" w14:textId="77777777" w:rsidR="006F3620" w:rsidRPr="00F01C2A" w:rsidRDefault="006F3620" w:rsidP="006F3620">
      <w:pPr>
        <w:spacing w:before="240"/>
        <w:jc w:val="center"/>
        <w:rPr>
          <w:u w:val="single"/>
        </w:rPr>
      </w:pPr>
      <w:r w:rsidRPr="00F01C2A">
        <w:rPr>
          <w:u w:val="single"/>
        </w:rPr>
        <w:tab/>
      </w:r>
      <w:r w:rsidRPr="00F01C2A">
        <w:rPr>
          <w:u w:val="single"/>
        </w:rPr>
        <w:tab/>
      </w:r>
      <w:r w:rsidRPr="00F01C2A">
        <w:rPr>
          <w:u w:val="single"/>
        </w:rPr>
        <w:tab/>
      </w:r>
    </w:p>
    <w:p w14:paraId="63260823" w14:textId="77777777" w:rsidR="00E12C5F" w:rsidRPr="008D53B6" w:rsidRDefault="00E12C5F" w:rsidP="00D9145B"/>
    <w:sectPr w:rsidR="00E12C5F" w:rsidRPr="008D53B6" w:rsidSect="007A264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D1A5E" w14:textId="77777777" w:rsidR="00D85716" w:rsidRPr="00A312BC" w:rsidRDefault="00D85716" w:rsidP="00A312BC"/>
  </w:endnote>
  <w:endnote w:type="continuationSeparator" w:id="0">
    <w:p w14:paraId="09BD8161" w14:textId="77777777" w:rsidR="00D85716" w:rsidRPr="00A312BC" w:rsidRDefault="00D857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5B64" w14:textId="4AD91921" w:rsidR="007A2647" w:rsidRPr="007A2647" w:rsidRDefault="007A2647">
    <w:pPr>
      <w:pStyle w:val="Footer"/>
    </w:pPr>
    <w:r w:rsidRPr="007A2647">
      <w:rPr>
        <w:b/>
        <w:sz w:val="18"/>
      </w:rPr>
      <w:fldChar w:fldCharType="begin"/>
    </w:r>
    <w:r w:rsidRPr="007A2647">
      <w:rPr>
        <w:b/>
        <w:sz w:val="18"/>
      </w:rPr>
      <w:instrText xml:space="preserve"> PAGE  \* MERGEFORMAT </w:instrText>
    </w:r>
    <w:r w:rsidRPr="007A2647">
      <w:rPr>
        <w:b/>
        <w:sz w:val="18"/>
      </w:rPr>
      <w:fldChar w:fldCharType="separate"/>
    </w:r>
    <w:r w:rsidR="00FF6F32">
      <w:rPr>
        <w:b/>
        <w:noProof/>
        <w:sz w:val="18"/>
      </w:rPr>
      <w:t>4</w:t>
    </w:r>
    <w:r w:rsidRPr="007A2647">
      <w:rPr>
        <w:b/>
        <w:sz w:val="18"/>
      </w:rPr>
      <w:fldChar w:fldCharType="end"/>
    </w:r>
    <w:r>
      <w:rPr>
        <w:b/>
        <w:sz w:val="18"/>
      </w:rPr>
      <w:tab/>
    </w:r>
    <w:r>
      <w:t>GE.19-21804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14E1" w14:textId="49C5429F" w:rsidR="007A2647" w:rsidRPr="007A2647" w:rsidRDefault="007A2647" w:rsidP="007A2647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GE.19-21804</w:t>
    </w:r>
    <w:r>
      <w:tab/>
    </w:r>
    <w:r w:rsidRPr="007A2647">
      <w:rPr>
        <w:b/>
        <w:sz w:val="18"/>
      </w:rPr>
      <w:fldChar w:fldCharType="begin"/>
    </w:r>
    <w:r w:rsidRPr="007A2647">
      <w:rPr>
        <w:b/>
        <w:sz w:val="18"/>
      </w:rPr>
      <w:instrText xml:space="preserve"> PAGE  \* MERGEFORMAT </w:instrText>
    </w:r>
    <w:r w:rsidRPr="007A2647">
      <w:rPr>
        <w:b/>
        <w:sz w:val="18"/>
      </w:rPr>
      <w:fldChar w:fldCharType="separate"/>
    </w:r>
    <w:r w:rsidR="00FF6F32">
      <w:rPr>
        <w:b/>
        <w:noProof/>
        <w:sz w:val="18"/>
      </w:rPr>
      <w:t>5</w:t>
    </w:r>
    <w:r w:rsidRPr="007A26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5A6A" w14:textId="77777777" w:rsidR="00042B72" w:rsidRPr="007A2647" w:rsidRDefault="007A2647" w:rsidP="007A2647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EA7D360" wp14:editId="3764F4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19-21804  (R)</w:t>
    </w:r>
    <w:r w:rsidR="0038299B">
      <w:rPr>
        <w:lang w:val="en-US"/>
      </w:rPr>
      <w:t xml:space="preserve">  060120  060120</w:t>
    </w:r>
    <w:r>
      <w:br/>
    </w:r>
    <w:r w:rsidRPr="007A2647">
      <w:rPr>
        <w:rFonts w:ascii="C39T30Lfz" w:hAnsi="C39T30Lfz"/>
        <w:kern w:val="14"/>
        <w:sz w:val="56"/>
      </w:rPr>
      <w:t></w:t>
    </w:r>
    <w:r w:rsidRPr="007A2647">
      <w:rPr>
        <w:rFonts w:ascii="C39T30Lfz" w:hAnsi="C39T30Lfz"/>
        <w:kern w:val="14"/>
        <w:sz w:val="56"/>
      </w:rPr>
      <w:t></w:t>
    </w:r>
    <w:r w:rsidRPr="007A2647">
      <w:rPr>
        <w:rFonts w:ascii="C39T30Lfz" w:hAnsi="C39T30Lfz"/>
        <w:kern w:val="14"/>
        <w:sz w:val="56"/>
      </w:rPr>
      <w:t></w:t>
    </w:r>
    <w:r w:rsidRPr="007A2647">
      <w:rPr>
        <w:rFonts w:ascii="C39T30Lfz" w:hAnsi="C39T30Lfz"/>
        <w:kern w:val="14"/>
        <w:sz w:val="56"/>
      </w:rPr>
      <w:t></w:t>
    </w:r>
    <w:r w:rsidRPr="007A2647">
      <w:rPr>
        <w:rFonts w:ascii="C39T30Lfz" w:hAnsi="C39T30Lfz"/>
        <w:kern w:val="14"/>
        <w:sz w:val="56"/>
      </w:rPr>
      <w:t></w:t>
    </w:r>
    <w:r w:rsidRPr="007A2647">
      <w:rPr>
        <w:rFonts w:ascii="C39T30Lfz" w:hAnsi="C39T30Lfz"/>
        <w:kern w:val="14"/>
        <w:sz w:val="56"/>
      </w:rPr>
      <w:t></w:t>
    </w:r>
    <w:r w:rsidRPr="007A2647">
      <w:rPr>
        <w:rFonts w:ascii="C39T30Lfz" w:hAnsi="C39T30Lfz"/>
        <w:kern w:val="14"/>
        <w:sz w:val="56"/>
      </w:rPr>
      <w:t></w:t>
    </w:r>
    <w:r w:rsidRPr="007A2647">
      <w:rPr>
        <w:rFonts w:ascii="C39T30Lfz" w:hAnsi="C39T30Lfz"/>
        <w:kern w:val="14"/>
        <w:sz w:val="56"/>
      </w:rPr>
      <w:t></w:t>
    </w:r>
    <w:r w:rsidRPr="007A2647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34AA436" wp14:editId="518A8B3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58C8" w14:textId="77777777" w:rsidR="00D85716" w:rsidRPr="001075E9" w:rsidRDefault="00D857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5C1BBD" w14:textId="77777777" w:rsidR="00D85716" w:rsidRDefault="00D857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0C0138" w14:textId="77777777" w:rsidR="0038299B" w:rsidRPr="00F01C2A" w:rsidRDefault="0038299B" w:rsidP="0038299B">
      <w:pPr>
        <w:pStyle w:val="FootnoteText"/>
        <w:rPr>
          <w:sz w:val="20"/>
        </w:rPr>
      </w:pPr>
      <w:r>
        <w:tab/>
      </w:r>
      <w:r w:rsidRPr="0038299B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14:paraId="26979052" w14:textId="77777777" w:rsidR="006F3620" w:rsidRPr="00F01C2A" w:rsidRDefault="006F3620" w:rsidP="006F3620">
      <w:pPr>
        <w:pStyle w:val="FootnoteText"/>
        <w:rPr>
          <w:sz w:val="20"/>
        </w:rPr>
      </w:pPr>
      <w:r>
        <w:tab/>
      </w:r>
      <w:r w:rsidRPr="0038299B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OTIF/RID/RC/2020/6.</w:t>
      </w:r>
    </w:p>
  </w:footnote>
  <w:footnote w:id="3">
    <w:p w14:paraId="1F885E80" w14:textId="77777777" w:rsidR="0038299B" w:rsidRPr="00F01C2A" w:rsidRDefault="0038299B" w:rsidP="0038299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Поскольку в настоящее время этот доклад в настоящее время находится на этапе согласования с участниками одиннадцатой сессии постоянной рабочей группы, он еще не опубликован на веб-сайте ОТИФ. Его можно будет загрузить примерно с середины января 2020 года по адресу </w:t>
      </w:r>
      <w:hyperlink r:id="rId1" w:history="1">
        <w:r w:rsidRPr="0038299B">
          <w:rPr>
            <w:rStyle w:val="Hyperlink"/>
          </w:rPr>
          <w:t>http://www.otif.org</w:t>
        </w:r>
      </w:hyperlink>
      <w:r>
        <w:t xml:space="preserve"> &gt; Activities &gt; Dangerous Goods &gt; Standing Working Group &gt; Reports.</w:t>
      </w:r>
    </w:p>
  </w:footnote>
  <w:footnote w:id="4">
    <w:p w14:paraId="4D9E1DA1" w14:textId="77777777" w:rsidR="006F3620" w:rsidRPr="00F01C2A" w:rsidRDefault="0038299B" w:rsidP="0038299B">
      <w:pPr>
        <w:pStyle w:val="FootnoteText"/>
      </w:pPr>
      <w:r>
        <w:tab/>
      </w:r>
      <w:r w:rsidR="006F3620">
        <w:rPr>
          <w:rStyle w:val="FootnoteReference"/>
        </w:rPr>
        <w:footnoteRef/>
      </w:r>
      <w:r w:rsidR="006F3620">
        <w:tab/>
        <w:t xml:space="preserve">Подробная информация доступна по адресу </w:t>
      </w:r>
      <w:hyperlink r:id="rId2" w:history="1">
        <w:r w:rsidR="006F3620" w:rsidRPr="0038299B">
          <w:rPr>
            <w:rStyle w:val="Hyperlink"/>
          </w:rPr>
          <w:t>https://www.basf.com/de/de/company/about-us/sites/ludwigshafen/the-site/news-and-media/news-releases/2017/05/p-17-183.html</w:t>
        </w:r>
      </w:hyperlink>
      <w:r w:rsidR="006F362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7FC1" w14:textId="41882BA8" w:rsidR="007A2647" w:rsidRPr="007A2647" w:rsidRDefault="00FF6F32">
    <w:pPr>
      <w:pStyle w:val="Header"/>
    </w:pPr>
    <w:fldSimple w:instr=" TITLE  \* MERGEFORMAT ">
      <w:r>
        <w:t>ECE/TRANS/WP.15/AC.1/2020/6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B298" w14:textId="2E740336" w:rsidR="007A2647" w:rsidRPr="007A2647" w:rsidRDefault="00FF6F32" w:rsidP="007A2647">
    <w:pPr>
      <w:pStyle w:val="Header"/>
      <w:jc w:val="right"/>
    </w:pPr>
    <w:fldSimple w:instr=" TITLE  \* MERGEFORMAT ">
      <w:r>
        <w:t>ECE/TRANS/WP.15/AC.1/2020/6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1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5C81"/>
    <w:rsid w:val="0018649F"/>
    <w:rsid w:val="00196389"/>
    <w:rsid w:val="001B3EF6"/>
    <w:rsid w:val="001C7A89"/>
    <w:rsid w:val="0024392D"/>
    <w:rsid w:val="00255343"/>
    <w:rsid w:val="002639C7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299B"/>
    <w:rsid w:val="00387CD4"/>
    <w:rsid w:val="00393532"/>
    <w:rsid w:val="003958D0"/>
    <w:rsid w:val="003A0D43"/>
    <w:rsid w:val="003A48CE"/>
    <w:rsid w:val="003B00E5"/>
    <w:rsid w:val="003C3A21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398F"/>
    <w:rsid w:val="006345DB"/>
    <w:rsid w:val="00640F49"/>
    <w:rsid w:val="00680D03"/>
    <w:rsid w:val="00681A10"/>
    <w:rsid w:val="006850ED"/>
    <w:rsid w:val="006A1ED8"/>
    <w:rsid w:val="006C2031"/>
    <w:rsid w:val="006D461A"/>
    <w:rsid w:val="006F35EE"/>
    <w:rsid w:val="006F3620"/>
    <w:rsid w:val="007021FF"/>
    <w:rsid w:val="00712895"/>
    <w:rsid w:val="00734ACB"/>
    <w:rsid w:val="00757357"/>
    <w:rsid w:val="00792497"/>
    <w:rsid w:val="007A2647"/>
    <w:rsid w:val="007A457A"/>
    <w:rsid w:val="00806737"/>
    <w:rsid w:val="008207E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7E4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571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303B"/>
    <w:rsid w:val="00FE447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8D00F"/>
  <w15:docId w15:val="{79B6FDCA-57DF-41D1-912A-0EDF3353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6F3620"/>
    <w:rPr>
      <w:lang w:val="ru-RU" w:eastAsia="en-US"/>
    </w:rPr>
  </w:style>
  <w:style w:type="paragraph" w:customStyle="1" w:styleId="ParNoG">
    <w:name w:val="_ParNo_G"/>
    <w:basedOn w:val="SingleTxtG"/>
    <w:qFormat/>
    <w:rsid w:val="006F3620"/>
    <w:pPr>
      <w:numPr>
        <w:numId w:val="22"/>
      </w:numPr>
      <w:suppressAutoHyphens w:val="0"/>
    </w:pPr>
    <w:rPr>
      <w:lang w:val="en-GB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fileadmin/DAM/trans/doc/2018/dgwp15ac1/ECE-TRANS-WP15-AC1-18-BE-inf19e.pdf" TargetMode="External"/><Relationship Id="rId13" Type="http://schemas.openxmlformats.org/officeDocument/2006/relationships/hyperlink" Target="http://undocs.org/ru/OTIF/RID/CE/GTP/2019-A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undocs.org/ru/OTIF/RID/CE/GTT/2019-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tif.org/fileadmin/new/2-Activities/2D-Dangerous-Goods/2Dd1_Report_WGTankVehiTech/CE_GTT_2018-B_e_report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undocs.org/ru/OTIF/RID/RC/2018-A/Add.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docs.org/ru/ECE/TRANS/WP.15/AC.1/150/Add.1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asf.com/de/de/company/about-us/sites/ludwigshafen/the-site/news-and-media/news-releases/2017/05/p-17-183.html" TargetMode="External"/><Relationship Id="rId1" Type="http://schemas.openxmlformats.org/officeDocument/2006/relationships/hyperlink" Target="http://www.otif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ECE/TRANS/WP.15/AC.1/2020/6</vt:lpstr>
      <vt:lpstr>ECE/TRANS/WP.15/AC.1/2020/6</vt:lpstr>
      <vt:lpstr>A/</vt:lpstr>
    </vt:vector>
  </TitlesOfParts>
  <Company>DCM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ECE/TRANS/WP.15/AC.1/2020/6</dc:title>
  <dc:subject/>
  <dc:creator>Svetlana PROKOUDINA</dc:creator>
  <cp:keywords/>
  <cp:lastModifiedBy>Christine Barrio-Champeau</cp:lastModifiedBy>
  <cp:revision>2</cp:revision>
  <cp:lastPrinted>2020-01-07T07:51:00Z</cp:lastPrinted>
  <dcterms:created xsi:type="dcterms:W3CDTF">2020-01-15T08:22:00Z</dcterms:created>
  <dcterms:modified xsi:type="dcterms:W3CDTF">2020-01-15T08:22:00Z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