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23F20557" w14:textId="77777777" w:rsidTr="005316B0">
        <w:trPr>
          <w:trHeight w:hRule="exact" w:val="851"/>
        </w:trPr>
        <w:tc>
          <w:tcPr>
            <w:tcW w:w="1276" w:type="dxa"/>
            <w:tcBorders>
              <w:bottom w:val="single" w:sz="4" w:space="0" w:color="auto"/>
            </w:tcBorders>
          </w:tcPr>
          <w:p w14:paraId="221E71E0" w14:textId="77777777" w:rsidR="001433FD" w:rsidRPr="00DB58B5" w:rsidRDefault="001433FD" w:rsidP="0001207F"/>
        </w:tc>
        <w:tc>
          <w:tcPr>
            <w:tcW w:w="2268" w:type="dxa"/>
            <w:tcBorders>
              <w:bottom w:val="single" w:sz="4" w:space="0" w:color="auto"/>
            </w:tcBorders>
            <w:vAlign w:val="bottom"/>
          </w:tcPr>
          <w:p w14:paraId="050359DF"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C9B7C07" w14:textId="77777777" w:rsidR="001433FD" w:rsidRPr="00DB58B5" w:rsidRDefault="00137BA6" w:rsidP="00137BA6">
            <w:pPr>
              <w:jc w:val="right"/>
            </w:pPr>
            <w:r w:rsidRPr="00137BA6">
              <w:rPr>
                <w:sz w:val="40"/>
              </w:rPr>
              <w:t>ECE</w:t>
            </w:r>
            <w:r>
              <w:t>/TRANS/WP.15/AC.1/2020/64</w:t>
            </w:r>
          </w:p>
        </w:tc>
      </w:tr>
      <w:tr w:rsidR="001433FD" w:rsidRPr="00DB58B5" w14:paraId="0B5F8333" w14:textId="77777777" w:rsidTr="007D3236">
        <w:trPr>
          <w:trHeight w:hRule="exact" w:val="2835"/>
        </w:trPr>
        <w:tc>
          <w:tcPr>
            <w:tcW w:w="1276" w:type="dxa"/>
            <w:tcBorders>
              <w:top w:val="single" w:sz="4" w:space="0" w:color="auto"/>
              <w:bottom w:val="single" w:sz="12" w:space="0" w:color="auto"/>
            </w:tcBorders>
          </w:tcPr>
          <w:p w14:paraId="16C3AA8F" w14:textId="77777777" w:rsidR="001433FD" w:rsidRPr="00DB58B5" w:rsidRDefault="001433FD" w:rsidP="007D3236">
            <w:pPr>
              <w:spacing w:before="120"/>
              <w:jc w:val="center"/>
            </w:pPr>
            <w:r>
              <w:rPr>
                <w:noProof/>
                <w:lang w:eastAsia="fr-CH"/>
              </w:rPr>
              <w:drawing>
                <wp:inline distT="0" distB="0" distL="0" distR="0" wp14:anchorId="238C5E2D" wp14:editId="5B05B9D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72DC28"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074CAD1" w14:textId="77777777" w:rsidR="0001207F" w:rsidRDefault="00137BA6" w:rsidP="00137BA6">
            <w:pPr>
              <w:spacing w:before="240" w:line="240" w:lineRule="exact"/>
            </w:pPr>
            <w:r>
              <w:t>Distr. générale</w:t>
            </w:r>
          </w:p>
          <w:p w14:paraId="0B957724" w14:textId="508C67CF" w:rsidR="00137BA6" w:rsidRDefault="00033250" w:rsidP="00137BA6">
            <w:pPr>
              <w:spacing w:line="240" w:lineRule="exact"/>
            </w:pPr>
            <w:r>
              <w:t>25</w:t>
            </w:r>
            <w:bookmarkStart w:id="0" w:name="_GoBack"/>
            <w:bookmarkEnd w:id="0"/>
            <w:r w:rsidR="00137BA6">
              <w:t xml:space="preserve"> juin 2020</w:t>
            </w:r>
          </w:p>
          <w:p w14:paraId="000850F0" w14:textId="77777777" w:rsidR="00137BA6" w:rsidRDefault="00137BA6" w:rsidP="00137BA6">
            <w:pPr>
              <w:spacing w:line="240" w:lineRule="exact"/>
            </w:pPr>
          </w:p>
          <w:p w14:paraId="5A15A4C8" w14:textId="77777777" w:rsidR="00137BA6" w:rsidRPr="00DB58B5" w:rsidRDefault="00137BA6" w:rsidP="00137BA6">
            <w:pPr>
              <w:spacing w:line="240" w:lineRule="exact"/>
            </w:pPr>
            <w:r>
              <w:t>Original : français</w:t>
            </w:r>
          </w:p>
        </w:tc>
      </w:tr>
    </w:tbl>
    <w:p w14:paraId="696E0EC6" w14:textId="77777777" w:rsidR="00A369E4" w:rsidRDefault="00A369E4" w:rsidP="00A369E4">
      <w:pPr>
        <w:spacing w:before="120"/>
        <w:ind w:right="1134"/>
        <w:rPr>
          <w:b/>
          <w:sz w:val="28"/>
          <w:szCs w:val="28"/>
        </w:rPr>
      </w:pPr>
      <w:r>
        <w:rPr>
          <w:b/>
          <w:sz w:val="28"/>
          <w:szCs w:val="28"/>
        </w:rPr>
        <w:t>Commission économique pour l’Europe</w:t>
      </w:r>
    </w:p>
    <w:p w14:paraId="3E39C32E" w14:textId="77777777" w:rsidR="00A369E4" w:rsidRDefault="00A369E4" w:rsidP="00A369E4">
      <w:pPr>
        <w:spacing w:before="120"/>
        <w:ind w:right="1134"/>
        <w:rPr>
          <w:sz w:val="28"/>
          <w:szCs w:val="28"/>
        </w:rPr>
      </w:pPr>
      <w:r>
        <w:rPr>
          <w:sz w:val="28"/>
          <w:szCs w:val="28"/>
        </w:rPr>
        <w:t>Comité des transports intérieurs</w:t>
      </w:r>
    </w:p>
    <w:p w14:paraId="4901A236" w14:textId="77777777" w:rsidR="00A369E4" w:rsidRDefault="00A369E4" w:rsidP="00A369E4">
      <w:pPr>
        <w:spacing w:before="120"/>
        <w:ind w:right="1134"/>
        <w:rPr>
          <w:b/>
          <w:sz w:val="24"/>
          <w:szCs w:val="24"/>
        </w:rPr>
      </w:pPr>
      <w:r>
        <w:rPr>
          <w:b/>
          <w:sz w:val="24"/>
          <w:szCs w:val="24"/>
        </w:rPr>
        <w:t>Groupe de travail des transports de marchandises dangereuses</w:t>
      </w:r>
    </w:p>
    <w:p w14:paraId="5EB8DE09" w14:textId="77777777" w:rsidR="00A369E4" w:rsidRDefault="00A369E4" w:rsidP="00A369E4">
      <w:pPr>
        <w:spacing w:before="120"/>
        <w:ind w:right="1134"/>
        <w:rPr>
          <w:b/>
        </w:rPr>
      </w:pPr>
      <w:r>
        <w:rPr>
          <w:b/>
        </w:rPr>
        <w:t>Réunion commune de la Commission d’experts du RID et</w:t>
      </w:r>
      <w:r>
        <w:rPr>
          <w:b/>
        </w:rPr>
        <w:br/>
        <w:t>du Groupe de travail des transports de marchandises dangereuses</w:t>
      </w:r>
    </w:p>
    <w:p w14:paraId="752AF91A" w14:textId="221AA6CB" w:rsidR="00A369E4" w:rsidRDefault="00A369E4" w:rsidP="00A369E4">
      <w:r>
        <w:rPr>
          <w:lang w:val="en-US"/>
        </w:rPr>
        <w:t>Berne, 10-11 septembre et Genève, 14-18 septembre 2020</w:t>
      </w:r>
    </w:p>
    <w:p w14:paraId="0CA341A0" w14:textId="77777777" w:rsidR="00A369E4" w:rsidRDefault="00A369E4" w:rsidP="00A369E4">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5 b) de l’ordre du jour provisoire</w:t>
      </w:r>
    </w:p>
    <w:p w14:paraId="6A38E3E9" w14:textId="138C2B8F" w:rsidR="00C1626B" w:rsidRDefault="00A369E4" w:rsidP="00A369E4">
      <w:pPr>
        <w:rPr>
          <w:b/>
          <w:bCs/>
        </w:rPr>
      </w:pPr>
      <w:r>
        <w:rPr>
          <w:b/>
          <w:bCs/>
        </w:rPr>
        <w:t xml:space="preserve">Propositions d’amendements au RID/ADR/ADN: </w:t>
      </w:r>
      <w:r>
        <w:rPr>
          <w:b/>
          <w:bCs/>
        </w:rPr>
        <w:br/>
        <w:t>nouvelles propositions</w:t>
      </w:r>
    </w:p>
    <w:p w14:paraId="3B1D43F3" w14:textId="5181A2FC" w:rsidR="00A369E4" w:rsidRDefault="00A369E4" w:rsidP="00A369E4">
      <w:pPr>
        <w:pStyle w:val="HChG"/>
      </w:pPr>
      <w:r>
        <w:rPr>
          <w:lang w:val="fr-FR"/>
        </w:rPr>
        <w:tab/>
      </w:r>
      <w:r>
        <w:rPr>
          <w:lang w:val="fr-FR"/>
        </w:rPr>
        <w:tab/>
        <w:t xml:space="preserve">Signalisation orange des wagons et véhicules transportant des citernes ou des conteneurs pour vrac de faible capacité </w:t>
      </w:r>
    </w:p>
    <w:p w14:paraId="6CC4A0A9" w14:textId="50EE4FD9" w:rsidR="00A369E4" w:rsidRDefault="00A369E4" w:rsidP="00A369E4">
      <w:pPr>
        <w:pStyle w:val="HChG"/>
        <w:rPr>
          <w:rFonts w:eastAsia="Arial"/>
          <w:b w:val="0"/>
          <w:bCs/>
          <w:sz w:val="24"/>
          <w:vertAlign w:val="superscript"/>
        </w:rPr>
      </w:pPr>
      <w:r>
        <w:rPr>
          <w:rFonts w:eastAsia="Arial"/>
          <w:lang w:val="fr-FR"/>
        </w:rPr>
        <w:tab/>
      </w:r>
      <w:r>
        <w:rPr>
          <w:rFonts w:eastAsia="Arial"/>
          <w:lang w:val="fr-FR"/>
        </w:rPr>
        <w:tab/>
      </w:r>
      <w:r>
        <w:rPr>
          <w:rFonts w:eastAsia="Arial"/>
          <w:sz w:val="24"/>
          <w:lang w:val="fr-FR"/>
        </w:rPr>
        <w:t>Communication du Gouvernement de la Suisse</w:t>
      </w:r>
      <w:r>
        <w:rPr>
          <w:rStyle w:val="FootnoteReference"/>
          <w:sz w:val="20"/>
        </w:rPr>
        <w:footnoteReference w:customMarkFollows="1" w:id="2"/>
        <w:t>*</w:t>
      </w:r>
      <w:r>
        <w:rPr>
          <w:b w:val="0"/>
          <w:bCs/>
          <w:position w:val="6"/>
          <w:sz w:val="20"/>
        </w:rPr>
        <w:t>,</w:t>
      </w:r>
      <w:r>
        <w:rPr>
          <w:sz w:val="20"/>
        </w:rPr>
        <w:t xml:space="preserve"> </w:t>
      </w:r>
      <w:r>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A369E4" w14:paraId="14741957" w14:textId="77777777" w:rsidTr="00147268">
        <w:trPr>
          <w:jc w:val="center"/>
        </w:trPr>
        <w:tc>
          <w:tcPr>
            <w:tcW w:w="9628" w:type="dxa"/>
            <w:shd w:val="clear" w:color="auto" w:fill="auto"/>
          </w:tcPr>
          <w:p w14:paraId="4E545600" w14:textId="77777777" w:rsidR="00A369E4" w:rsidRDefault="00A369E4" w:rsidP="00147268">
            <w:pPr>
              <w:spacing w:before="240" w:after="120"/>
              <w:ind w:left="255"/>
              <w:rPr>
                <w:i/>
                <w:sz w:val="24"/>
              </w:rPr>
            </w:pPr>
            <w:r>
              <w:rPr>
                <w:i/>
                <w:sz w:val="24"/>
              </w:rPr>
              <w:t>Résumé</w:t>
            </w:r>
          </w:p>
        </w:tc>
      </w:tr>
      <w:tr w:rsidR="00A369E4" w14:paraId="6B3CEEDA" w14:textId="77777777" w:rsidTr="00147268">
        <w:trPr>
          <w:jc w:val="center"/>
        </w:trPr>
        <w:tc>
          <w:tcPr>
            <w:tcW w:w="9628" w:type="dxa"/>
            <w:shd w:val="clear" w:color="auto" w:fill="auto"/>
          </w:tcPr>
          <w:p w14:paraId="44FCE231" w14:textId="77777777" w:rsidR="00A369E4" w:rsidRDefault="00A369E4" w:rsidP="00147268">
            <w:pPr>
              <w:pStyle w:val="SingleTxtG"/>
              <w:tabs>
                <w:tab w:val="left" w:pos="3260"/>
              </w:tabs>
              <w:ind w:left="3260" w:hanging="2126"/>
              <w:rPr>
                <w:lang w:val="fr-FR"/>
              </w:rPr>
            </w:pPr>
            <w:r>
              <w:rPr>
                <w:b/>
              </w:rPr>
              <w:t>Résumé analytique</w:t>
            </w:r>
            <w:r>
              <w:t> :</w:t>
            </w:r>
            <w:r>
              <w:tab/>
              <w:t xml:space="preserve">L'exemption prévue au nota du </w:t>
            </w:r>
            <w:r>
              <w:rPr>
                <w:lang w:val="fr-FR"/>
              </w:rPr>
              <w:t>5.3.2.1.5 RID/ADR/ADN est applicable uniquement aux wagons et véhicules couverts ou bâchés. Il en résulte une incohérence entre le marquage des wagons et véhicules couverts ou bâchés et celui des wagons et véhicules découverts.</w:t>
            </w:r>
          </w:p>
          <w:p w14:paraId="347E457F" w14:textId="77777777" w:rsidR="00A369E4" w:rsidRDefault="00A369E4" w:rsidP="00147268">
            <w:pPr>
              <w:pStyle w:val="SingleTxtG"/>
              <w:tabs>
                <w:tab w:val="left" w:pos="3260"/>
              </w:tabs>
              <w:ind w:left="3260" w:hanging="2126"/>
              <w:rPr>
                <w:lang w:val="fr-FR"/>
              </w:rPr>
            </w:pPr>
            <w:r>
              <w:rPr>
                <w:lang w:val="fr-FR"/>
              </w:rPr>
              <w:tab/>
              <w:t>D'autre part, comme le 5.3.2.1.5 s'applique non seulement aux citernes mais aussi aux conteneurs pour vrac, il convient d'étendre l</w:t>
            </w:r>
            <w:r>
              <w:t xml:space="preserve">'exemption prévue au nota du </w:t>
            </w:r>
            <w:r>
              <w:rPr>
                <w:lang w:val="fr-FR"/>
              </w:rPr>
              <w:t>5.3.2.1.5 RID/ADR/ADN aux wagons et véhicules transportant des conteneurs pour vrac de faible capacité.</w:t>
            </w:r>
          </w:p>
        </w:tc>
      </w:tr>
      <w:tr w:rsidR="00A369E4" w14:paraId="01772541" w14:textId="77777777" w:rsidTr="00147268">
        <w:trPr>
          <w:jc w:val="center"/>
        </w:trPr>
        <w:tc>
          <w:tcPr>
            <w:tcW w:w="9628" w:type="dxa"/>
            <w:shd w:val="clear" w:color="auto" w:fill="auto"/>
          </w:tcPr>
          <w:p w14:paraId="1BA4199C" w14:textId="77777777" w:rsidR="00A369E4" w:rsidRDefault="00A369E4" w:rsidP="00147268">
            <w:pPr>
              <w:pStyle w:val="SingleTxtG"/>
              <w:tabs>
                <w:tab w:val="left" w:pos="3260"/>
              </w:tabs>
              <w:ind w:left="3260" w:hanging="2126"/>
            </w:pPr>
            <w:r>
              <w:rPr>
                <w:b/>
              </w:rPr>
              <w:t>Mesures à prendre :</w:t>
            </w:r>
            <w:r>
              <w:rPr>
                <w:b/>
              </w:rPr>
              <w:tab/>
            </w:r>
            <w:r>
              <w:t xml:space="preserve">Modifier le nota du </w:t>
            </w:r>
            <w:r>
              <w:rPr>
                <w:lang w:val="fr-FR"/>
              </w:rPr>
              <w:t>5.3.2.1.5.</w:t>
            </w:r>
          </w:p>
        </w:tc>
      </w:tr>
      <w:tr w:rsidR="00A369E4" w14:paraId="00D16767" w14:textId="77777777" w:rsidTr="00147268">
        <w:trPr>
          <w:jc w:val="center"/>
        </w:trPr>
        <w:tc>
          <w:tcPr>
            <w:tcW w:w="9628" w:type="dxa"/>
            <w:shd w:val="clear" w:color="auto" w:fill="auto"/>
          </w:tcPr>
          <w:p w14:paraId="52DCEF33" w14:textId="32FB77DD" w:rsidR="00A369E4" w:rsidRDefault="00A369E4" w:rsidP="00147268">
            <w:pPr>
              <w:pStyle w:val="SingleTxtG"/>
              <w:tabs>
                <w:tab w:val="left" w:pos="3260"/>
              </w:tabs>
              <w:ind w:left="3260" w:hanging="2126"/>
              <w:rPr>
                <w:b/>
              </w:rPr>
            </w:pPr>
            <w:r>
              <w:rPr>
                <w:b/>
              </w:rPr>
              <w:t>Document connexe :</w:t>
            </w:r>
            <w:r>
              <w:rPr>
                <w:b/>
              </w:rPr>
              <w:tab/>
            </w:r>
            <w:r>
              <w:t>ECE/TRANS/WP.15/AC.1/2007/47.</w:t>
            </w:r>
          </w:p>
        </w:tc>
      </w:tr>
      <w:tr w:rsidR="00A369E4" w14:paraId="34F73DC0" w14:textId="77777777" w:rsidTr="00147268">
        <w:trPr>
          <w:jc w:val="center"/>
        </w:trPr>
        <w:tc>
          <w:tcPr>
            <w:tcW w:w="9628" w:type="dxa"/>
            <w:shd w:val="clear" w:color="auto" w:fill="auto"/>
          </w:tcPr>
          <w:p w14:paraId="7C787A42" w14:textId="77777777" w:rsidR="00A369E4" w:rsidRDefault="00A369E4" w:rsidP="00147268"/>
        </w:tc>
      </w:tr>
    </w:tbl>
    <w:p w14:paraId="0C08B2DD" w14:textId="77777777" w:rsidR="00A369E4" w:rsidRDefault="00A369E4" w:rsidP="00A369E4">
      <w:pPr>
        <w:pStyle w:val="HChG"/>
      </w:pPr>
      <w:r>
        <w:lastRenderedPageBreak/>
        <w:tab/>
      </w:r>
      <w:r>
        <w:tab/>
      </w:r>
      <w:r>
        <w:rPr>
          <w:lang w:val="fr-FR"/>
        </w:rPr>
        <w:tab/>
        <w:t>Introduction</w:t>
      </w:r>
    </w:p>
    <w:p w14:paraId="44C28008" w14:textId="77777777" w:rsidR="00A369E4" w:rsidRDefault="00A369E4" w:rsidP="00A369E4">
      <w:pPr>
        <w:pStyle w:val="SingleTxtG"/>
        <w:rPr>
          <w:lang w:val="fr-FR"/>
        </w:rPr>
      </w:pPr>
      <w:r>
        <w:rPr>
          <w:lang w:val="fr-FR"/>
        </w:rPr>
        <w:t>1.</w:t>
      </w:r>
      <w:r>
        <w:rPr>
          <w:lang w:val="fr-FR"/>
        </w:rPr>
        <w:tab/>
        <w:t>Le nota du 5.3.2.1.5 RID/ADR/ADN permet de transporter des citernes d'une capacité maximale de 3 000 litres dans des wagons/véhicules couverts ou bâchés, sans qu'il soit nécessaire d'apposer de panneaux orange sur les deux côtés latéraux du wagon porteur/véhicule transporteur. Ainsi, seul le marquage du wagon/véhicule avec des plaques-étiquettes est prescrit et le transport est comparable à un transport de marchandises dangereuses dans des emballages de grande taille (grands récipients pour vrac (GRV) ou grands emballages).</w:t>
      </w:r>
    </w:p>
    <w:p w14:paraId="74B69223" w14:textId="036F93C8" w:rsidR="00A369E4" w:rsidRDefault="00A369E4" w:rsidP="00A369E4">
      <w:pPr>
        <w:pStyle w:val="SingleTxtG"/>
        <w:rPr>
          <w:lang w:val="fr-FR"/>
        </w:rPr>
      </w:pPr>
      <w:r>
        <w:rPr>
          <w:lang w:val="fr-FR"/>
        </w:rPr>
        <w:t>2.</w:t>
      </w:r>
      <w:r>
        <w:rPr>
          <w:lang w:val="fr-FR"/>
        </w:rPr>
        <w:tab/>
        <w:t>Pour les wagons/véhicules découverts transportant des citernes d'une capacité maximale de 3</w:t>
      </w:r>
      <w:r w:rsidR="00CF26CE">
        <w:rPr>
          <w:lang w:val="fr-FR"/>
        </w:rPr>
        <w:t> </w:t>
      </w:r>
      <w:r>
        <w:rPr>
          <w:lang w:val="fr-FR"/>
        </w:rPr>
        <w:t>000 litres, le 5.3.2.1.5 reste applicable. Ces wagons/véhicules doivent porter une signalisation orange lorsque les panneaux orange apposés sur la citerne ne sont pas bien visibles de l'extérieur du wagon/véhicule.</w:t>
      </w:r>
    </w:p>
    <w:p w14:paraId="1B1143C0" w14:textId="77777777" w:rsidR="00A369E4" w:rsidRDefault="00A369E4" w:rsidP="00A369E4">
      <w:pPr>
        <w:pStyle w:val="SingleTxtG"/>
        <w:rPr>
          <w:lang w:val="fr-FR"/>
        </w:rPr>
      </w:pPr>
      <w:r>
        <w:rPr>
          <w:lang w:val="fr-FR"/>
        </w:rPr>
        <w:t>3.</w:t>
      </w:r>
      <w:r>
        <w:rPr>
          <w:lang w:val="fr-FR"/>
        </w:rPr>
        <w:tab/>
        <w:t>Il en résulte une différence de traitement entre le marquage des wagons/véhicules couverts ou bâchés et celui des wagons/véhicules découverts qui nous paraît injustifiée du point de vue de la sécurité. D'autre part, le 5.3.2.1.5 s'applique non seulement au transport de citernes mais aussi de conteneurs pour vrac (introduit dans l'édition 2019). Il convient dès lors d'adapter le nota pour que l'exemption de marquage soit applicable à tous les types de wagons/véhicules transportant des citernes ou des conteneurs pour vrac de faible capacité.</w:t>
      </w:r>
    </w:p>
    <w:p w14:paraId="0060DA1F" w14:textId="77777777" w:rsidR="00A369E4" w:rsidRDefault="00A369E4" w:rsidP="00A369E4">
      <w:pPr>
        <w:pStyle w:val="HChG"/>
        <w:spacing w:before="240"/>
      </w:pPr>
      <w:r>
        <w:rPr>
          <w:rStyle w:val="BalloonTextChar"/>
        </w:rPr>
        <w:tab/>
      </w:r>
      <w:r>
        <w:rPr>
          <w:rStyle w:val="BalloonTextChar"/>
        </w:rPr>
        <w:tab/>
      </w:r>
      <w:r>
        <w:rPr>
          <w:rStyle w:val="BalloonTextChar"/>
        </w:rPr>
        <w:tab/>
      </w:r>
      <w:r>
        <w:rPr>
          <w:rStyle w:val="BalloonTextChar"/>
          <w:rFonts w:ascii="Times New Roman" w:hAnsi="Times New Roman" w:cs="Times New Roman"/>
          <w:sz w:val="28"/>
          <w:szCs w:val="28"/>
        </w:rPr>
        <w:t>Proposition</w:t>
      </w:r>
    </w:p>
    <w:p w14:paraId="1E9C81AC" w14:textId="77777777" w:rsidR="00A369E4" w:rsidRDefault="00A369E4" w:rsidP="00A369E4">
      <w:pPr>
        <w:pStyle w:val="SingleTxtG"/>
        <w:rPr>
          <w:lang w:val="fr-FR"/>
        </w:rPr>
      </w:pPr>
      <w:r>
        <w:t>4.</w:t>
      </w:r>
      <w:r>
        <w:tab/>
        <w:t xml:space="preserve">Modifier le nota du </w:t>
      </w:r>
      <w:r>
        <w:rPr>
          <w:lang w:val="fr-FR"/>
        </w:rPr>
        <w:t>5.3.2.1.5 RID/ADR/ADN pour lire comme suit (nouveau texte en gras, souligné et texte supprimé en gras, barré):</w:t>
      </w:r>
    </w:p>
    <w:p w14:paraId="752775FB" w14:textId="551476C7" w:rsidR="00A369E4" w:rsidRDefault="00A369E4" w:rsidP="00A369E4">
      <w:pPr>
        <w:pStyle w:val="SingleTxtG"/>
        <w:rPr>
          <w:lang w:val="fr-FR"/>
        </w:rPr>
      </w:pPr>
      <w:r>
        <w:rPr>
          <w:lang w:val="fr-FR"/>
        </w:rPr>
        <w:t>« </w:t>
      </w:r>
      <w:r>
        <w:rPr>
          <w:b/>
          <w:lang w:val="fr-FR"/>
        </w:rPr>
        <w:t>NOTA</w:t>
      </w:r>
      <w:r>
        <w:rPr>
          <w:lang w:val="fr-FR"/>
        </w:rPr>
        <w:t>: Il n'est pas nécessaire d'appliquer ce paragraphe au marquage avec des panneaux orange de wagons/véhicules</w:t>
      </w:r>
      <w:r w:rsidRPr="00840C7E">
        <w:rPr>
          <w:b/>
          <w:bCs/>
          <w:strike/>
          <w:lang w:val="fr-FR"/>
        </w:rPr>
        <w:t xml:space="preserve">/wagons ou véhicules </w:t>
      </w:r>
      <w:r>
        <w:rPr>
          <w:b/>
          <w:strike/>
          <w:lang w:val="fr-FR"/>
        </w:rPr>
        <w:t>couverts ou bâchés,</w:t>
      </w:r>
      <w:r>
        <w:rPr>
          <w:lang w:val="fr-FR"/>
        </w:rPr>
        <w:t xml:space="preserve"> transportant des citernes </w:t>
      </w:r>
      <w:r>
        <w:rPr>
          <w:b/>
          <w:u w:val="single"/>
          <w:lang w:val="fr-FR"/>
        </w:rPr>
        <w:t>ou des conteneurs pour vrac</w:t>
      </w:r>
      <w:r>
        <w:rPr>
          <w:lang w:val="fr-FR"/>
        </w:rPr>
        <w:t xml:space="preserve"> d'une capacité maximale de 3 000 litres. ».</w:t>
      </w:r>
    </w:p>
    <w:p w14:paraId="647C97ED" w14:textId="77777777" w:rsidR="00A369E4" w:rsidRDefault="00A369E4" w:rsidP="00A369E4">
      <w:pPr>
        <w:pStyle w:val="HChG"/>
        <w:spacing w:before="240"/>
      </w:pPr>
      <w:r>
        <w:rPr>
          <w:rStyle w:val="BalloonTextChar"/>
        </w:rPr>
        <w:tab/>
      </w:r>
      <w:r>
        <w:rPr>
          <w:rStyle w:val="BalloonTextChar"/>
        </w:rPr>
        <w:tab/>
      </w:r>
      <w:r>
        <w:rPr>
          <w:rStyle w:val="BalloonTextChar"/>
        </w:rPr>
        <w:tab/>
      </w:r>
      <w:r>
        <w:rPr>
          <w:rStyle w:val="BalloonTextChar"/>
          <w:rFonts w:ascii="Times New Roman" w:hAnsi="Times New Roman" w:cs="Times New Roman"/>
          <w:sz w:val="28"/>
          <w:szCs w:val="28"/>
        </w:rPr>
        <w:t>Justification</w:t>
      </w:r>
    </w:p>
    <w:p w14:paraId="1ADD3D5C" w14:textId="0EF6E35B" w:rsidR="00A369E4" w:rsidRDefault="00A369E4" w:rsidP="00A369E4">
      <w:pPr>
        <w:pStyle w:val="SingleTxtG"/>
      </w:pPr>
      <w:r>
        <w:t>5.</w:t>
      </w:r>
      <w:r>
        <w:tab/>
        <w:t>Comme dans le cas des wagons</w:t>
      </w:r>
      <w:r w:rsidR="00C51B6F">
        <w:t>/véhicules</w:t>
      </w:r>
      <w:r>
        <w:t xml:space="preserve"> couverts ou bâchés, l'exemption de la signalisation orange aux wagons</w:t>
      </w:r>
      <w:r w:rsidR="00C51B6F">
        <w:t>/véhicules</w:t>
      </w:r>
      <w:r>
        <w:t xml:space="preserve"> découverts ne pose pas de problème de sécurité. </w:t>
      </w:r>
      <w:r>
        <w:rPr>
          <w:lang w:val="fr-FR"/>
        </w:rPr>
        <w:t xml:space="preserve">Dans les deux cas, le transport s'apparente à un transport de marchandises dangereuses en colis et le danger peut être identifié grâce aux plaques-étiquettes. Il faut noter également que les </w:t>
      </w:r>
      <w:r>
        <w:t>petits conteneurs-citernes et les petits conteneurs pour vrac sont de construction plus robuste que les GRV et les grands emballages.</w:t>
      </w:r>
    </w:p>
    <w:p w14:paraId="3487B93B" w14:textId="77777777" w:rsidR="00A369E4" w:rsidRDefault="00A369E4" w:rsidP="00A369E4">
      <w:pPr>
        <w:spacing w:before="120"/>
        <w:jc w:val="center"/>
        <w:rPr>
          <w:u w:val="single"/>
        </w:rPr>
      </w:pPr>
      <w:r>
        <w:rPr>
          <w:u w:val="single"/>
        </w:rPr>
        <w:tab/>
      </w:r>
      <w:r>
        <w:rPr>
          <w:u w:val="single"/>
        </w:rPr>
        <w:tab/>
      </w:r>
      <w:r>
        <w:rPr>
          <w:u w:val="single"/>
        </w:rPr>
        <w:tab/>
      </w:r>
    </w:p>
    <w:p w14:paraId="161F96C0" w14:textId="77777777" w:rsidR="00A369E4" w:rsidRPr="00A369E4" w:rsidRDefault="00A369E4" w:rsidP="00A369E4">
      <w:pPr>
        <w:rPr>
          <w:b/>
          <w:bCs/>
        </w:rPr>
      </w:pPr>
    </w:p>
    <w:sectPr w:rsidR="00A369E4" w:rsidRPr="00A369E4" w:rsidSect="00137BA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72E8D" w14:textId="77777777" w:rsidR="00137BA6" w:rsidRDefault="00137BA6" w:rsidP="00F95C08">
      <w:pPr>
        <w:spacing w:line="240" w:lineRule="auto"/>
      </w:pPr>
    </w:p>
  </w:endnote>
  <w:endnote w:type="continuationSeparator" w:id="0">
    <w:p w14:paraId="38ED3092" w14:textId="77777777" w:rsidR="00137BA6" w:rsidRPr="00AC3823" w:rsidRDefault="00137BA6" w:rsidP="00AC3823">
      <w:pPr>
        <w:pStyle w:val="Footer"/>
      </w:pPr>
    </w:p>
  </w:endnote>
  <w:endnote w:type="continuationNotice" w:id="1">
    <w:p w14:paraId="39E27024" w14:textId="77777777" w:rsidR="00137BA6" w:rsidRDefault="00137B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D084" w14:textId="77777777" w:rsidR="00137BA6" w:rsidRPr="00137BA6" w:rsidRDefault="00137BA6" w:rsidP="00137BA6">
    <w:pPr>
      <w:pStyle w:val="Footer"/>
      <w:tabs>
        <w:tab w:val="right" w:pos="9638"/>
      </w:tabs>
      <w:rPr>
        <w:sz w:val="18"/>
      </w:rPr>
    </w:pPr>
    <w:r w:rsidRPr="00137BA6">
      <w:rPr>
        <w:b/>
        <w:sz w:val="18"/>
      </w:rPr>
      <w:fldChar w:fldCharType="begin"/>
    </w:r>
    <w:r w:rsidRPr="00137BA6">
      <w:rPr>
        <w:b/>
        <w:sz w:val="18"/>
      </w:rPr>
      <w:instrText xml:space="preserve"> PAGE  \* MERGEFORMAT </w:instrText>
    </w:r>
    <w:r w:rsidRPr="00137BA6">
      <w:rPr>
        <w:b/>
        <w:sz w:val="18"/>
      </w:rPr>
      <w:fldChar w:fldCharType="separate"/>
    </w:r>
    <w:r w:rsidRPr="00137BA6">
      <w:rPr>
        <w:b/>
        <w:noProof/>
        <w:sz w:val="18"/>
      </w:rPr>
      <w:t>2</w:t>
    </w:r>
    <w:r w:rsidRPr="00137BA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5F5F" w14:textId="77777777" w:rsidR="00137BA6" w:rsidRPr="00137BA6" w:rsidRDefault="00137BA6" w:rsidP="00137BA6">
    <w:pPr>
      <w:pStyle w:val="Footer"/>
      <w:tabs>
        <w:tab w:val="right" w:pos="9638"/>
      </w:tabs>
      <w:rPr>
        <w:b/>
        <w:sz w:val="18"/>
      </w:rPr>
    </w:pPr>
    <w:r>
      <w:tab/>
    </w:r>
    <w:r w:rsidRPr="00137BA6">
      <w:rPr>
        <w:b/>
        <w:sz w:val="18"/>
      </w:rPr>
      <w:fldChar w:fldCharType="begin"/>
    </w:r>
    <w:r w:rsidRPr="00137BA6">
      <w:rPr>
        <w:b/>
        <w:sz w:val="18"/>
      </w:rPr>
      <w:instrText xml:space="preserve"> PAGE  \* MERGEFORMAT </w:instrText>
    </w:r>
    <w:r w:rsidRPr="00137BA6">
      <w:rPr>
        <w:b/>
        <w:sz w:val="18"/>
      </w:rPr>
      <w:fldChar w:fldCharType="separate"/>
    </w:r>
    <w:r w:rsidRPr="00137BA6">
      <w:rPr>
        <w:b/>
        <w:noProof/>
        <w:sz w:val="18"/>
      </w:rPr>
      <w:t>3</w:t>
    </w:r>
    <w:r w:rsidRPr="00137B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F0BB8" w14:textId="424A2F0A" w:rsidR="000D3EE9" w:rsidRPr="00137BA6"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07A15" w14:textId="77777777" w:rsidR="00137BA6" w:rsidRPr="00AC3823" w:rsidRDefault="00137BA6" w:rsidP="00AC3823">
      <w:pPr>
        <w:pStyle w:val="Footer"/>
        <w:tabs>
          <w:tab w:val="right" w:pos="2155"/>
        </w:tabs>
        <w:spacing w:after="80" w:line="240" w:lineRule="atLeast"/>
        <w:ind w:left="680"/>
        <w:rPr>
          <w:u w:val="single"/>
        </w:rPr>
      </w:pPr>
      <w:r>
        <w:rPr>
          <w:u w:val="single"/>
        </w:rPr>
        <w:tab/>
      </w:r>
    </w:p>
  </w:footnote>
  <w:footnote w:type="continuationSeparator" w:id="0">
    <w:p w14:paraId="083A84FD" w14:textId="77777777" w:rsidR="00137BA6" w:rsidRPr="00AC3823" w:rsidRDefault="00137BA6" w:rsidP="00AC3823">
      <w:pPr>
        <w:pStyle w:val="Footer"/>
        <w:tabs>
          <w:tab w:val="right" w:pos="2155"/>
        </w:tabs>
        <w:spacing w:after="80" w:line="240" w:lineRule="atLeast"/>
        <w:ind w:left="680"/>
        <w:rPr>
          <w:u w:val="single"/>
        </w:rPr>
      </w:pPr>
      <w:r>
        <w:rPr>
          <w:u w:val="single"/>
        </w:rPr>
        <w:tab/>
      </w:r>
    </w:p>
  </w:footnote>
  <w:footnote w:type="continuationNotice" w:id="1">
    <w:p w14:paraId="23A5A67C" w14:textId="77777777" w:rsidR="00137BA6" w:rsidRPr="00AC3823" w:rsidRDefault="00137BA6">
      <w:pPr>
        <w:spacing w:line="240" w:lineRule="auto"/>
        <w:rPr>
          <w:sz w:val="2"/>
          <w:szCs w:val="2"/>
        </w:rPr>
      </w:pPr>
    </w:p>
  </w:footnote>
  <w:footnote w:id="2">
    <w:p w14:paraId="617A1B43" w14:textId="77777777" w:rsidR="00A369E4" w:rsidRDefault="00A369E4" w:rsidP="00A369E4">
      <w:pPr>
        <w:pStyle w:val="FootnoteText"/>
      </w:pPr>
      <w:r>
        <w:rPr>
          <w:rStyle w:val="FootnoteReference"/>
        </w:rPr>
        <w:tab/>
      </w:r>
      <w:r>
        <w:rPr>
          <w:rStyle w:val="FootnoteReference"/>
          <w:sz w:val="20"/>
        </w:rPr>
        <w:t>*</w:t>
      </w:r>
      <w:r>
        <w:rPr>
          <w:rStyle w:val="FootnoteReference"/>
          <w:sz w:val="20"/>
        </w:rPr>
        <w:tab/>
      </w:r>
      <w:r w:rsidRPr="00DB4414">
        <w:t>Sous-programme 2 du budget-programme pour 2020 (A/74/6 (Sect.20) et informations complémentaires)</w:t>
      </w:r>
      <w:r>
        <w:t>.</w:t>
      </w:r>
    </w:p>
  </w:footnote>
  <w:footnote w:id="3">
    <w:p w14:paraId="2474B49B" w14:textId="6E3E2AAC" w:rsidR="00A369E4" w:rsidRDefault="00A369E4" w:rsidP="00A369E4">
      <w:pPr>
        <w:pStyle w:val="FootnoteText"/>
      </w:pPr>
      <w:r>
        <w:rPr>
          <w:rStyle w:val="FootnoteReference"/>
        </w:rPr>
        <w:tab/>
      </w:r>
      <w:r>
        <w:rPr>
          <w:rStyle w:val="FootnoteReference"/>
          <w:sz w:val="20"/>
        </w:rPr>
        <w:t>**</w:t>
      </w:r>
      <w:r>
        <w:rPr>
          <w:rStyle w:val="FootnoteReference"/>
          <w:sz w:val="20"/>
        </w:rPr>
        <w:tab/>
      </w:r>
      <w:r>
        <w:t>Diffusée par l’Organisation intergouvernementale pour les transports internationaux ferroviaires sous la cote OTIF/RID/RC/2020/64.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A026" w14:textId="77777777" w:rsidR="00137BA6" w:rsidRPr="00137BA6" w:rsidRDefault="00840C7E">
    <w:pPr>
      <w:pStyle w:val="Header"/>
    </w:pPr>
    <w:fldSimple w:instr=" TITLE  \* MERGEFORMAT ">
      <w:r w:rsidR="00137BA6">
        <w:t>ECE/TRANS/WP.15/AC.1/2020/64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4A49" w14:textId="77777777" w:rsidR="00137BA6" w:rsidRPr="00137BA6" w:rsidRDefault="00840C7E" w:rsidP="00137BA6">
    <w:pPr>
      <w:pStyle w:val="Header"/>
      <w:jc w:val="right"/>
    </w:pPr>
    <w:fldSimple w:instr=" TITLE  \* MERGEFORMAT ">
      <w:r w:rsidR="00137BA6">
        <w:t>ECE/TRANS/WP.15/AC.1/2020/64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137BA6"/>
    <w:rsid w:val="0001207F"/>
    <w:rsid w:val="00017F94"/>
    <w:rsid w:val="00023842"/>
    <w:rsid w:val="00033250"/>
    <w:rsid w:val="000334F9"/>
    <w:rsid w:val="0004639C"/>
    <w:rsid w:val="0007796D"/>
    <w:rsid w:val="000942EE"/>
    <w:rsid w:val="000A52BF"/>
    <w:rsid w:val="000B7790"/>
    <w:rsid w:val="000D3EE9"/>
    <w:rsid w:val="000D62F3"/>
    <w:rsid w:val="00111F2F"/>
    <w:rsid w:val="00137BA6"/>
    <w:rsid w:val="001433FD"/>
    <w:rsid w:val="0014365E"/>
    <w:rsid w:val="001541D3"/>
    <w:rsid w:val="00156B77"/>
    <w:rsid w:val="00176178"/>
    <w:rsid w:val="00177140"/>
    <w:rsid w:val="001D400F"/>
    <w:rsid w:val="001F525A"/>
    <w:rsid w:val="002159CF"/>
    <w:rsid w:val="00223272"/>
    <w:rsid w:val="00240333"/>
    <w:rsid w:val="0024779E"/>
    <w:rsid w:val="002832AC"/>
    <w:rsid w:val="002D7C93"/>
    <w:rsid w:val="0037241C"/>
    <w:rsid w:val="003819FF"/>
    <w:rsid w:val="00441C3B"/>
    <w:rsid w:val="00446B0A"/>
    <w:rsid w:val="00446FE5"/>
    <w:rsid w:val="00452396"/>
    <w:rsid w:val="00471288"/>
    <w:rsid w:val="0049687C"/>
    <w:rsid w:val="004E468C"/>
    <w:rsid w:val="005316B0"/>
    <w:rsid w:val="005505B7"/>
    <w:rsid w:val="00573BE5"/>
    <w:rsid w:val="00586ED3"/>
    <w:rsid w:val="00596AA9"/>
    <w:rsid w:val="005B4D0F"/>
    <w:rsid w:val="00703D0F"/>
    <w:rsid w:val="00706363"/>
    <w:rsid w:val="007158BB"/>
    <w:rsid w:val="0071601D"/>
    <w:rsid w:val="0075410D"/>
    <w:rsid w:val="007A62E6"/>
    <w:rsid w:val="0080684C"/>
    <w:rsid w:val="008204DA"/>
    <w:rsid w:val="00840C7E"/>
    <w:rsid w:val="008535AD"/>
    <w:rsid w:val="00871C75"/>
    <w:rsid w:val="008767E8"/>
    <w:rsid w:val="008776DC"/>
    <w:rsid w:val="00883605"/>
    <w:rsid w:val="00895EB0"/>
    <w:rsid w:val="008E6043"/>
    <w:rsid w:val="00961E7B"/>
    <w:rsid w:val="009705C8"/>
    <w:rsid w:val="009C1CF4"/>
    <w:rsid w:val="009F02C9"/>
    <w:rsid w:val="00A30353"/>
    <w:rsid w:val="00A369E4"/>
    <w:rsid w:val="00A62D91"/>
    <w:rsid w:val="00A90D54"/>
    <w:rsid w:val="00AA113A"/>
    <w:rsid w:val="00AC3823"/>
    <w:rsid w:val="00AE323C"/>
    <w:rsid w:val="00AF774C"/>
    <w:rsid w:val="00B00181"/>
    <w:rsid w:val="00B00B0D"/>
    <w:rsid w:val="00B40927"/>
    <w:rsid w:val="00B50E25"/>
    <w:rsid w:val="00B64918"/>
    <w:rsid w:val="00B765F7"/>
    <w:rsid w:val="00BA0CA9"/>
    <w:rsid w:val="00C02897"/>
    <w:rsid w:val="00C1626B"/>
    <w:rsid w:val="00C51B6F"/>
    <w:rsid w:val="00C66A47"/>
    <w:rsid w:val="00C7616F"/>
    <w:rsid w:val="00CB16B5"/>
    <w:rsid w:val="00CE0608"/>
    <w:rsid w:val="00CF26CE"/>
    <w:rsid w:val="00D3439C"/>
    <w:rsid w:val="00D44CF3"/>
    <w:rsid w:val="00D46C8C"/>
    <w:rsid w:val="00DB1831"/>
    <w:rsid w:val="00DD3BFD"/>
    <w:rsid w:val="00DE239D"/>
    <w:rsid w:val="00DF431C"/>
    <w:rsid w:val="00DF6678"/>
    <w:rsid w:val="00E428C8"/>
    <w:rsid w:val="00EF2E22"/>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49ACF"/>
  <w15:docId w15:val="{158B0AD2-E999-4A0D-BC9C-53712A08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2</TotalTime>
  <Pages>2</Pages>
  <Words>554</Words>
  <Characters>3137</Characters>
  <Application>Microsoft Office Word</Application>
  <DocSecurity>0</DocSecurity>
  <Lines>64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ECE/TRANS/WP.15/AC.1/2020/64</vt:lpstr>
      <vt:lpstr>ECE/TRANS/WP.15/AC.1/2020/64</vt:lpstr>
    </vt:vector>
  </TitlesOfParts>
  <Company>DCM</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ECE/TRANS/WP.15/AC.1/2020/64</dc:title>
  <dc:subject>FINAL</dc:subject>
  <dc:creator>Christine Barrio-Champeau</dc:creator>
  <cp:keywords/>
  <dc:description/>
  <cp:lastModifiedBy>Christine Barrio-Champeau</cp:lastModifiedBy>
  <cp:revision>4</cp:revision>
  <cp:lastPrinted>2014-05-14T10:59:00Z</cp:lastPrinted>
  <dcterms:created xsi:type="dcterms:W3CDTF">2020-06-25T09:44:00Z</dcterms:created>
  <dcterms:modified xsi:type="dcterms:W3CDTF">2020-06-25T13:29:00Z</dcterms:modified>
</cp:coreProperties>
</file>