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A1F5CAD" w14:textId="77777777" w:rsidTr="00C97039">
        <w:trPr>
          <w:trHeight w:hRule="exact" w:val="851"/>
        </w:trPr>
        <w:tc>
          <w:tcPr>
            <w:tcW w:w="1276" w:type="dxa"/>
            <w:tcBorders>
              <w:bottom w:val="single" w:sz="4" w:space="0" w:color="auto"/>
            </w:tcBorders>
          </w:tcPr>
          <w:p w14:paraId="17FB93A0" w14:textId="77777777" w:rsidR="00F35BAF" w:rsidRPr="00DB58B5" w:rsidRDefault="00F35BAF" w:rsidP="00B81C58">
            <w:bookmarkStart w:id="0" w:name="_GoBack"/>
            <w:bookmarkEnd w:id="0"/>
          </w:p>
        </w:tc>
        <w:tc>
          <w:tcPr>
            <w:tcW w:w="2268" w:type="dxa"/>
            <w:tcBorders>
              <w:bottom w:val="single" w:sz="4" w:space="0" w:color="auto"/>
            </w:tcBorders>
            <w:vAlign w:val="bottom"/>
          </w:tcPr>
          <w:p w14:paraId="295B0F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7D11C4" w14:textId="77777777" w:rsidR="00F35BAF" w:rsidRPr="00DB58B5" w:rsidRDefault="00B81C58" w:rsidP="00B81C58">
            <w:pPr>
              <w:jc w:val="right"/>
            </w:pPr>
            <w:r w:rsidRPr="00B81C58">
              <w:rPr>
                <w:sz w:val="40"/>
              </w:rPr>
              <w:t>ECE</w:t>
            </w:r>
            <w:r>
              <w:t>/TRANS/WP.15/AC.1/2020/63</w:t>
            </w:r>
          </w:p>
        </w:tc>
      </w:tr>
      <w:tr w:rsidR="00F35BAF" w:rsidRPr="00DB58B5" w14:paraId="40D981EC" w14:textId="77777777" w:rsidTr="00C97039">
        <w:trPr>
          <w:trHeight w:hRule="exact" w:val="2835"/>
        </w:trPr>
        <w:tc>
          <w:tcPr>
            <w:tcW w:w="1276" w:type="dxa"/>
            <w:tcBorders>
              <w:top w:val="single" w:sz="4" w:space="0" w:color="auto"/>
              <w:bottom w:val="single" w:sz="12" w:space="0" w:color="auto"/>
            </w:tcBorders>
          </w:tcPr>
          <w:p w14:paraId="303335D6" w14:textId="77777777" w:rsidR="00F35BAF" w:rsidRPr="00DB58B5" w:rsidRDefault="00F35BAF" w:rsidP="00C97039">
            <w:pPr>
              <w:spacing w:before="120"/>
              <w:jc w:val="center"/>
            </w:pPr>
            <w:r>
              <w:rPr>
                <w:noProof/>
                <w:lang w:eastAsia="fr-CH"/>
              </w:rPr>
              <w:drawing>
                <wp:inline distT="0" distB="0" distL="0" distR="0" wp14:anchorId="45A06F8C" wp14:editId="36E424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A5162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50A878" w14:textId="77777777" w:rsidR="00F35BAF" w:rsidRDefault="00B81C58" w:rsidP="00C97039">
            <w:pPr>
              <w:spacing w:before="240"/>
            </w:pPr>
            <w:r>
              <w:t>Distr. générale</w:t>
            </w:r>
          </w:p>
          <w:p w14:paraId="585BE18D" w14:textId="77777777" w:rsidR="00B81C58" w:rsidRDefault="00B81C58" w:rsidP="00B81C58">
            <w:pPr>
              <w:spacing w:line="240" w:lineRule="exact"/>
            </w:pPr>
            <w:r>
              <w:t>22 juin 2020</w:t>
            </w:r>
          </w:p>
          <w:p w14:paraId="57E8D5E2" w14:textId="77777777" w:rsidR="00B81C58" w:rsidRDefault="00B81C58" w:rsidP="00B81C58">
            <w:pPr>
              <w:spacing w:line="240" w:lineRule="exact"/>
            </w:pPr>
            <w:r>
              <w:t>Français</w:t>
            </w:r>
          </w:p>
          <w:p w14:paraId="1A621C04" w14:textId="77777777" w:rsidR="00B81C58" w:rsidRPr="00DB58B5" w:rsidRDefault="00B81C58" w:rsidP="00B81C58">
            <w:pPr>
              <w:spacing w:line="240" w:lineRule="exact"/>
            </w:pPr>
            <w:r>
              <w:t>Original : anglais</w:t>
            </w:r>
          </w:p>
        </w:tc>
      </w:tr>
    </w:tbl>
    <w:p w14:paraId="735A049C" w14:textId="77777777" w:rsidR="007F20FA" w:rsidRPr="000312C0" w:rsidRDefault="007F20FA" w:rsidP="007F20FA">
      <w:pPr>
        <w:spacing w:before="120"/>
        <w:rPr>
          <w:b/>
          <w:sz w:val="28"/>
          <w:szCs w:val="28"/>
        </w:rPr>
      </w:pPr>
      <w:r w:rsidRPr="000312C0">
        <w:rPr>
          <w:b/>
          <w:sz w:val="28"/>
          <w:szCs w:val="28"/>
        </w:rPr>
        <w:t>Commission économique pour l</w:t>
      </w:r>
      <w:r w:rsidR="0097198F">
        <w:rPr>
          <w:b/>
          <w:sz w:val="28"/>
          <w:szCs w:val="28"/>
        </w:rPr>
        <w:t>’</w:t>
      </w:r>
      <w:r w:rsidRPr="000312C0">
        <w:rPr>
          <w:b/>
          <w:sz w:val="28"/>
          <w:szCs w:val="28"/>
        </w:rPr>
        <w:t>Europe</w:t>
      </w:r>
    </w:p>
    <w:p w14:paraId="5F6FD89E" w14:textId="77777777" w:rsidR="007F20FA" w:rsidRDefault="007F20FA" w:rsidP="007F20FA">
      <w:pPr>
        <w:spacing w:before="120"/>
        <w:rPr>
          <w:sz w:val="28"/>
          <w:szCs w:val="28"/>
        </w:rPr>
      </w:pPr>
      <w:r w:rsidRPr="00685843">
        <w:rPr>
          <w:sz w:val="28"/>
          <w:szCs w:val="28"/>
        </w:rPr>
        <w:t>Comité des transports intérieurs</w:t>
      </w:r>
    </w:p>
    <w:p w14:paraId="60D620A7" w14:textId="77777777" w:rsidR="0097198F" w:rsidRPr="009E01B8" w:rsidRDefault="0097198F" w:rsidP="00AF0CB5">
      <w:pPr>
        <w:spacing w:before="120"/>
        <w:rPr>
          <w:b/>
          <w:sz w:val="24"/>
          <w:szCs w:val="24"/>
        </w:rPr>
      </w:pPr>
      <w:r w:rsidRPr="009E01B8">
        <w:rPr>
          <w:b/>
          <w:sz w:val="24"/>
          <w:szCs w:val="24"/>
        </w:rPr>
        <w:t>Groupe de travail des transports de marchandises dangereuses</w:t>
      </w:r>
    </w:p>
    <w:p w14:paraId="11AF9F28" w14:textId="77777777" w:rsidR="0097198F" w:rsidRPr="00926E87" w:rsidRDefault="0097198F" w:rsidP="0097198F">
      <w:pPr>
        <w:spacing w:before="120" w:after="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19797802" w14:textId="77777777" w:rsidR="0097198F" w:rsidRPr="00092F8E" w:rsidRDefault="0097198F" w:rsidP="0097198F">
      <w:pPr>
        <w:rPr>
          <w:lang w:val="fr-FR"/>
        </w:rPr>
      </w:pPr>
      <w:r>
        <w:rPr>
          <w:lang w:val="fr-FR"/>
        </w:rPr>
        <w:t>Berne, 10 et 11 septembre et Genève, 14-18 septembre 2020</w:t>
      </w:r>
    </w:p>
    <w:p w14:paraId="63FD9A39" w14:textId="77777777" w:rsidR="0097198F" w:rsidRPr="00092F8E" w:rsidRDefault="0097198F" w:rsidP="0097198F">
      <w:pPr>
        <w:rPr>
          <w:lang w:val="fr-FR"/>
        </w:rPr>
      </w:pPr>
      <w:r>
        <w:rPr>
          <w:lang w:val="fr-FR"/>
        </w:rPr>
        <w:t>Point 3 de l’ordre du jour provisoire</w:t>
      </w:r>
    </w:p>
    <w:p w14:paraId="13127113" w14:textId="77777777" w:rsidR="00F9573C" w:rsidRDefault="0097198F" w:rsidP="0097198F">
      <w:pPr>
        <w:rPr>
          <w:b/>
          <w:bCs/>
          <w:lang w:val="fr-FR"/>
        </w:rPr>
      </w:pPr>
      <w:r>
        <w:rPr>
          <w:b/>
          <w:bCs/>
          <w:lang w:val="fr-FR"/>
        </w:rPr>
        <w:t>Normes</w:t>
      </w:r>
    </w:p>
    <w:p w14:paraId="45889CC0" w14:textId="77777777" w:rsidR="0097198F" w:rsidRPr="00092F8E" w:rsidRDefault="0097198F" w:rsidP="0097198F">
      <w:pPr>
        <w:pStyle w:val="HChG"/>
        <w:rPr>
          <w:lang w:val="fr-FR"/>
        </w:rPr>
      </w:pPr>
      <w:r>
        <w:rPr>
          <w:lang w:val="fr-FR"/>
        </w:rPr>
        <w:tab/>
      </w:r>
      <w:r>
        <w:rPr>
          <w:lang w:val="fr-FR"/>
        </w:rPr>
        <w:tab/>
        <w:t>Modification des exigences de la norme EN ISO 18119</w:t>
      </w:r>
    </w:p>
    <w:p w14:paraId="24F24A18" w14:textId="77777777" w:rsidR="0097198F" w:rsidRPr="00092F8E" w:rsidRDefault="0097198F" w:rsidP="0097198F">
      <w:pPr>
        <w:pStyle w:val="H1G"/>
        <w:rPr>
          <w:b w:val="0"/>
          <w:sz w:val="20"/>
          <w:lang w:val="fr-FR"/>
        </w:rPr>
      </w:pPr>
      <w:r>
        <w:rPr>
          <w:lang w:val="fr-FR"/>
        </w:rPr>
        <w:tab/>
      </w:r>
      <w:r>
        <w:rPr>
          <w:lang w:val="fr-FR"/>
        </w:rPr>
        <w:tab/>
        <w:t>Communication de l’Association européenne des gaz industriels (EIGA)</w:t>
      </w:r>
      <w:r w:rsidRPr="0097198F">
        <w:rPr>
          <w:rStyle w:val="FootnoteReference"/>
          <w:b w:val="0"/>
          <w:sz w:val="20"/>
          <w:vertAlign w:val="baseline"/>
          <w:lang w:val="fr-FR"/>
        </w:rPr>
        <w:footnoteReference w:customMarkFollows="1" w:id="2"/>
        <w:t>*</w:t>
      </w:r>
      <w:r w:rsidRPr="0097198F">
        <w:rPr>
          <w:b w:val="0"/>
          <w:position w:val="6"/>
          <w:sz w:val="20"/>
          <w:lang w:val="fr-FR"/>
        </w:rPr>
        <w:t>,</w:t>
      </w:r>
      <w:r>
        <w:rPr>
          <w:b w:val="0"/>
          <w:sz w:val="20"/>
          <w:lang w:val="fr-FR"/>
        </w:rPr>
        <w:t xml:space="preserve"> </w:t>
      </w:r>
      <w:r w:rsidRPr="0097198F">
        <w:rPr>
          <w:rStyle w:val="FootnoteReference"/>
          <w:b w:val="0"/>
          <w:sz w:val="20"/>
          <w:vertAlign w:val="baseline"/>
          <w:lang w:val="fr-FR"/>
        </w:rPr>
        <w:footnoteReference w:customMarkFollows="1" w:id="3"/>
        <w:t>**</w:t>
      </w:r>
    </w:p>
    <w:p w14:paraId="7E11341C" w14:textId="77777777" w:rsidR="0097198F" w:rsidRPr="00092F8E" w:rsidRDefault="0097198F" w:rsidP="0097198F">
      <w:pPr>
        <w:pStyle w:val="HChG"/>
        <w:rPr>
          <w:lang w:val="fr-FR"/>
        </w:rPr>
      </w:pPr>
      <w:r>
        <w:rPr>
          <w:lang w:val="fr-FR"/>
        </w:rPr>
        <w:tab/>
      </w:r>
      <w:r>
        <w:rPr>
          <w:lang w:val="fr-FR"/>
        </w:rPr>
        <w:tab/>
      </w:r>
      <w:r>
        <w:rPr>
          <w:bCs/>
          <w:lang w:val="fr-FR"/>
        </w:rPr>
        <w:t>Introduction et contexte</w:t>
      </w:r>
    </w:p>
    <w:p w14:paraId="75091B9E" w14:textId="77777777" w:rsidR="0097198F" w:rsidRPr="00092F8E" w:rsidRDefault="0097198F" w:rsidP="0097198F">
      <w:pPr>
        <w:pStyle w:val="SingleTxtG"/>
        <w:rPr>
          <w:lang w:val="fr-FR"/>
        </w:rPr>
      </w:pPr>
      <w:r>
        <w:rPr>
          <w:lang w:val="fr-FR"/>
        </w:rPr>
        <w:t>1.</w:t>
      </w:r>
      <w:r>
        <w:rPr>
          <w:lang w:val="fr-FR"/>
        </w:rPr>
        <w:tab/>
        <w:t>Dans le rapport du Groupe de travail des normes à la Réunion commune tenue en septembre 2018, il est convenu de faire référence à la norme EN ISO 18119, Bouteilles à gaz − Bouteilles et tubes à gaz en acier et en alliages d’aluminium, sans soudure − Contrôles et essais périodiques, au chapitre 6.2. Cette norme, qui est l’aboutissement de nombreuses années d’expérience mondiale, constitue une avancée majeure en matière de contrôles et d’épreuves périodiques des bouteilles à gaz en acier et en alliages d’aluminium sans soudure.</w:t>
      </w:r>
    </w:p>
    <w:p w14:paraId="79756991" w14:textId="77777777" w:rsidR="0097198F" w:rsidRPr="00092F8E" w:rsidRDefault="0097198F" w:rsidP="0097198F">
      <w:pPr>
        <w:pStyle w:val="SingleTxtG"/>
        <w:rPr>
          <w:lang w:val="fr-FR"/>
        </w:rPr>
      </w:pPr>
      <w:r>
        <w:rPr>
          <w:lang w:val="fr-FR"/>
        </w:rPr>
        <w:t>2.</w:t>
      </w:r>
      <w:r>
        <w:rPr>
          <w:lang w:val="fr-FR"/>
        </w:rPr>
        <w:tab/>
        <w:t>Les dispositions suivantes ont été adoptées pour le RID et l’ADR 2021 :</w:t>
      </w:r>
    </w:p>
    <w:p w14:paraId="285FD28B" w14:textId="467997CE" w:rsidR="0097198F" w:rsidRPr="00092F8E" w:rsidRDefault="0097198F" w:rsidP="0097198F">
      <w:pPr>
        <w:tabs>
          <w:tab w:val="left" w:pos="426"/>
        </w:tabs>
        <w:spacing w:before="120" w:after="120"/>
        <w:ind w:left="1134"/>
        <w:rPr>
          <w:bCs/>
          <w:lang w:val="fr-FR"/>
        </w:rPr>
      </w:pPr>
      <w:r>
        <w:rPr>
          <w:lang w:val="fr-FR"/>
        </w:rPr>
        <w:t>« 6.2.4.2</w:t>
      </w:r>
      <w:r>
        <w:rPr>
          <w:lang w:val="fr-FR"/>
        </w:rPr>
        <w:tab/>
        <w:t xml:space="preserve">Dans le tableau, sous </w:t>
      </w:r>
      <w:r w:rsidR="003B146A" w:rsidRPr="003B146A">
        <w:t>“</w:t>
      </w:r>
      <w:r>
        <w:rPr>
          <w:lang w:val="fr-FR"/>
        </w:rPr>
        <w:t>Pour les contrôles et épreuves périodiques</w:t>
      </w:r>
      <w:r w:rsidR="003B146A" w:rsidRPr="003B146A">
        <w:t>”</w:t>
      </w:r>
      <w:r>
        <w:rPr>
          <w:lang w:val="fr-FR"/>
        </w:rPr>
        <w:t xml:space="preserve"> :</w:t>
      </w:r>
    </w:p>
    <w:p w14:paraId="7F1CE380" w14:textId="3F74D5F7" w:rsidR="0097198F" w:rsidRPr="0097198F" w:rsidRDefault="0097198F" w:rsidP="0097198F">
      <w:pPr>
        <w:pStyle w:val="Bullet1G"/>
        <w:tabs>
          <w:tab w:val="clear" w:pos="1701"/>
        </w:tabs>
        <w:ind w:left="2438"/>
      </w:pPr>
      <w:r>
        <w:rPr>
          <w:lang w:val="fr-FR"/>
        </w:rPr>
        <w:t xml:space="preserve">Après la rubrique existante pour la norme </w:t>
      </w:r>
      <w:r w:rsidR="003B146A" w:rsidRPr="003B146A">
        <w:t>“</w:t>
      </w:r>
      <w:r>
        <w:rPr>
          <w:lang w:val="fr-FR"/>
        </w:rPr>
        <w:t>EN 1802:2002 (sauf annexe B)</w:t>
      </w:r>
      <w:r w:rsidR="003B146A" w:rsidRPr="003B146A">
        <w:t>”</w:t>
      </w:r>
      <w:r>
        <w:rPr>
          <w:lang w:val="fr-FR"/>
        </w:rPr>
        <w:t>,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7"/>
        <w:gridCol w:w="5228"/>
        <w:gridCol w:w="1900"/>
      </w:tblGrid>
      <w:tr w:rsidR="0097198F" w:rsidRPr="00BB7517" w14:paraId="52F45CA1" w14:textId="77777777" w:rsidTr="0097198F">
        <w:trPr>
          <w:trHeight w:val="1015"/>
        </w:trPr>
        <w:tc>
          <w:tcPr>
            <w:tcW w:w="1377" w:type="dxa"/>
            <w:vAlign w:val="center"/>
          </w:tcPr>
          <w:p w14:paraId="1250B0DF" w14:textId="77777777" w:rsidR="0097198F" w:rsidRPr="008F7821" w:rsidRDefault="0097198F" w:rsidP="0097198F">
            <w:pPr>
              <w:widowControl w:val="0"/>
              <w:spacing w:before="60" w:after="60"/>
              <w:ind w:left="57" w:right="57"/>
              <w:jc w:val="center"/>
              <w:rPr>
                <w:bCs/>
                <w:iCs/>
                <w:sz w:val="18"/>
                <w:szCs w:val="18"/>
              </w:rPr>
            </w:pPr>
            <w:r>
              <w:rPr>
                <w:lang w:val="fr-FR"/>
              </w:rPr>
              <w:t>EN ISO 18119:2018</w:t>
            </w:r>
          </w:p>
        </w:tc>
        <w:tc>
          <w:tcPr>
            <w:tcW w:w="5228" w:type="dxa"/>
            <w:vAlign w:val="center"/>
          </w:tcPr>
          <w:p w14:paraId="3C9E08CB" w14:textId="77777777" w:rsidR="0097198F" w:rsidRPr="00092F8E" w:rsidRDefault="0097198F" w:rsidP="0097198F">
            <w:pPr>
              <w:widowControl w:val="0"/>
              <w:spacing w:before="60" w:after="60"/>
              <w:ind w:left="57" w:right="57"/>
              <w:rPr>
                <w:bCs/>
                <w:noProof/>
                <w:sz w:val="18"/>
                <w:szCs w:val="18"/>
                <w:lang w:val="fr-FR"/>
              </w:rPr>
            </w:pPr>
            <w:r>
              <w:rPr>
                <w:lang w:val="fr-FR"/>
              </w:rPr>
              <w:t>Bouteilles à gaz − Bouteilles à gaz en acier et en alliages d’aluminium, sans soudure − Contrôles et essais périodiques</w:t>
            </w:r>
          </w:p>
          <w:p w14:paraId="15C42CEA" w14:textId="77777777" w:rsidR="0097198F" w:rsidRPr="00092F8E" w:rsidRDefault="0097198F" w:rsidP="0097198F">
            <w:pPr>
              <w:widowControl w:val="0"/>
              <w:spacing w:before="60" w:after="60"/>
              <w:ind w:left="57" w:right="57"/>
              <w:rPr>
                <w:bCs/>
                <w:iCs/>
                <w:sz w:val="18"/>
                <w:szCs w:val="18"/>
                <w:lang w:val="fr-FR"/>
              </w:rPr>
            </w:pPr>
            <w:r>
              <w:rPr>
                <w:lang w:val="fr-FR"/>
              </w:rPr>
              <w:t>NOTA : Nonobstant l’article B.1 de cette norme, toutes les bouteilles et tous les tubes dont l’épaisseur de paroi est inférieure à l’épaisseur minimale de calcul doivent être rejetés.</w:t>
            </w:r>
          </w:p>
        </w:tc>
        <w:tc>
          <w:tcPr>
            <w:tcW w:w="1900" w:type="dxa"/>
            <w:vAlign w:val="center"/>
          </w:tcPr>
          <w:p w14:paraId="21FBC655" w14:textId="77777777" w:rsidR="0097198F" w:rsidRPr="00092F8E" w:rsidRDefault="0097198F" w:rsidP="0097198F">
            <w:pPr>
              <w:widowControl w:val="0"/>
              <w:spacing w:before="60" w:after="60"/>
              <w:ind w:left="57" w:right="57"/>
              <w:jc w:val="center"/>
              <w:rPr>
                <w:bCs/>
                <w:sz w:val="18"/>
                <w:szCs w:val="18"/>
                <w:lang w:val="fr-FR"/>
              </w:rPr>
            </w:pPr>
            <w:r>
              <w:rPr>
                <w:lang w:val="fr-FR"/>
              </w:rPr>
              <w:t xml:space="preserve">Obligatoirement </w:t>
            </w:r>
            <w:r>
              <w:rPr>
                <w:lang w:val="fr-FR"/>
              </w:rPr>
              <w:br/>
              <w:t xml:space="preserve">à partir </w:t>
            </w:r>
            <w:r>
              <w:rPr>
                <w:lang w:val="fr-FR"/>
              </w:rPr>
              <w:br/>
              <w:t>du 1</w:t>
            </w:r>
            <w:r>
              <w:rPr>
                <w:vertAlign w:val="superscript"/>
                <w:lang w:val="fr-FR"/>
              </w:rPr>
              <w:t>er</w:t>
            </w:r>
            <w:r>
              <w:rPr>
                <w:lang w:val="fr-FR"/>
              </w:rPr>
              <w:t xml:space="preserve"> janvier 2023</w:t>
            </w:r>
          </w:p>
        </w:tc>
      </w:tr>
    </w:tbl>
    <w:p w14:paraId="03927DB5" w14:textId="77777777" w:rsidR="0097198F" w:rsidRDefault="0097198F" w:rsidP="0097198F">
      <w:pPr>
        <w:pStyle w:val="SingleTxtG"/>
        <w:ind w:right="0"/>
        <w:jc w:val="right"/>
      </w:pPr>
      <w:r>
        <w:t>. ».</w:t>
      </w:r>
    </w:p>
    <w:p w14:paraId="25ED4DD7" w14:textId="77777777" w:rsidR="0097198F" w:rsidRPr="00092F8E" w:rsidRDefault="0097198F" w:rsidP="0097198F">
      <w:pPr>
        <w:pStyle w:val="SingleTxtG"/>
        <w:keepNext/>
        <w:keepLines/>
        <w:spacing w:before="120"/>
        <w:rPr>
          <w:lang w:val="fr-FR"/>
        </w:rPr>
      </w:pPr>
      <w:r>
        <w:rPr>
          <w:lang w:val="fr-FR"/>
        </w:rPr>
        <w:lastRenderedPageBreak/>
        <w:t>« 6.2.3.5.1</w:t>
      </w:r>
      <w:r>
        <w:rPr>
          <w:lang w:val="fr-FR"/>
        </w:rPr>
        <w:tab/>
        <w:t>Remplacer le NOTA 3 par le texte suivant :</w:t>
      </w:r>
    </w:p>
    <w:p w14:paraId="1BCFF6B7" w14:textId="77777777" w:rsidR="0097198F" w:rsidRPr="00092F8E" w:rsidRDefault="0097198F" w:rsidP="0097198F">
      <w:pPr>
        <w:pStyle w:val="SingleTxtG"/>
        <w:tabs>
          <w:tab w:val="left" w:pos="3544"/>
        </w:tabs>
        <w:spacing w:before="120"/>
        <w:ind w:left="2268"/>
        <w:rPr>
          <w:i/>
          <w:lang w:val="fr-FR"/>
        </w:rPr>
      </w:pPr>
      <w:r w:rsidRPr="0097198F">
        <w:t>“</w:t>
      </w:r>
      <w:r w:rsidRPr="00BB7517">
        <w:rPr>
          <w:b/>
          <w:bCs/>
          <w:lang w:val="fr-FR"/>
        </w:rPr>
        <w:t>NOTA 3 :</w:t>
      </w:r>
      <w:r>
        <w:rPr>
          <w:b/>
          <w:bCs/>
          <w:lang w:val="fr-FR"/>
        </w:rPr>
        <w:tab/>
      </w:r>
      <w:r>
        <w:rPr>
          <w:i/>
          <w:iCs/>
          <w:lang w:val="fr-FR"/>
        </w:rPr>
        <w:t>Le contrôle du 6.2.1.6.1 b) et l’épreuve de pression hydraulique du 6.2.1.6.1 d) peuvent être remplacés par un examen ultrasonique réalisé conformément à la norme EN ISO 18119:2018 pour les bouteilles et les tubes en acier ou en alliages d’aluminium, sans soudure.</w:t>
      </w:r>
      <w:r>
        <w:rPr>
          <w:lang w:val="fr-FR"/>
        </w:rPr>
        <w:t xml:space="preserve"> </w:t>
      </w:r>
      <w:r>
        <w:rPr>
          <w:i/>
          <w:iCs/>
          <w:lang w:val="fr-FR"/>
        </w:rPr>
        <w:t>Nonobstant l’article B.1 de cette norme, toutes les bouteilles et tous les tubes dont l’épaisseur de paroi est inférieure à l’épaisseur minimale de calcul doivent être rejetés.</w:t>
      </w:r>
      <w:r w:rsidRPr="0097198F">
        <w:t>”</w:t>
      </w:r>
      <w:r>
        <w:rPr>
          <w:i/>
          <w:iCs/>
          <w:lang w:val="fr-FR"/>
        </w:rPr>
        <w:t> </w:t>
      </w:r>
      <w:r w:rsidRPr="0097198F">
        <w:rPr>
          <w:lang w:val="fr-FR"/>
        </w:rPr>
        <w:t>».</w:t>
      </w:r>
    </w:p>
    <w:p w14:paraId="14389A82" w14:textId="77777777" w:rsidR="0097198F" w:rsidRPr="00092F8E" w:rsidRDefault="0097198F" w:rsidP="0097198F">
      <w:pPr>
        <w:pStyle w:val="SingleTxtG"/>
        <w:rPr>
          <w:lang w:val="fr-FR"/>
        </w:rPr>
      </w:pPr>
      <w:r>
        <w:rPr>
          <w:lang w:val="fr-FR"/>
        </w:rPr>
        <w:t>3.</w:t>
      </w:r>
      <w:r>
        <w:rPr>
          <w:lang w:val="fr-FR"/>
        </w:rPr>
        <w:tab/>
        <w:t>La dernière phrase du nota est libellée comme suit : « </w:t>
      </w:r>
      <w:r>
        <w:rPr>
          <w:i/>
          <w:iCs/>
          <w:lang w:val="fr-FR"/>
        </w:rPr>
        <w:t>Nonobstant l’article B.1 de cette norme, toutes les bouteilles et tous les tubes dont l’épaisseur de paroi est inférieure à l’épaisseur minimale de calcul doivent être rejetés</w:t>
      </w:r>
      <w:r>
        <w:rPr>
          <w:lang w:val="fr-FR"/>
        </w:rPr>
        <w:t>. ».</w:t>
      </w:r>
    </w:p>
    <w:p w14:paraId="5A8C2067" w14:textId="77777777" w:rsidR="0097198F" w:rsidRPr="00092F8E" w:rsidRDefault="0097198F" w:rsidP="0097198F">
      <w:pPr>
        <w:spacing w:before="120" w:after="120"/>
        <w:ind w:left="1134" w:right="1134"/>
        <w:jc w:val="both"/>
        <w:rPr>
          <w:i/>
          <w:iCs/>
          <w:lang w:val="fr-FR"/>
        </w:rPr>
      </w:pPr>
      <w:r>
        <w:rPr>
          <w:lang w:val="fr-FR"/>
        </w:rPr>
        <w:t>4.</w:t>
      </w:r>
      <w:r>
        <w:rPr>
          <w:lang w:val="fr-FR"/>
        </w:rPr>
        <w:tab/>
        <w:t xml:space="preserve">Cette phrase ne tient cependant pas compte du contenu de l’annexe B de la norme EN ISO 18119 dans son intégralité, en particulier s’agissant de la référence au rapport technique ISO/TR 22694:2008, </w:t>
      </w:r>
      <w:r>
        <w:rPr>
          <w:i/>
          <w:iCs/>
          <w:lang w:val="fr-FR"/>
        </w:rPr>
        <w:t>Bouteilles à gaz − Méthodes d’établissement des critères d’acceptation/de rejet des défauts dans les bouteilles en acier et en alliages d’aluminium, sans soudure, lors des contrôles et essais périodiques.</w:t>
      </w:r>
    </w:p>
    <w:p w14:paraId="4CC3EB94" w14:textId="77777777" w:rsidR="0097198F" w:rsidRPr="00092F8E" w:rsidRDefault="0097198F" w:rsidP="0097198F">
      <w:pPr>
        <w:spacing w:before="120" w:after="120"/>
        <w:ind w:left="1134" w:right="1134"/>
        <w:jc w:val="both"/>
        <w:rPr>
          <w:lang w:val="fr-FR"/>
        </w:rPr>
      </w:pPr>
      <w:r>
        <w:rPr>
          <w:lang w:val="fr-FR"/>
        </w:rPr>
        <w:t>5.</w:t>
      </w:r>
      <w:r>
        <w:rPr>
          <w:lang w:val="fr-FR"/>
        </w:rPr>
        <w:tab/>
        <w:t>Les experts ayant participé à l’élaboration de la norme EN ISO 18119 ont accompli un travail considérable pour mettre au point des critères de rejet des bouteilles à gaz. Dans le cadre de ce travail, il a été admis que les bouteilles à gaz pouvaient présenter une épaisseur de paroi inférieure à l’épaisseur minimale dans certaines zones quantifiables et localisées tout en demeurant en service en toute sécurité. Les deux normes précédentes (ISO 6406 et ISO 10461, auxquelles le Règlement type pour le transport des marchandises dangereuses faisait référence) prévoyaient une tolérance qualitative portant sur une ou plusieurs zones précises dont l’épaisseur de paroi était inférieure à l’épaisseur minimale, tolérance qui a été utilisée pendant de nombreuses années sans entraîner aucun problème. La norme ISO 18119 présente l’avantage de spécifier la taille maximale des défauts acceptables.</w:t>
      </w:r>
    </w:p>
    <w:p w14:paraId="133176A4" w14:textId="77777777" w:rsidR="0097198F" w:rsidRPr="00092F8E" w:rsidRDefault="0097198F" w:rsidP="0097198F">
      <w:pPr>
        <w:pStyle w:val="SingleTxtG"/>
        <w:rPr>
          <w:lang w:val="fr-FR"/>
        </w:rPr>
      </w:pPr>
      <w:r>
        <w:rPr>
          <w:lang w:val="fr-FR"/>
        </w:rPr>
        <w:t>6.</w:t>
      </w:r>
      <w:r>
        <w:rPr>
          <w:lang w:val="fr-FR"/>
        </w:rPr>
        <w:tab/>
        <w:t>L’introduction de la référence à la norme ISO 18119 dans le Règlement type de l’ONU a été adoptée par le Sous-Comité d’experts du transport des marchandises dangereuses et appuyée par l’expert des États-Unis, pays où ces critères d’acceptation sont déjà utilisés, sans l’ajout de l’exigence figurant au paragraphe 3. L’ajout de cette exigence est restrictif et ne tient pas compte des progrès réalisés dans les techniques de contrôle. Or la méthode ultrasonique permet la détection d’imperfections légères qui ne pouvaient être repérées par des examens visuels externes et internes suivis d’une épreuve de pression hydraulique.</w:t>
      </w:r>
    </w:p>
    <w:p w14:paraId="6BA13E4D" w14:textId="77777777" w:rsidR="0097198F" w:rsidRPr="00092F8E" w:rsidRDefault="0097198F" w:rsidP="0097198F">
      <w:pPr>
        <w:pStyle w:val="HChG"/>
        <w:rPr>
          <w:lang w:val="fr-FR"/>
        </w:rPr>
      </w:pPr>
      <w:r>
        <w:rPr>
          <w:lang w:val="fr-FR"/>
        </w:rPr>
        <w:tab/>
      </w:r>
      <w:r>
        <w:rPr>
          <w:lang w:val="fr-FR"/>
        </w:rPr>
        <w:tab/>
      </w:r>
      <w:r>
        <w:rPr>
          <w:bCs/>
          <w:lang w:val="fr-FR"/>
        </w:rPr>
        <w:t>Proposition</w:t>
      </w:r>
    </w:p>
    <w:p w14:paraId="23E0102D" w14:textId="77777777" w:rsidR="0097198F" w:rsidRPr="00092F8E" w:rsidRDefault="0097198F" w:rsidP="0097198F">
      <w:pPr>
        <w:pStyle w:val="SingleTxtG"/>
        <w:rPr>
          <w:i/>
          <w:iCs/>
          <w:strike/>
          <w:lang w:val="fr-FR"/>
        </w:rPr>
      </w:pPr>
      <w:r>
        <w:rPr>
          <w:lang w:val="fr-FR"/>
        </w:rPr>
        <w:t>7.</w:t>
      </w:r>
      <w:r>
        <w:rPr>
          <w:lang w:val="fr-FR"/>
        </w:rPr>
        <w:tab/>
        <w:t>La proposition consiste à supprimer la dernière phrase du NOTA 3 du 6.2.3.5.1 (</w:t>
      </w:r>
      <w:r>
        <w:rPr>
          <w:i/>
          <w:iCs/>
          <w:lang w:val="fr-FR"/>
        </w:rPr>
        <w:t>Nonobstant l’article B.1 de cette norme, toutes les bouteilles et tous les tubes dont l’épaisseur de paroi est inférieure à l’épaisseur minimale de calcul doivent être rejetés.</w:t>
      </w:r>
      <w:r>
        <w:rPr>
          <w:lang w:val="fr-FR"/>
        </w:rPr>
        <w:t>).</w:t>
      </w:r>
    </w:p>
    <w:p w14:paraId="65D96018" w14:textId="77777777" w:rsidR="0097198F" w:rsidRPr="00092F8E" w:rsidRDefault="0097198F" w:rsidP="0097198F">
      <w:pPr>
        <w:pStyle w:val="HChG"/>
        <w:rPr>
          <w:lang w:val="fr-FR"/>
        </w:rPr>
      </w:pPr>
      <w:r>
        <w:rPr>
          <w:lang w:val="fr-FR"/>
        </w:rPr>
        <w:tab/>
      </w:r>
      <w:r>
        <w:rPr>
          <w:lang w:val="fr-FR"/>
        </w:rPr>
        <w:tab/>
      </w:r>
      <w:r>
        <w:rPr>
          <w:bCs/>
          <w:lang w:val="fr-FR"/>
        </w:rPr>
        <w:t>Justification</w:t>
      </w:r>
    </w:p>
    <w:p w14:paraId="5F485913" w14:textId="77777777" w:rsidR="0097198F" w:rsidRPr="00092F8E" w:rsidRDefault="0097198F" w:rsidP="0097198F">
      <w:pPr>
        <w:ind w:left="1134" w:right="1134"/>
        <w:jc w:val="both"/>
        <w:rPr>
          <w:lang w:val="fr-FR"/>
        </w:rPr>
      </w:pPr>
      <w:r>
        <w:rPr>
          <w:lang w:val="fr-FR"/>
        </w:rPr>
        <w:t>8.</w:t>
      </w:r>
      <w:r>
        <w:rPr>
          <w:lang w:val="fr-FR"/>
        </w:rPr>
        <w:tab/>
        <w:t>Harmonisation avec le Règlement type de l’ONU.</w:t>
      </w:r>
    </w:p>
    <w:p w14:paraId="758E1E5E" w14:textId="77777777" w:rsidR="0097198F" w:rsidRPr="00092F8E" w:rsidRDefault="0097198F" w:rsidP="0097198F">
      <w:pPr>
        <w:pStyle w:val="HChG"/>
        <w:rPr>
          <w:lang w:val="fr-FR"/>
        </w:rPr>
      </w:pPr>
      <w:r>
        <w:rPr>
          <w:lang w:val="fr-FR"/>
        </w:rPr>
        <w:tab/>
      </w:r>
      <w:r>
        <w:rPr>
          <w:lang w:val="fr-FR"/>
        </w:rPr>
        <w:tab/>
      </w:r>
      <w:r>
        <w:rPr>
          <w:bCs/>
          <w:lang w:val="fr-FR"/>
        </w:rPr>
        <w:t>Incidences sur la sécurité</w:t>
      </w:r>
    </w:p>
    <w:p w14:paraId="682FEEA3" w14:textId="77777777" w:rsidR="0097198F" w:rsidRDefault="0097198F" w:rsidP="0097198F">
      <w:pPr>
        <w:pStyle w:val="SingleTxtG"/>
        <w:rPr>
          <w:lang w:val="fr-FR"/>
        </w:rPr>
      </w:pPr>
      <w:r>
        <w:rPr>
          <w:lang w:val="fr-FR"/>
        </w:rPr>
        <w:t>9.</w:t>
      </w:r>
      <w:r>
        <w:rPr>
          <w:lang w:val="fr-FR"/>
        </w:rPr>
        <w:tab/>
        <w:t>Aucune incidence prévue.</w:t>
      </w:r>
    </w:p>
    <w:p w14:paraId="11E2D209" w14:textId="77777777" w:rsidR="0097198F" w:rsidRPr="0097198F" w:rsidRDefault="0097198F" w:rsidP="0097198F">
      <w:pPr>
        <w:pStyle w:val="SingleTxtG"/>
        <w:spacing w:before="240" w:after="0"/>
        <w:jc w:val="center"/>
        <w:rPr>
          <w:u w:val="single"/>
        </w:rPr>
      </w:pPr>
      <w:r>
        <w:rPr>
          <w:u w:val="single"/>
        </w:rPr>
        <w:tab/>
      </w:r>
      <w:r>
        <w:rPr>
          <w:u w:val="single"/>
        </w:rPr>
        <w:tab/>
      </w:r>
      <w:r>
        <w:rPr>
          <w:u w:val="single"/>
        </w:rPr>
        <w:tab/>
      </w:r>
    </w:p>
    <w:sectPr w:rsidR="0097198F" w:rsidRPr="0097198F" w:rsidSect="00B81C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65C1" w14:textId="77777777" w:rsidR="00962A7D" w:rsidRDefault="00962A7D" w:rsidP="00F95C08">
      <w:pPr>
        <w:spacing w:line="240" w:lineRule="auto"/>
      </w:pPr>
    </w:p>
  </w:endnote>
  <w:endnote w:type="continuationSeparator" w:id="0">
    <w:p w14:paraId="11F78AD6" w14:textId="77777777" w:rsidR="00962A7D" w:rsidRPr="00AC3823" w:rsidRDefault="00962A7D" w:rsidP="00AC3823">
      <w:pPr>
        <w:pStyle w:val="Footer"/>
      </w:pPr>
    </w:p>
  </w:endnote>
  <w:endnote w:type="continuationNotice" w:id="1">
    <w:p w14:paraId="72626A9C" w14:textId="77777777" w:rsidR="00962A7D" w:rsidRDefault="00962A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BDC3" w14:textId="77777777" w:rsidR="00B81C58" w:rsidRPr="00B81C58" w:rsidRDefault="00B81C58" w:rsidP="00B81C58">
    <w:pPr>
      <w:pStyle w:val="Footer"/>
      <w:tabs>
        <w:tab w:val="right" w:pos="9638"/>
      </w:tabs>
    </w:pPr>
    <w:r w:rsidRPr="00B81C58">
      <w:rPr>
        <w:b/>
        <w:sz w:val="18"/>
      </w:rPr>
      <w:fldChar w:fldCharType="begin"/>
    </w:r>
    <w:r w:rsidRPr="00B81C58">
      <w:rPr>
        <w:b/>
        <w:sz w:val="18"/>
      </w:rPr>
      <w:instrText xml:space="preserve"> PAGE  \* MERGEFORMAT </w:instrText>
    </w:r>
    <w:r w:rsidRPr="00B81C58">
      <w:rPr>
        <w:b/>
        <w:sz w:val="18"/>
      </w:rPr>
      <w:fldChar w:fldCharType="separate"/>
    </w:r>
    <w:r w:rsidRPr="00B81C58">
      <w:rPr>
        <w:b/>
        <w:noProof/>
        <w:sz w:val="18"/>
      </w:rPr>
      <w:t>2</w:t>
    </w:r>
    <w:r w:rsidRPr="00B81C58">
      <w:rPr>
        <w:b/>
        <w:sz w:val="18"/>
      </w:rPr>
      <w:fldChar w:fldCharType="end"/>
    </w:r>
    <w:r>
      <w:rPr>
        <w:b/>
        <w:sz w:val="18"/>
      </w:rPr>
      <w:tab/>
    </w:r>
    <w:r>
      <w:t>GE.20-08171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BD01" w14:textId="77777777" w:rsidR="00B81C58" w:rsidRPr="00B81C58" w:rsidRDefault="00B81C58" w:rsidP="00B81C58">
    <w:pPr>
      <w:pStyle w:val="Footer"/>
      <w:tabs>
        <w:tab w:val="right" w:pos="9638"/>
      </w:tabs>
      <w:rPr>
        <w:b/>
        <w:sz w:val="18"/>
      </w:rPr>
    </w:pPr>
    <w:r>
      <w:t>GE.20-08171</w:t>
    </w:r>
    <w:r>
      <w:tab/>
    </w:r>
    <w:r w:rsidRPr="00B81C58">
      <w:rPr>
        <w:b/>
        <w:sz w:val="18"/>
      </w:rPr>
      <w:fldChar w:fldCharType="begin"/>
    </w:r>
    <w:r w:rsidRPr="00B81C58">
      <w:rPr>
        <w:b/>
        <w:sz w:val="18"/>
      </w:rPr>
      <w:instrText xml:space="preserve"> PAGE  \* MERGEFORMAT </w:instrText>
    </w:r>
    <w:r w:rsidRPr="00B81C58">
      <w:rPr>
        <w:b/>
        <w:sz w:val="18"/>
      </w:rPr>
      <w:fldChar w:fldCharType="separate"/>
    </w:r>
    <w:r w:rsidRPr="00B81C58">
      <w:rPr>
        <w:b/>
        <w:noProof/>
        <w:sz w:val="18"/>
      </w:rPr>
      <w:t>3</w:t>
    </w:r>
    <w:r w:rsidRPr="00B81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3598" w14:textId="77777777" w:rsidR="007F20FA" w:rsidRPr="00B81C58" w:rsidRDefault="00B81C58" w:rsidP="00B81C5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49E9392F" wp14:editId="1343AAA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20-08171  (F)    070720    070720</w:t>
    </w:r>
    <w:r>
      <w:rPr>
        <w:sz w:val="20"/>
      </w:rPr>
      <w:br/>
    </w:r>
    <w:r w:rsidRPr="00B81C58">
      <w:rPr>
        <w:rFonts w:ascii="C39T30Lfz" w:hAnsi="C39T30Lfz"/>
        <w:sz w:val="56"/>
      </w:rPr>
      <w:t></w:t>
    </w:r>
    <w:r w:rsidRPr="00B81C58">
      <w:rPr>
        <w:rFonts w:ascii="C39T30Lfz" w:hAnsi="C39T30Lfz"/>
        <w:sz w:val="56"/>
      </w:rPr>
      <w:t></w:t>
    </w:r>
    <w:r w:rsidRPr="00B81C58">
      <w:rPr>
        <w:rFonts w:ascii="C39T30Lfz" w:hAnsi="C39T30Lfz"/>
        <w:sz w:val="56"/>
      </w:rPr>
      <w:t></w:t>
    </w:r>
    <w:r w:rsidRPr="00B81C58">
      <w:rPr>
        <w:rFonts w:ascii="C39T30Lfz" w:hAnsi="C39T30Lfz"/>
        <w:sz w:val="56"/>
      </w:rPr>
      <w:t></w:t>
    </w:r>
    <w:r w:rsidRPr="00B81C58">
      <w:rPr>
        <w:rFonts w:ascii="C39T30Lfz" w:hAnsi="C39T30Lfz"/>
        <w:sz w:val="56"/>
      </w:rPr>
      <w:t></w:t>
    </w:r>
    <w:r w:rsidRPr="00B81C58">
      <w:rPr>
        <w:rFonts w:ascii="C39T30Lfz" w:hAnsi="C39T30Lfz"/>
        <w:sz w:val="56"/>
      </w:rPr>
      <w:t></w:t>
    </w:r>
    <w:r w:rsidRPr="00B81C58">
      <w:rPr>
        <w:rFonts w:ascii="C39T30Lfz" w:hAnsi="C39T30Lfz"/>
        <w:sz w:val="56"/>
      </w:rPr>
      <w:t></w:t>
    </w:r>
    <w:r w:rsidRPr="00B81C58">
      <w:rPr>
        <w:rFonts w:ascii="C39T30Lfz" w:hAnsi="C39T30Lfz"/>
        <w:sz w:val="56"/>
      </w:rPr>
      <w:t></w:t>
    </w:r>
    <w:r w:rsidRPr="00B81C58">
      <w:rPr>
        <w:rFonts w:ascii="C39T30Lfz" w:hAnsi="C39T30Lfz"/>
        <w:sz w:val="56"/>
      </w:rPr>
      <w:t></w:t>
    </w:r>
    <w:r>
      <w:rPr>
        <w:noProof/>
        <w:sz w:val="20"/>
      </w:rPr>
      <w:drawing>
        <wp:anchor distT="0" distB="0" distL="114300" distR="114300" simplePos="0" relativeHeight="251658240" behindDoc="0" locked="0" layoutInCell="1" allowOverlap="1" wp14:anchorId="2BAB6C0D" wp14:editId="6A5D099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FFB4" w14:textId="77777777" w:rsidR="00962A7D" w:rsidRPr="00AC3823" w:rsidRDefault="00962A7D" w:rsidP="00AC3823">
      <w:pPr>
        <w:pStyle w:val="Footer"/>
        <w:tabs>
          <w:tab w:val="right" w:pos="2155"/>
        </w:tabs>
        <w:spacing w:after="80" w:line="240" w:lineRule="atLeast"/>
        <w:ind w:left="680"/>
        <w:rPr>
          <w:u w:val="single"/>
        </w:rPr>
      </w:pPr>
      <w:r>
        <w:rPr>
          <w:u w:val="single"/>
        </w:rPr>
        <w:tab/>
      </w:r>
    </w:p>
  </w:footnote>
  <w:footnote w:type="continuationSeparator" w:id="0">
    <w:p w14:paraId="49BD0FF5" w14:textId="77777777" w:rsidR="00962A7D" w:rsidRPr="00AC3823" w:rsidRDefault="00962A7D" w:rsidP="00AC3823">
      <w:pPr>
        <w:pStyle w:val="Footer"/>
        <w:tabs>
          <w:tab w:val="right" w:pos="2155"/>
        </w:tabs>
        <w:spacing w:after="80" w:line="240" w:lineRule="atLeast"/>
        <w:ind w:left="680"/>
        <w:rPr>
          <w:u w:val="single"/>
        </w:rPr>
      </w:pPr>
      <w:r>
        <w:rPr>
          <w:u w:val="single"/>
        </w:rPr>
        <w:tab/>
      </w:r>
    </w:p>
  </w:footnote>
  <w:footnote w:type="continuationNotice" w:id="1">
    <w:p w14:paraId="00B0B70D" w14:textId="77777777" w:rsidR="00962A7D" w:rsidRPr="00AC3823" w:rsidRDefault="00962A7D">
      <w:pPr>
        <w:spacing w:line="240" w:lineRule="auto"/>
        <w:rPr>
          <w:sz w:val="2"/>
          <w:szCs w:val="2"/>
        </w:rPr>
      </w:pPr>
    </w:p>
  </w:footnote>
  <w:footnote w:id="2">
    <w:p w14:paraId="0E468C2D" w14:textId="77777777" w:rsidR="0097198F" w:rsidRPr="00092F8E" w:rsidRDefault="0097198F" w:rsidP="0097198F">
      <w:pPr>
        <w:pStyle w:val="FootnoteText"/>
        <w:rPr>
          <w:sz w:val="20"/>
          <w:lang w:val="fr-FR"/>
        </w:rPr>
      </w:pPr>
      <w:r>
        <w:rPr>
          <w:lang w:val="fr-FR"/>
        </w:rPr>
        <w:tab/>
      </w:r>
      <w:r w:rsidRPr="0097198F">
        <w:rPr>
          <w:sz w:val="20"/>
          <w:lang w:val="fr-FR"/>
        </w:rPr>
        <w:t>*</w:t>
      </w:r>
      <w:r w:rsidRPr="0097198F">
        <w:rPr>
          <w:sz w:val="20"/>
          <w:lang w:val="fr-FR"/>
        </w:rPr>
        <w:tab/>
      </w:r>
      <w:r>
        <w:rPr>
          <w:lang w:val="fr-FR"/>
        </w:rPr>
        <w:t>Sous-programme 2 du budget-programme pour 2020 (A/74/6 (sect. 20)) et informations complémentaires.</w:t>
      </w:r>
    </w:p>
  </w:footnote>
  <w:footnote w:id="3">
    <w:p w14:paraId="437C6068" w14:textId="77777777" w:rsidR="0097198F" w:rsidRPr="00092F8E" w:rsidRDefault="0097198F" w:rsidP="0097198F">
      <w:pPr>
        <w:pStyle w:val="FootnoteText"/>
        <w:rPr>
          <w:sz w:val="20"/>
          <w:lang w:val="fr-FR"/>
        </w:rPr>
      </w:pPr>
      <w:r>
        <w:rPr>
          <w:lang w:val="fr-FR"/>
        </w:rPr>
        <w:tab/>
      </w:r>
      <w:r w:rsidRPr="0097198F">
        <w:rPr>
          <w:sz w:val="20"/>
          <w:lang w:val="fr-FR"/>
        </w:rPr>
        <w:t>**</w:t>
      </w:r>
      <w:r w:rsidRPr="0097198F">
        <w:rPr>
          <w:sz w:val="20"/>
          <w:lang w:val="fr-FR"/>
        </w:rPr>
        <w:tab/>
      </w:r>
      <w:r>
        <w:rPr>
          <w:lang w:val="fr-FR"/>
        </w:rPr>
        <w:t>Diffusée par l’Organisation intergouvernementale pour les transports internationaux ferroviaires (OTIF) sous la cote OTIF/RID/RC/2020/63.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91F1" w14:textId="05A5D121" w:rsidR="00B81C58" w:rsidRPr="00B81C58" w:rsidRDefault="00826E10">
    <w:pPr>
      <w:pStyle w:val="Header"/>
    </w:pPr>
    <w:r>
      <w:fldChar w:fldCharType="begin"/>
    </w:r>
    <w:r>
      <w:instrText xml:space="preserve"> TITLE  \* MERGEFORMAT </w:instrText>
    </w:r>
    <w:r>
      <w:fldChar w:fldCharType="separate"/>
    </w:r>
    <w:r w:rsidR="00BE11D2">
      <w:t>ECE/TRANS/WP.15/AC.1/2020/63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BF8C" w14:textId="5B1E92E6" w:rsidR="00B81C58" w:rsidRPr="00B81C58" w:rsidRDefault="00826E10" w:rsidP="00B81C58">
    <w:pPr>
      <w:pStyle w:val="Header"/>
      <w:jc w:val="right"/>
    </w:pPr>
    <w:r>
      <w:fldChar w:fldCharType="begin"/>
    </w:r>
    <w:r>
      <w:instrText xml:space="preserve"> TITLE  \* MERGEFORMAT </w:instrText>
    </w:r>
    <w:r>
      <w:fldChar w:fldCharType="separate"/>
    </w:r>
    <w:r w:rsidR="00BE11D2">
      <w:t>ECE/TRANS/WP.15/AC.1/2020/63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7D"/>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6411"/>
    <w:rsid w:val="003916DE"/>
    <w:rsid w:val="003B146A"/>
    <w:rsid w:val="00421996"/>
    <w:rsid w:val="00441C3B"/>
    <w:rsid w:val="00446FE5"/>
    <w:rsid w:val="00452396"/>
    <w:rsid w:val="00456466"/>
    <w:rsid w:val="004837D8"/>
    <w:rsid w:val="004E2EED"/>
    <w:rsid w:val="004E468C"/>
    <w:rsid w:val="005505B7"/>
    <w:rsid w:val="00573BE5"/>
    <w:rsid w:val="00577883"/>
    <w:rsid w:val="00586ED3"/>
    <w:rsid w:val="00596AA9"/>
    <w:rsid w:val="006B0B0D"/>
    <w:rsid w:val="0071601D"/>
    <w:rsid w:val="007A62E6"/>
    <w:rsid w:val="007F20FA"/>
    <w:rsid w:val="0080684C"/>
    <w:rsid w:val="00826E10"/>
    <w:rsid w:val="00871C75"/>
    <w:rsid w:val="008776DC"/>
    <w:rsid w:val="009446C0"/>
    <w:rsid w:val="00962A7D"/>
    <w:rsid w:val="009705C8"/>
    <w:rsid w:val="0097198F"/>
    <w:rsid w:val="009C1CF4"/>
    <w:rsid w:val="009F6B74"/>
    <w:rsid w:val="00A3029F"/>
    <w:rsid w:val="00A30353"/>
    <w:rsid w:val="00AC3823"/>
    <w:rsid w:val="00AE323C"/>
    <w:rsid w:val="00AF0CB5"/>
    <w:rsid w:val="00B00181"/>
    <w:rsid w:val="00B00B0D"/>
    <w:rsid w:val="00B45F2E"/>
    <w:rsid w:val="00B765F7"/>
    <w:rsid w:val="00B81C58"/>
    <w:rsid w:val="00BA0CA9"/>
    <w:rsid w:val="00BE11D2"/>
    <w:rsid w:val="00C02897"/>
    <w:rsid w:val="00C97039"/>
    <w:rsid w:val="00D3439C"/>
    <w:rsid w:val="00D4502A"/>
    <w:rsid w:val="00DB1831"/>
    <w:rsid w:val="00DC026F"/>
    <w:rsid w:val="00DD3BFD"/>
    <w:rsid w:val="00DF6678"/>
    <w:rsid w:val="00E0299A"/>
    <w:rsid w:val="00E85C74"/>
    <w:rsid w:val="00EA6547"/>
    <w:rsid w:val="00EF2E22"/>
    <w:rsid w:val="00F30C6F"/>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FAE3E"/>
  <w15:docId w15:val="{3E4D16EF-08F8-47AF-B917-13494E1A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97198F"/>
    <w:rPr>
      <w:rFonts w:ascii="Times New Roman" w:eastAsiaTheme="minorHAnsi" w:hAnsi="Times New Roman" w:cs="Times New Roman"/>
      <w:sz w:val="20"/>
      <w:szCs w:val="20"/>
      <w:lang w:eastAsia="en-US"/>
    </w:rPr>
  </w:style>
  <w:style w:type="character" w:customStyle="1" w:styleId="H1GChar">
    <w:name w:val="_ H_1_G Char"/>
    <w:link w:val="H1G"/>
    <w:rsid w:val="0097198F"/>
    <w:rPr>
      <w:rFonts w:ascii="Times New Roman" w:eastAsiaTheme="minorHAnsi" w:hAnsi="Times New Roman" w:cs="Times New Roman"/>
      <w:b/>
      <w:sz w:val="24"/>
      <w:szCs w:val="20"/>
      <w:lang w:eastAsia="en-US"/>
    </w:rPr>
  </w:style>
  <w:style w:type="character" w:customStyle="1" w:styleId="HChGChar">
    <w:name w:val="_ H _Ch_G Char"/>
    <w:link w:val="HChG"/>
    <w:rsid w:val="0097198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ECE/TRANS/WP.15/AC.1/2020/63</vt:lpstr>
      <vt:lpstr>ECE/TRANS/WP.15/AC.1/2020/63</vt:lpstr>
    </vt:vector>
  </TitlesOfParts>
  <Company>DCM</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ECE/TRANS/WP.15/AC.1/2020/63</dc:title>
  <dc:subject/>
  <dc:creator>Corinne ROBERT</dc:creator>
  <cp:keywords/>
  <cp:lastModifiedBy>Christine Barrio-Champeau</cp:lastModifiedBy>
  <cp:revision>2</cp:revision>
  <cp:lastPrinted>2020-07-07T08:49:00Z</cp:lastPrinted>
  <dcterms:created xsi:type="dcterms:W3CDTF">2020-07-08T07:12:00Z</dcterms:created>
  <dcterms:modified xsi:type="dcterms:W3CDTF">2020-07-08T07:12:00Z</dcterms:modified>
</cp:coreProperties>
</file>