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81CB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81CB7" w:rsidP="00381CB7">
            <w:pPr>
              <w:jc w:val="right"/>
            </w:pPr>
            <w:r w:rsidRPr="00381CB7">
              <w:rPr>
                <w:sz w:val="40"/>
              </w:rPr>
              <w:t>ECE</w:t>
            </w:r>
            <w:r>
              <w:t>/TRANS/WP.15/AC.1/2020/58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81CB7" w:rsidP="00C97039">
            <w:pPr>
              <w:spacing w:before="240"/>
            </w:pPr>
            <w:proofErr w:type="spellStart"/>
            <w:r>
              <w:t>Distr</w:t>
            </w:r>
            <w:proofErr w:type="spellEnd"/>
            <w:r>
              <w:t xml:space="preserve">. </w:t>
            </w:r>
            <w:proofErr w:type="gramStart"/>
            <w:r>
              <w:t>générale</w:t>
            </w:r>
            <w:proofErr w:type="gramEnd"/>
          </w:p>
          <w:p w:rsidR="00381CB7" w:rsidRDefault="00381CB7" w:rsidP="00381CB7">
            <w:pPr>
              <w:spacing w:line="240" w:lineRule="exact"/>
            </w:pPr>
            <w:r>
              <w:t>18 juin 2020</w:t>
            </w:r>
          </w:p>
          <w:p w:rsidR="00381CB7" w:rsidRDefault="00381CB7" w:rsidP="00381CB7">
            <w:pPr>
              <w:spacing w:line="240" w:lineRule="exact"/>
            </w:pPr>
            <w:r>
              <w:t>Français</w:t>
            </w:r>
          </w:p>
          <w:p w:rsidR="00381CB7" w:rsidRPr="00DB58B5" w:rsidRDefault="00381CB7" w:rsidP="00381CB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81CB7" w:rsidRPr="009E01B8" w:rsidRDefault="00381CB7" w:rsidP="00AF0CB5">
      <w:pPr>
        <w:spacing w:before="120"/>
        <w:rPr>
          <w:b/>
          <w:sz w:val="24"/>
          <w:szCs w:val="24"/>
        </w:rPr>
      </w:pPr>
      <w:r w:rsidRPr="009E01B8">
        <w:rPr>
          <w:b/>
          <w:sz w:val="24"/>
          <w:szCs w:val="24"/>
        </w:rPr>
        <w:t>Groupe de travail des transports de marchandises dangereuses</w:t>
      </w:r>
    </w:p>
    <w:p w:rsidR="00381CB7" w:rsidRPr="00926E87" w:rsidRDefault="00381CB7"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381CB7" w:rsidRPr="0016436F" w:rsidRDefault="00381CB7" w:rsidP="00381CB7">
      <w:r w:rsidRPr="0016436F">
        <w:t>Berne, 10 et 11 septembre et Genève, 14-18 septembre 2020</w:t>
      </w:r>
    </w:p>
    <w:p w:rsidR="00381CB7" w:rsidRPr="0016436F" w:rsidRDefault="00381CB7" w:rsidP="00381CB7">
      <w:r w:rsidRPr="0016436F">
        <w:t>Point 3 de l’ordre du jour provisoire</w:t>
      </w:r>
    </w:p>
    <w:p w:rsidR="00381CB7" w:rsidRPr="0016436F" w:rsidRDefault="00381CB7" w:rsidP="00381CB7">
      <w:pPr>
        <w:rPr>
          <w:b/>
        </w:rPr>
      </w:pPr>
      <w:r w:rsidRPr="0016436F">
        <w:rPr>
          <w:b/>
        </w:rPr>
        <w:t>Normes</w:t>
      </w:r>
    </w:p>
    <w:p w:rsidR="00381CB7" w:rsidRPr="0016436F" w:rsidRDefault="00381CB7" w:rsidP="00393A06">
      <w:pPr>
        <w:pStyle w:val="HChG"/>
      </w:pPr>
      <w:r w:rsidRPr="0016436F">
        <w:tab/>
      </w:r>
      <w:r w:rsidRPr="0016436F">
        <w:tab/>
      </w:r>
      <w:r w:rsidRPr="00393A06">
        <w:t xml:space="preserve">Informations sur les travaux du Groupe de travail </w:t>
      </w:r>
      <w:r w:rsidR="00393A06">
        <w:br/>
      </w:r>
      <w:proofErr w:type="gramStart"/>
      <w:r w:rsidRPr="00393A06">
        <w:t>des</w:t>
      </w:r>
      <w:proofErr w:type="gramEnd"/>
      <w:r w:rsidRPr="00393A06">
        <w:t xml:space="preserve"> normes</w:t>
      </w:r>
    </w:p>
    <w:p w:rsidR="00381CB7" w:rsidRPr="0016436F" w:rsidRDefault="00381CB7" w:rsidP="00393A06">
      <w:pPr>
        <w:pStyle w:val="H1G"/>
        <w:rPr>
          <w:sz w:val="18"/>
          <w:szCs w:val="18"/>
        </w:rPr>
      </w:pPr>
      <w:r w:rsidRPr="0016436F">
        <w:tab/>
      </w:r>
      <w:r w:rsidRPr="0016436F">
        <w:tab/>
        <w:t>Communication du Comité européen de normalisation (CEN)</w:t>
      </w:r>
      <w:r w:rsidRPr="00393A06">
        <w:rPr>
          <w:rStyle w:val="FootnoteReference"/>
          <w:b w:val="0"/>
          <w:bCs/>
          <w:sz w:val="20"/>
          <w:vertAlign w:val="baseline"/>
        </w:rPr>
        <w:footnoteReference w:customMarkFollows="1" w:id="2"/>
        <w:t>*</w:t>
      </w:r>
      <w:r w:rsidRPr="00393A06">
        <w:rPr>
          <w:b w:val="0"/>
          <w:sz w:val="20"/>
          <w:vertAlign w:val="superscript"/>
        </w:rPr>
        <w:t xml:space="preserve">, </w:t>
      </w:r>
      <w:r w:rsidRPr="00393A06">
        <w:rPr>
          <w:rStyle w:val="FootnoteReference"/>
          <w:b w:val="0"/>
          <w:bCs/>
          <w:sz w:val="20"/>
          <w:vertAlign w:val="baseline"/>
        </w:rPr>
        <w:footnoteReference w:customMarkFollows="1" w:id="3"/>
        <w:t>**</w:t>
      </w:r>
    </w:p>
    <w:p w:rsidR="00381CB7" w:rsidRPr="0016436F" w:rsidRDefault="00381CB7" w:rsidP="00381CB7">
      <w:pPr>
        <w:pStyle w:val="HChG"/>
        <w:outlineLvl w:val="0"/>
      </w:pPr>
      <w:r w:rsidRPr="0016436F">
        <w:tab/>
      </w:r>
      <w:r w:rsidRPr="0016436F">
        <w:tab/>
        <w:t>Introduction</w:t>
      </w:r>
    </w:p>
    <w:p w:rsidR="00381CB7" w:rsidRPr="0016436F" w:rsidRDefault="00381CB7" w:rsidP="00381CB7">
      <w:pPr>
        <w:pStyle w:val="SingleTxtG"/>
        <w:numPr>
          <w:ilvl w:val="0"/>
          <w:numId w:val="17"/>
        </w:numPr>
        <w:kinsoku/>
        <w:overflowPunct/>
        <w:autoSpaceDE/>
        <w:autoSpaceDN/>
        <w:adjustRightInd/>
        <w:snapToGrid/>
        <w:ind w:left="1134" w:firstLine="0"/>
      </w:pPr>
      <w:r w:rsidRPr="0016436F">
        <w:t xml:space="preserve">Comme </w:t>
      </w:r>
      <w:proofErr w:type="gramStart"/>
      <w:r w:rsidRPr="0016436F">
        <w:t>suite à</w:t>
      </w:r>
      <w:proofErr w:type="gramEnd"/>
      <w:r w:rsidRPr="0016436F">
        <w:t xml:space="preserve"> l’accord de coopération conclu entre le Comité européen de normalisation (CEN) associé au Comité européen de normalisation électrotechnique (CENELEC) et la Réunion commune (voir document ECE/TRANS/WP.15/AC.1/</w:t>
      </w:r>
      <w:r w:rsidR="00393A06">
        <w:br/>
      </w:r>
      <w:r w:rsidRPr="0016436F">
        <w:t xml:space="preserve">122/Add.2, tel que modifié par l’annexe </w:t>
      </w:r>
      <w:r w:rsidR="00393A06">
        <w:t xml:space="preserve">III </w:t>
      </w:r>
      <w:r w:rsidRPr="0016436F">
        <w:t xml:space="preserve">du document ECE/TRANS/WP.15/AC.1/130), le Centre de gestion du CEN-CENELEC (CCMC) a proposé plusieurs normes </w:t>
      </w:r>
      <w:r>
        <w:t>qui pourraient être mentionnées dans</w:t>
      </w:r>
      <w:r w:rsidRPr="0016436F">
        <w:t xml:space="preserve"> le RID et l’ADR.</w:t>
      </w:r>
    </w:p>
    <w:p w:rsidR="00381CB7" w:rsidRPr="0016436F" w:rsidRDefault="00381CB7" w:rsidP="00393A06">
      <w:pPr>
        <w:pStyle w:val="HChG"/>
      </w:pPr>
      <w:r w:rsidRPr="0016436F">
        <w:tab/>
      </w:r>
      <w:r w:rsidRPr="0016436F">
        <w:tab/>
        <w:t>Activités du dernier semestre</w:t>
      </w:r>
    </w:p>
    <w:p w:rsidR="00381CB7" w:rsidRPr="0016436F" w:rsidRDefault="00381CB7" w:rsidP="00381CB7">
      <w:pPr>
        <w:pStyle w:val="SingleTxtG"/>
      </w:pPr>
      <w:r w:rsidRPr="0016436F">
        <w:t>2.</w:t>
      </w:r>
      <w:r w:rsidRPr="0016436F">
        <w:tab/>
        <w:t xml:space="preserve">Le CEN </w:t>
      </w:r>
      <w:r>
        <w:t>a préparé</w:t>
      </w:r>
      <w:r w:rsidRPr="0016436F">
        <w:t xml:space="preserve"> </w:t>
      </w:r>
      <w:r>
        <w:t>trois envois</w:t>
      </w:r>
      <w:r w:rsidRPr="0016436F">
        <w:t xml:space="preserve"> les 8 avril, 11 mai et 2 juin 2020 pour examen par le Groupe de travail. </w:t>
      </w:r>
      <w:r>
        <w:t>Pour ces trois envois, les normes</w:t>
      </w:r>
      <w:r w:rsidRPr="0016436F">
        <w:t xml:space="preserve"> </w:t>
      </w:r>
      <w:r>
        <w:t>ont fait l’objet d’évaluations indépendantes</w:t>
      </w:r>
      <w:r w:rsidRPr="0016436F">
        <w:t>.</w:t>
      </w:r>
    </w:p>
    <w:p w:rsidR="00381CB7" w:rsidRPr="0016436F" w:rsidRDefault="00381CB7" w:rsidP="00381CB7">
      <w:pPr>
        <w:pStyle w:val="SingleTxtG"/>
      </w:pPr>
      <w:r w:rsidRPr="0016436F">
        <w:t>3.</w:t>
      </w:r>
      <w:r w:rsidRPr="0016436F">
        <w:tab/>
        <w:t>Plusieurs organisations non gouvernementales, à savoir European Cylinder Makers Association (ECMA), l’Association européenne des gaz industriels (EIGA) et Liquid Gas Europe (LGE)</w:t>
      </w:r>
      <w:r>
        <w:t>,</w:t>
      </w:r>
      <w:r w:rsidRPr="0016436F">
        <w:t xml:space="preserve"> </w:t>
      </w:r>
      <w:r>
        <w:t>se sont mises d’</w:t>
      </w:r>
      <w:r w:rsidRPr="0016436F">
        <w:t xml:space="preserve">accord sur le partage des coûts relatifs au recrutement d’un </w:t>
      </w:r>
      <w:r>
        <w:t>C</w:t>
      </w:r>
      <w:r w:rsidRPr="0016436F">
        <w:t xml:space="preserve">onseiller </w:t>
      </w:r>
      <w:r>
        <w:t>pour les</w:t>
      </w:r>
      <w:r w:rsidRPr="0016436F">
        <w:t xml:space="preserve"> normes auprès de la Réunion commune. M. John Williams a été recruté à ce poste au bénéfice d’un contrat avec </w:t>
      </w:r>
      <w:r>
        <w:t>l</w:t>
      </w:r>
      <w:r w:rsidRPr="0016436F">
        <w:t>es parties</w:t>
      </w:r>
      <w:r>
        <w:t xml:space="preserve"> susmentionnées</w:t>
      </w:r>
      <w:r w:rsidRPr="0016436F">
        <w:t>.</w:t>
      </w:r>
    </w:p>
    <w:p w:rsidR="00381CB7" w:rsidRPr="0016436F" w:rsidRDefault="00381CB7" w:rsidP="00381CB7">
      <w:pPr>
        <w:pStyle w:val="SingleTxtG"/>
      </w:pPr>
      <w:r w:rsidRPr="0016436F">
        <w:t>4.</w:t>
      </w:r>
      <w:r w:rsidRPr="0016436F">
        <w:tab/>
        <w:t xml:space="preserve">Le </w:t>
      </w:r>
      <w:r>
        <w:t>C</w:t>
      </w:r>
      <w:r w:rsidRPr="0016436F">
        <w:t xml:space="preserve">onseiller </w:t>
      </w:r>
      <w:r>
        <w:t xml:space="preserve">pour les normes </w:t>
      </w:r>
      <w:r w:rsidRPr="0016436F">
        <w:t>sera nommé officiellement à la Réunion commune de septembre 2020.</w:t>
      </w:r>
    </w:p>
    <w:p w:rsidR="00381CB7" w:rsidRPr="0016436F" w:rsidRDefault="00381CB7" w:rsidP="00381CB7">
      <w:pPr>
        <w:pStyle w:val="SingleTxtG"/>
      </w:pPr>
      <w:r w:rsidRPr="0016436F">
        <w:lastRenderedPageBreak/>
        <w:t>5.</w:t>
      </w:r>
      <w:r w:rsidRPr="0016436F">
        <w:tab/>
        <w:t>L</w:t>
      </w:r>
      <w:r>
        <w:t>e</w:t>
      </w:r>
      <w:r w:rsidRPr="0016436F">
        <w:t xml:space="preserve"> </w:t>
      </w:r>
      <w:r>
        <w:t>P</w:t>
      </w:r>
      <w:r w:rsidRPr="0016436F">
        <w:t>résiden</w:t>
      </w:r>
      <w:r>
        <w:t>t</w:t>
      </w:r>
      <w:r w:rsidRPr="0016436F">
        <w:t xml:space="preserve"> du Groupe de travail des normes a examiné la procédure </w:t>
      </w:r>
      <w:r>
        <w:t>concernant la</w:t>
      </w:r>
      <w:r w:rsidRPr="0016436F">
        <w:t xml:space="preserve"> coopération </w:t>
      </w:r>
      <w:r>
        <w:t xml:space="preserve">entre la Réunion commune et le </w:t>
      </w:r>
      <w:r w:rsidRPr="0016436F">
        <w:t xml:space="preserve">CEN-CENELEC </w:t>
      </w:r>
      <w:r>
        <w:t xml:space="preserve">et </w:t>
      </w:r>
      <w:r w:rsidRPr="0016436F">
        <w:t>propos</w:t>
      </w:r>
      <w:r>
        <w:t>é</w:t>
      </w:r>
      <w:r w:rsidRPr="0016436F">
        <w:t xml:space="preserve"> </w:t>
      </w:r>
      <w:r>
        <w:t>une nouvelle</w:t>
      </w:r>
      <w:r w:rsidRPr="0016436F">
        <w:t xml:space="preserve"> version </w:t>
      </w:r>
      <w:r>
        <w:t>visant à mettre cette</w:t>
      </w:r>
      <w:r w:rsidRPr="0016436F">
        <w:t xml:space="preserve"> procédure</w:t>
      </w:r>
      <w:r>
        <w:t xml:space="preserve"> en accord avec le principe convenu entre le</w:t>
      </w:r>
      <w:r w:rsidRPr="0016436F">
        <w:t xml:space="preserve"> CEN </w:t>
      </w:r>
      <w:r>
        <w:t xml:space="preserve">et </w:t>
      </w:r>
      <w:r w:rsidRPr="0016436F">
        <w:t xml:space="preserve">European Cylinder Makers Association (ECMA), l’Association européenne des gaz industriels (EIGA) et Liquid Gas Europe (LGE) </w:t>
      </w:r>
      <w:r>
        <w:t>s’agissant de la nature des tâches confiées au Conseiller pour les normes</w:t>
      </w:r>
      <w:r w:rsidRPr="0016436F">
        <w:t xml:space="preserve">. </w:t>
      </w:r>
      <w:r>
        <w:t xml:space="preserve">De plus, cette proposition, </w:t>
      </w:r>
      <w:r w:rsidRPr="004169AC">
        <w:t>qui figure dans</w:t>
      </w:r>
      <w:r>
        <w:t xml:space="preserve"> le </w:t>
      </w:r>
      <w:r w:rsidRPr="0016436F">
        <w:t>document ECE/TRANS/WP.15/AC.1/2020/52</w:t>
      </w:r>
      <w:r>
        <w:t>, introduit de légères modifications de procédure</w:t>
      </w:r>
      <w:r w:rsidRPr="0016436F">
        <w:t xml:space="preserve"> </w:t>
      </w:r>
      <w:r>
        <w:t>qui permettent de se passer d’un vote formel. Elle vise aussi à transférer au Groupe de travail des normes</w:t>
      </w:r>
      <w:r w:rsidRPr="0016436F">
        <w:t xml:space="preserve"> </w:t>
      </w:r>
      <w:r>
        <w:t xml:space="preserve">la responsabilité de certaines activités relatives aux normes à caractère </w:t>
      </w:r>
      <w:r w:rsidRPr="0016436F">
        <w:t>général</w:t>
      </w:r>
      <w:r>
        <w:t>, qui incombent actuellement au consultant du</w:t>
      </w:r>
      <w:r w:rsidRPr="0016436F">
        <w:t xml:space="preserve"> CEN.</w:t>
      </w:r>
    </w:p>
    <w:p w:rsidR="00381CB7" w:rsidRPr="0016436F" w:rsidRDefault="00381CB7" w:rsidP="004169AC">
      <w:pPr>
        <w:pStyle w:val="HChG"/>
      </w:pPr>
      <w:r w:rsidRPr="0016436F">
        <w:tab/>
      </w:r>
      <w:r w:rsidRPr="0016436F">
        <w:tab/>
      </w:r>
      <w:r>
        <w:t>Nouveaux points à traiter</w:t>
      </w:r>
    </w:p>
    <w:p w:rsidR="00381CB7" w:rsidRPr="0016436F" w:rsidRDefault="00381CB7" w:rsidP="00381CB7">
      <w:pPr>
        <w:pStyle w:val="SingleTxtG"/>
      </w:pPr>
      <w:r w:rsidRPr="0016436F">
        <w:t>6.</w:t>
      </w:r>
      <w:r w:rsidRPr="0016436F">
        <w:tab/>
      </w:r>
      <w:r>
        <w:t xml:space="preserve">En ce qui concerne le </w:t>
      </w:r>
      <w:r w:rsidRPr="0016436F">
        <w:t xml:space="preserve">programme </w:t>
      </w:r>
      <w:r>
        <w:t>de travail du CEN, la Réunion commune est</w:t>
      </w:r>
      <w:r w:rsidRPr="0016436F">
        <w:t xml:space="preserve"> invit</w:t>
      </w:r>
      <w:r>
        <w:t>ée</w:t>
      </w:r>
      <w:r w:rsidRPr="0016436F">
        <w:t xml:space="preserve"> </w:t>
      </w:r>
      <w:r>
        <w:t xml:space="preserve">à </w:t>
      </w:r>
      <w:r w:rsidRPr="0016436F">
        <w:t>note</w:t>
      </w:r>
      <w:r>
        <w:t>r</w:t>
      </w:r>
      <w:r w:rsidRPr="0016436F">
        <w:t xml:space="preserve"> </w:t>
      </w:r>
      <w:r>
        <w:t xml:space="preserve">que les nouveaux points énumérés ci-après, qui portent sur le </w:t>
      </w:r>
      <w:r w:rsidRPr="0016436F">
        <w:t xml:space="preserve">transport </w:t>
      </w:r>
      <w:r>
        <w:t>des marchandises dangereuses,</w:t>
      </w:r>
      <w:r w:rsidRPr="0016436F">
        <w:t xml:space="preserve"> </w:t>
      </w:r>
      <w:r>
        <w:t xml:space="preserve">ont été ajoutés au </w:t>
      </w:r>
      <w:r w:rsidRPr="0016436F">
        <w:t xml:space="preserve">programme </w:t>
      </w:r>
      <w:r>
        <w:t>des comités techniques </w:t>
      </w:r>
      <w:r w:rsidRPr="0016436F">
        <w:t xml:space="preserve">23, 268, 286 </w:t>
      </w:r>
      <w:r>
        <w:t xml:space="preserve">et </w:t>
      </w:r>
      <w:r w:rsidRPr="0016436F">
        <w:t>296</w:t>
      </w:r>
      <w:r>
        <w:t xml:space="preserve"> du CEN</w:t>
      </w:r>
      <w:r w:rsidRPr="0016436F">
        <w:t>.</w:t>
      </w:r>
    </w:p>
    <w:p w:rsidR="00381CB7" w:rsidRPr="0016436F" w:rsidRDefault="00381CB7" w:rsidP="00381CB7">
      <w:pPr>
        <w:pStyle w:val="SingleTxtG"/>
      </w:pPr>
      <w:r w:rsidRPr="0016436F">
        <w:t>7.</w:t>
      </w:r>
      <w:r w:rsidRPr="0016436F">
        <w:tab/>
      </w:r>
      <w:r>
        <w:t xml:space="preserve">Les </w:t>
      </w:r>
      <w:r w:rsidRPr="0016436F">
        <w:t xml:space="preserve">membres </w:t>
      </w:r>
      <w:r>
        <w:t xml:space="preserve">de la Réunion commune sont </w:t>
      </w:r>
      <w:r w:rsidRPr="0016436F">
        <w:t>invit</w:t>
      </w:r>
      <w:r>
        <w:t>és à prier leurs</w:t>
      </w:r>
      <w:r w:rsidRPr="0016436F">
        <w:t xml:space="preserve"> experts </w:t>
      </w:r>
      <w:r>
        <w:t>de participer, par l’intermédiaire de leurs organismes nationaux de normalisation, aux processus d’élaboration et de révision de ces points à traiter</w:t>
      </w:r>
      <w:r w:rsidRPr="0016436F">
        <w:t>.</w:t>
      </w:r>
    </w:p>
    <w:p w:rsidR="00381CB7" w:rsidRPr="0016436F" w:rsidRDefault="00381CB7" w:rsidP="004169AC">
      <w:pPr>
        <w:pStyle w:val="H23G"/>
      </w:pPr>
      <w:r w:rsidRPr="0016436F">
        <w:tab/>
      </w:r>
      <w:r w:rsidRPr="0016436F">
        <w:tab/>
        <w:t>Table</w:t>
      </w:r>
      <w:r>
        <w:t>au des nouveaux points à traiter par le</w:t>
      </w:r>
      <w:r w:rsidRPr="0016436F">
        <w:t xml:space="preserve"> CEN </w:t>
      </w:r>
      <w:r>
        <w:t>concernant les prescriptions du</w:t>
      </w:r>
      <w:r w:rsidRPr="0016436F">
        <w:t xml:space="preserve"> RID</w:t>
      </w:r>
      <w:r>
        <w:t>, de l</w:t>
      </w:r>
      <w:r w:rsidRPr="00525D42">
        <w:t>’</w:t>
      </w:r>
      <w:r w:rsidRPr="0016436F">
        <w:t>ADR</w:t>
      </w:r>
      <w:r>
        <w:t xml:space="preserve"> et de l</w:t>
      </w:r>
      <w:r w:rsidRPr="00ED6A18">
        <w:t>’</w:t>
      </w:r>
      <w:r w:rsidRPr="0016436F">
        <w:t xml:space="preserve">ADN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7"/>
        <w:gridCol w:w="1057"/>
        <w:gridCol w:w="1626"/>
        <w:gridCol w:w="4105"/>
      </w:tblGrid>
      <w:tr w:rsidR="00381CB7" w:rsidRPr="0016436F" w:rsidTr="007B40FC">
        <w:tc>
          <w:tcPr>
            <w:tcW w:w="1717" w:type="dxa"/>
            <w:shd w:val="clear" w:color="auto" w:fill="F2F2F2"/>
            <w:vAlign w:val="center"/>
          </w:tcPr>
          <w:p w:rsidR="00381CB7" w:rsidRPr="0016436F" w:rsidRDefault="00381CB7" w:rsidP="004750F7">
            <w:pPr>
              <w:keepNext/>
              <w:spacing w:before="80" w:after="80" w:line="200" w:lineRule="exact"/>
              <w:jc w:val="center"/>
              <w:rPr>
                <w:b/>
                <w:sz w:val="18"/>
                <w:szCs w:val="18"/>
              </w:rPr>
            </w:pPr>
            <w:r>
              <w:rPr>
                <w:b/>
                <w:iCs/>
                <w:sz w:val="18"/>
                <w:szCs w:val="18"/>
              </w:rPr>
              <w:t>Organisme de normalisation compétent</w:t>
            </w:r>
          </w:p>
        </w:tc>
        <w:tc>
          <w:tcPr>
            <w:tcW w:w="1057" w:type="dxa"/>
            <w:shd w:val="clear" w:color="auto" w:fill="F2F2F2"/>
            <w:vAlign w:val="center"/>
          </w:tcPr>
          <w:p w:rsidR="00381CB7" w:rsidRPr="0016436F" w:rsidRDefault="00381CB7" w:rsidP="004750F7">
            <w:pPr>
              <w:keepNext/>
              <w:spacing w:before="80" w:after="80" w:line="200" w:lineRule="exact"/>
              <w:jc w:val="center"/>
              <w:rPr>
                <w:b/>
                <w:iCs/>
                <w:sz w:val="18"/>
                <w:szCs w:val="18"/>
              </w:rPr>
            </w:pPr>
            <w:r>
              <w:rPr>
                <w:b/>
                <w:iCs/>
                <w:sz w:val="18"/>
                <w:szCs w:val="18"/>
              </w:rPr>
              <w:t>N</w:t>
            </w:r>
            <w:r w:rsidRPr="00A77E29">
              <w:rPr>
                <w:b/>
                <w:iCs/>
                <w:sz w:val="18"/>
                <w:szCs w:val="18"/>
                <w:vertAlign w:val="superscript"/>
              </w:rPr>
              <w:t>o</w:t>
            </w:r>
            <w:r>
              <w:rPr>
                <w:b/>
                <w:iCs/>
                <w:sz w:val="18"/>
                <w:szCs w:val="18"/>
              </w:rPr>
              <w:t xml:space="preserve"> du point </w:t>
            </w:r>
            <w:r w:rsidR="004750F7">
              <w:rPr>
                <w:b/>
                <w:iCs/>
                <w:sz w:val="18"/>
                <w:szCs w:val="18"/>
              </w:rPr>
              <w:br/>
            </w:r>
            <w:r>
              <w:rPr>
                <w:b/>
                <w:iCs/>
                <w:sz w:val="18"/>
                <w:szCs w:val="18"/>
              </w:rPr>
              <w:t>à traiter</w:t>
            </w:r>
          </w:p>
        </w:tc>
        <w:tc>
          <w:tcPr>
            <w:tcW w:w="1626" w:type="dxa"/>
            <w:shd w:val="clear" w:color="auto" w:fill="F2F2F2"/>
            <w:vAlign w:val="center"/>
          </w:tcPr>
          <w:p w:rsidR="00381CB7" w:rsidRPr="0016436F" w:rsidRDefault="00381CB7" w:rsidP="004750F7">
            <w:pPr>
              <w:keepNext/>
              <w:spacing w:before="80" w:after="80" w:line="200" w:lineRule="exact"/>
              <w:jc w:val="center"/>
              <w:rPr>
                <w:b/>
                <w:iCs/>
                <w:sz w:val="18"/>
                <w:szCs w:val="18"/>
              </w:rPr>
            </w:pPr>
            <w:r w:rsidRPr="0016436F">
              <w:rPr>
                <w:b/>
                <w:iCs/>
                <w:sz w:val="18"/>
                <w:szCs w:val="18"/>
              </w:rPr>
              <w:t>R</w:t>
            </w:r>
            <w:r>
              <w:rPr>
                <w:b/>
                <w:iCs/>
                <w:sz w:val="18"/>
                <w:szCs w:val="18"/>
              </w:rPr>
              <w:t>é</w:t>
            </w:r>
            <w:r w:rsidRPr="0016436F">
              <w:rPr>
                <w:b/>
                <w:iCs/>
                <w:sz w:val="18"/>
                <w:szCs w:val="18"/>
              </w:rPr>
              <w:t>f</w:t>
            </w:r>
            <w:r>
              <w:rPr>
                <w:b/>
                <w:iCs/>
                <w:sz w:val="18"/>
                <w:szCs w:val="18"/>
              </w:rPr>
              <w:t>é</w:t>
            </w:r>
            <w:r w:rsidRPr="0016436F">
              <w:rPr>
                <w:b/>
                <w:iCs/>
                <w:sz w:val="18"/>
                <w:szCs w:val="18"/>
              </w:rPr>
              <w:t>rence</w:t>
            </w:r>
          </w:p>
        </w:tc>
        <w:tc>
          <w:tcPr>
            <w:tcW w:w="4105" w:type="dxa"/>
            <w:shd w:val="clear" w:color="auto" w:fill="F2F2F2"/>
            <w:vAlign w:val="center"/>
          </w:tcPr>
          <w:p w:rsidR="00381CB7" w:rsidRPr="0016436F" w:rsidRDefault="00381CB7" w:rsidP="004750F7">
            <w:pPr>
              <w:keepNext/>
              <w:spacing w:before="80" w:after="80" w:line="200" w:lineRule="exact"/>
              <w:jc w:val="center"/>
              <w:rPr>
                <w:b/>
                <w:iCs/>
                <w:sz w:val="18"/>
                <w:szCs w:val="18"/>
              </w:rPr>
            </w:pPr>
            <w:r w:rsidRPr="0016436F">
              <w:rPr>
                <w:b/>
                <w:iCs/>
                <w:sz w:val="18"/>
                <w:szCs w:val="18"/>
              </w:rPr>
              <w:t>Tit</w:t>
            </w:r>
            <w:r>
              <w:rPr>
                <w:b/>
                <w:iCs/>
                <w:sz w:val="18"/>
                <w:szCs w:val="18"/>
              </w:rPr>
              <w:t>r</w:t>
            </w:r>
            <w:r w:rsidRPr="0016436F">
              <w:rPr>
                <w:b/>
                <w:iCs/>
                <w:sz w:val="18"/>
                <w:szCs w:val="18"/>
              </w:rPr>
              <w:t>e</w:t>
            </w:r>
          </w:p>
        </w:tc>
      </w:tr>
      <w:tr w:rsidR="00381CB7" w:rsidRPr="009E7975" w:rsidTr="007B40FC">
        <w:trPr>
          <w:trHeight w:val="420"/>
        </w:trPr>
        <w:tc>
          <w:tcPr>
            <w:tcW w:w="1717" w:type="dxa"/>
            <w:shd w:val="clear" w:color="auto" w:fill="auto"/>
          </w:tcPr>
          <w:p w:rsidR="00381CB7" w:rsidRPr="0016436F" w:rsidRDefault="00381CB7" w:rsidP="004750F7">
            <w:pPr>
              <w:spacing w:after="120"/>
              <w:ind w:left="57" w:right="57"/>
            </w:pPr>
            <w:r w:rsidRPr="0016436F">
              <w:t>CEN/</w:t>
            </w:r>
            <w:r>
              <w:t>Comité technique</w:t>
            </w:r>
            <w:r w:rsidRPr="0016436F">
              <w:t xml:space="preserve"> 286</w:t>
            </w:r>
          </w:p>
        </w:tc>
        <w:tc>
          <w:tcPr>
            <w:tcW w:w="1057" w:type="dxa"/>
            <w:shd w:val="clear" w:color="auto" w:fill="auto"/>
          </w:tcPr>
          <w:p w:rsidR="00381CB7" w:rsidRPr="0016436F" w:rsidRDefault="00381CB7" w:rsidP="004750F7">
            <w:pPr>
              <w:spacing w:after="120"/>
              <w:ind w:left="57" w:right="57"/>
            </w:pPr>
            <w:r w:rsidRPr="0016436F">
              <w:t>00286198</w:t>
            </w:r>
          </w:p>
        </w:tc>
        <w:tc>
          <w:tcPr>
            <w:tcW w:w="1626" w:type="dxa"/>
            <w:shd w:val="clear" w:color="auto" w:fill="auto"/>
          </w:tcPr>
          <w:p w:rsidR="00381CB7" w:rsidRPr="0016436F" w:rsidRDefault="00381CB7" w:rsidP="004750F7">
            <w:pPr>
              <w:spacing w:after="120"/>
              <w:ind w:left="57" w:right="57"/>
            </w:pPr>
            <w:proofErr w:type="gramStart"/>
            <w:r w:rsidRPr="0016436F">
              <w:t>prEN</w:t>
            </w:r>
            <w:proofErr w:type="gramEnd"/>
            <w:r w:rsidRPr="0016436F">
              <w:t xml:space="preserve"> 14427 rev</w:t>
            </w:r>
          </w:p>
        </w:tc>
        <w:tc>
          <w:tcPr>
            <w:tcW w:w="4105" w:type="dxa"/>
            <w:shd w:val="clear" w:color="auto" w:fill="auto"/>
          </w:tcPr>
          <w:p w:rsidR="00381CB7" w:rsidRPr="007B40FC" w:rsidRDefault="00381CB7" w:rsidP="004750F7">
            <w:pPr>
              <w:spacing w:after="120"/>
              <w:ind w:left="57" w:right="57"/>
              <w:rPr>
                <w:spacing w:val="-2"/>
                <w:lang w:val="en-US"/>
              </w:rPr>
            </w:pPr>
            <w:r w:rsidRPr="007B40FC">
              <w:rPr>
                <w:spacing w:val="-2"/>
                <w:lang w:val="en-US"/>
              </w:rPr>
              <w:t>LPG equipment and accessories - Transportable refillable fully wrapped composite cylinders for LPG - Design and construction</w:t>
            </w:r>
          </w:p>
        </w:tc>
      </w:tr>
      <w:tr w:rsidR="00381CB7" w:rsidRPr="009E7975" w:rsidTr="007B40FC">
        <w:trPr>
          <w:trHeight w:val="420"/>
        </w:trPr>
        <w:tc>
          <w:tcPr>
            <w:tcW w:w="1717" w:type="dxa"/>
            <w:shd w:val="clear" w:color="auto" w:fill="auto"/>
          </w:tcPr>
          <w:p w:rsidR="00381CB7" w:rsidRPr="0016436F" w:rsidRDefault="00381CB7" w:rsidP="004750F7">
            <w:pPr>
              <w:spacing w:after="120"/>
              <w:ind w:left="57" w:right="57"/>
            </w:pPr>
            <w:r w:rsidRPr="0016436F">
              <w:t>CEN/</w:t>
            </w:r>
            <w:r>
              <w:t>Comité technique</w:t>
            </w:r>
            <w:r w:rsidRPr="0016436F">
              <w:t xml:space="preserve"> 286</w:t>
            </w:r>
          </w:p>
        </w:tc>
        <w:tc>
          <w:tcPr>
            <w:tcW w:w="1057" w:type="dxa"/>
            <w:shd w:val="clear" w:color="auto" w:fill="auto"/>
          </w:tcPr>
          <w:p w:rsidR="00381CB7" w:rsidRPr="0016436F" w:rsidRDefault="00381CB7" w:rsidP="004750F7">
            <w:pPr>
              <w:spacing w:after="120"/>
              <w:ind w:left="57" w:right="57"/>
            </w:pPr>
            <w:r w:rsidRPr="0016436F">
              <w:t>00286209</w:t>
            </w:r>
          </w:p>
        </w:tc>
        <w:tc>
          <w:tcPr>
            <w:tcW w:w="1626" w:type="dxa"/>
            <w:shd w:val="clear" w:color="auto" w:fill="auto"/>
          </w:tcPr>
          <w:p w:rsidR="00381CB7" w:rsidRPr="0016436F" w:rsidRDefault="00381CB7" w:rsidP="004750F7">
            <w:pPr>
              <w:spacing w:after="120"/>
              <w:ind w:left="57" w:right="57"/>
            </w:pPr>
            <w:proofErr w:type="gramStart"/>
            <w:r w:rsidRPr="0016436F">
              <w:t>prEN</w:t>
            </w:r>
            <w:proofErr w:type="gramEnd"/>
            <w:r w:rsidRPr="0016436F">
              <w:t xml:space="preserve"> 14071 rev</w:t>
            </w:r>
          </w:p>
        </w:tc>
        <w:tc>
          <w:tcPr>
            <w:tcW w:w="4105" w:type="dxa"/>
            <w:shd w:val="clear" w:color="auto" w:fill="auto"/>
          </w:tcPr>
          <w:p w:rsidR="00381CB7" w:rsidRPr="0059255F" w:rsidRDefault="00381CB7" w:rsidP="004750F7">
            <w:pPr>
              <w:spacing w:after="120"/>
              <w:ind w:left="57" w:right="57"/>
              <w:rPr>
                <w:lang w:val="en-US"/>
              </w:rPr>
            </w:pPr>
            <w:r w:rsidRPr="0059255F">
              <w:rPr>
                <w:lang w:val="en-US"/>
              </w:rPr>
              <w:t>LPG equipment and accessories - Pressure relief valves for LPG pressure vessels - Ancillary equipment</w:t>
            </w:r>
          </w:p>
        </w:tc>
      </w:tr>
      <w:tr w:rsidR="00381CB7" w:rsidRPr="009E7975" w:rsidTr="007B40FC">
        <w:trPr>
          <w:trHeight w:val="420"/>
        </w:trPr>
        <w:tc>
          <w:tcPr>
            <w:tcW w:w="1717" w:type="dxa"/>
            <w:shd w:val="clear" w:color="auto" w:fill="auto"/>
          </w:tcPr>
          <w:p w:rsidR="00381CB7" w:rsidRPr="0016436F" w:rsidRDefault="00381CB7" w:rsidP="004750F7">
            <w:pPr>
              <w:spacing w:after="120"/>
              <w:ind w:left="57" w:right="57"/>
            </w:pPr>
            <w:r w:rsidRPr="0016436F">
              <w:t>CEN/</w:t>
            </w:r>
            <w:r>
              <w:t>Comité technique</w:t>
            </w:r>
            <w:r w:rsidRPr="0016436F">
              <w:t xml:space="preserve"> 286</w:t>
            </w:r>
          </w:p>
        </w:tc>
        <w:tc>
          <w:tcPr>
            <w:tcW w:w="1057" w:type="dxa"/>
            <w:shd w:val="clear" w:color="auto" w:fill="auto"/>
          </w:tcPr>
          <w:p w:rsidR="00381CB7" w:rsidRPr="0016436F" w:rsidRDefault="00381CB7" w:rsidP="004750F7">
            <w:pPr>
              <w:spacing w:after="120"/>
              <w:ind w:left="57" w:right="57"/>
            </w:pPr>
            <w:r w:rsidRPr="0016436F">
              <w:t>00286210</w:t>
            </w:r>
          </w:p>
        </w:tc>
        <w:tc>
          <w:tcPr>
            <w:tcW w:w="1626" w:type="dxa"/>
            <w:shd w:val="clear" w:color="auto" w:fill="auto"/>
          </w:tcPr>
          <w:p w:rsidR="00381CB7" w:rsidRPr="0016436F" w:rsidRDefault="00381CB7" w:rsidP="004750F7">
            <w:pPr>
              <w:spacing w:after="120"/>
              <w:ind w:left="57" w:right="57"/>
            </w:pPr>
            <w:proofErr w:type="gramStart"/>
            <w:r w:rsidRPr="0016436F">
              <w:t>prEN</w:t>
            </w:r>
            <w:proofErr w:type="gramEnd"/>
            <w:r w:rsidRPr="0016436F">
              <w:t xml:space="preserve"> 14129 rev</w:t>
            </w:r>
          </w:p>
        </w:tc>
        <w:tc>
          <w:tcPr>
            <w:tcW w:w="4105" w:type="dxa"/>
            <w:shd w:val="clear" w:color="auto" w:fill="auto"/>
          </w:tcPr>
          <w:p w:rsidR="00381CB7" w:rsidRPr="0059255F" w:rsidRDefault="00381CB7" w:rsidP="004750F7">
            <w:pPr>
              <w:spacing w:after="120"/>
              <w:ind w:left="57" w:right="57"/>
              <w:rPr>
                <w:lang w:val="en-US"/>
              </w:rPr>
            </w:pPr>
            <w:r w:rsidRPr="0059255F">
              <w:rPr>
                <w:lang w:val="en-US"/>
              </w:rPr>
              <w:t>LPG Equipment and accessories - Pressure relief valves for LPG pressure vessels</w:t>
            </w:r>
          </w:p>
        </w:tc>
      </w:tr>
      <w:tr w:rsidR="00381CB7" w:rsidRPr="009E7975" w:rsidTr="007B40FC">
        <w:trPr>
          <w:trHeight w:val="420"/>
        </w:trPr>
        <w:tc>
          <w:tcPr>
            <w:tcW w:w="1717" w:type="dxa"/>
            <w:shd w:val="clear" w:color="auto" w:fill="auto"/>
          </w:tcPr>
          <w:p w:rsidR="00381CB7" w:rsidRPr="0016436F" w:rsidRDefault="00381CB7" w:rsidP="004750F7">
            <w:pPr>
              <w:spacing w:after="120"/>
              <w:ind w:left="57" w:right="57"/>
            </w:pPr>
            <w:r w:rsidRPr="0016436F">
              <w:t>CEN/</w:t>
            </w:r>
            <w:r>
              <w:t>Comité technique</w:t>
            </w:r>
            <w:r w:rsidRPr="0016436F">
              <w:t xml:space="preserve"> 286</w:t>
            </w:r>
          </w:p>
        </w:tc>
        <w:tc>
          <w:tcPr>
            <w:tcW w:w="1057" w:type="dxa"/>
            <w:shd w:val="clear" w:color="auto" w:fill="auto"/>
          </w:tcPr>
          <w:p w:rsidR="00381CB7" w:rsidRPr="0016436F" w:rsidRDefault="00381CB7" w:rsidP="004750F7">
            <w:pPr>
              <w:spacing w:after="120"/>
              <w:ind w:left="57" w:right="57"/>
            </w:pPr>
            <w:r w:rsidRPr="0016436F">
              <w:t>00286211</w:t>
            </w:r>
          </w:p>
        </w:tc>
        <w:tc>
          <w:tcPr>
            <w:tcW w:w="1626" w:type="dxa"/>
            <w:shd w:val="clear" w:color="auto" w:fill="auto"/>
          </w:tcPr>
          <w:p w:rsidR="00381CB7" w:rsidRPr="0016436F" w:rsidRDefault="00381CB7" w:rsidP="004750F7">
            <w:pPr>
              <w:spacing w:after="120"/>
              <w:ind w:left="57" w:right="57"/>
            </w:pPr>
            <w:proofErr w:type="gramStart"/>
            <w:r w:rsidRPr="0016436F">
              <w:t>prEN</w:t>
            </w:r>
            <w:proofErr w:type="gramEnd"/>
            <w:r w:rsidRPr="0016436F">
              <w:t xml:space="preserve"> 14912 rev</w:t>
            </w:r>
          </w:p>
        </w:tc>
        <w:tc>
          <w:tcPr>
            <w:tcW w:w="4105" w:type="dxa"/>
            <w:shd w:val="clear" w:color="auto" w:fill="auto"/>
          </w:tcPr>
          <w:p w:rsidR="00381CB7" w:rsidRPr="0059255F" w:rsidRDefault="00381CB7" w:rsidP="004750F7">
            <w:pPr>
              <w:spacing w:after="120"/>
              <w:ind w:left="57" w:right="57"/>
              <w:rPr>
                <w:lang w:val="en-US"/>
              </w:rPr>
            </w:pPr>
            <w:r w:rsidRPr="0059255F">
              <w:rPr>
                <w:lang w:val="en-US"/>
              </w:rPr>
              <w:t>LPG equipment and accessories - Inspection and maintenance of LPG cylinder valves at time of periodic inspection of cylinders</w:t>
            </w:r>
          </w:p>
        </w:tc>
      </w:tr>
    </w:tbl>
    <w:p w:rsidR="00381CB7" w:rsidRPr="0016436F" w:rsidRDefault="00381CB7" w:rsidP="007B40FC">
      <w:pPr>
        <w:pStyle w:val="HChG"/>
      </w:pPr>
      <w:r w:rsidRPr="0059255F">
        <w:rPr>
          <w:lang w:val="en-US"/>
        </w:rPr>
        <w:tab/>
      </w:r>
      <w:r w:rsidRPr="0059255F">
        <w:rPr>
          <w:lang w:val="en-US"/>
        </w:rPr>
        <w:tab/>
      </w:r>
      <w:r>
        <w:t>Nouveaux renvois à des normes et renvois modifiés</w:t>
      </w:r>
    </w:p>
    <w:p w:rsidR="00381CB7" w:rsidRPr="0016436F" w:rsidRDefault="00381CB7" w:rsidP="00381CB7">
      <w:pPr>
        <w:pStyle w:val="SingleTxtG"/>
        <w:rPr>
          <w:snapToGrid w:val="0"/>
        </w:rPr>
      </w:pPr>
      <w:r w:rsidRPr="0016436F">
        <w:rPr>
          <w:snapToGrid w:val="0"/>
        </w:rPr>
        <w:t>8.</w:t>
      </w:r>
      <w:r w:rsidRPr="0016436F">
        <w:rPr>
          <w:snapToGrid w:val="0"/>
        </w:rPr>
        <w:tab/>
      </w:r>
      <w:r>
        <w:rPr>
          <w:snapToGrid w:val="0"/>
        </w:rPr>
        <w:t>Depuis que la Réunion commune de mars 2020</w:t>
      </w:r>
      <w:r w:rsidRPr="0016436F">
        <w:rPr>
          <w:snapToGrid w:val="0"/>
        </w:rPr>
        <w:t xml:space="preserve"> </w:t>
      </w:r>
      <w:r>
        <w:rPr>
          <w:snapToGrid w:val="0"/>
        </w:rPr>
        <w:t>a été reportée</w:t>
      </w:r>
      <w:r w:rsidRPr="0016436F">
        <w:rPr>
          <w:snapToGrid w:val="0"/>
        </w:rPr>
        <w:t xml:space="preserve">, </w:t>
      </w:r>
      <w:r>
        <w:rPr>
          <w:snapToGrid w:val="0"/>
        </w:rPr>
        <w:t>de nouveaux projets de normes, dont la liste figure dans l’annexe du présent document, ont atteint les stades de l’enquête</w:t>
      </w:r>
      <w:r w:rsidRPr="0016436F">
        <w:rPr>
          <w:snapToGrid w:val="0"/>
        </w:rPr>
        <w:t xml:space="preserve">, </w:t>
      </w:r>
      <w:r>
        <w:rPr>
          <w:snapToGrid w:val="0"/>
        </w:rPr>
        <w:t xml:space="preserve">du </w:t>
      </w:r>
      <w:r w:rsidRPr="0016436F">
        <w:rPr>
          <w:snapToGrid w:val="0"/>
        </w:rPr>
        <w:t xml:space="preserve">vote </w:t>
      </w:r>
      <w:r>
        <w:rPr>
          <w:snapToGrid w:val="0"/>
        </w:rPr>
        <w:t xml:space="preserve">formel ou de la </w:t>
      </w:r>
      <w:r w:rsidRPr="0016436F">
        <w:rPr>
          <w:snapToGrid w:val="0"/>
        </w:rPr>
        <w:t>publication</w:t>
      </w:r>
      <w:r>
        <w:rPr>
          <w:snapToGrid w:val="0"/>
        </w:rPr>
        <w:t>.</w:t>
      </w:r>
    </w:p>
    <w:p w:rsidR="00F9573C" w:rsidRDefault="00381CB7" w:rsidP="00381CB7">
      <w:pPr>
        <w:pStyle w:val="SingleTxtG"/>
        <w:rPr>
          <w:snapToGrid w:val="0"/>
          <w:lang w:val="fr-FR"/>
        </w:rPr>
      </w:pPr>
      <w:r w:rsidRPr="0016436F">
        <w:rPr>
          <w:snapToGrid w:val="0"/>
        </w:rPr>
        <w:t>9.</w:t>
      </w:r>
      <w:r w:rsidRPr="0016436F">
        <w:rPr>
          <w:snapToGrid w:val="0"/>
        </w:rPr>
        <w:tab/>
      </w:r>
      <w:r>
        <w:rPr>
          <w:snapToGrid w:val="0"/>
        </w:rPr>
        <w:t>Les m</w:t>
      </w:r>
      <w:r w:rsidRPr="0016436F">
        <w:rPr>
          <w:snapToGrid w:val="0"/>
        </w:rPr>
        <w:t xml:space="preserve">embres </w:t>
      </w:r>
      <w:r>
        <w:rPr>
          <w:snapToGrid w:val="0"/>
        </w:rPr>
        <w:t xml:space="preserve">de la Réunion commune ont déjà été invités à communiquer leurs observations concernant les </w:t>
      </w:r>
      <w:r w:rsidRPr="0016436F">
        <w:rPr>
          <w:snapToGrid w:val="0"/>
        </w:rPr>
        <w:t xml:space="preserve">documents </w:t>
      </w:r>
      <w:r>
        <w:rPr>
          <w:snapToGrid w:val="0"/>
        </w:rPr>
        <w:t>énumérés dans les envois </w:t>
      </w:r>
      <w:r w:rsidRPr="0016436F">
        <w:rPr>
          <w:snapToGrid w:val="0"/>
        </w:rPr>
        <w:t xml:space="preserve">1, 2 </w:t>
      </w:r>
      <w:r>
        <w:rPr>
          <w:snapToGrid w:val="0"/>
        </w:rPr>
        <w:t xml:space="preserve">et </w:t>
      </w:r>
      <w:r w:rsidRPr="0016436F">
        <w:rPr>
          <w:snapToGrid w:val="0"/>
        </w:rPr>
        <w:t xml:space="preserve">3. </w:t>
      </w:r>
      <w:r>
        <w:rPr>
          <w:snapToGrid w:val="0"/>
        </w:rPr>
        <w:t xml:space="preserve">Ils avaient </w:t>
      </w:r>
      <w:r w:rsidRPr="00882A22">
        <w:rPr>
          <w:b/>
          <w:bCs/>
          <w:snapToGrid w:val="0"/>
        </w:rPr>
        <w:t>jusqu’au 12 juin 2020</w:t>
      </w:r>
      <w:r>
        <w:rPr>
          <w:snapToGrid w:val="0"/>
        </w:rPr>
        <w:t xml:space="preserve"> pour transmettre au CCMC de telles observations </w:t>
      </w:r>
      <w:r w:rsidRPr="0016436F">
        <w:rPr>
          <w:snapToGrid w:val="0"/>
        </w:rPr>
        <w:t>(</w:t>
      </w:r>
      <w:hyperlink r:id="rId8" w:history="1">
        <w:r w:rsidRPr="0016436F">
          <w:rPr>
            <w:rStyle w:val="Hyperlink"/>
            <w:snapToGrid w:val="0"/>
          </w:rPr>
          <w:t>macarreira@cencenelec.eu</w:t>
        </w:r>
      </w:hyperlink>
      <w:r w:rsidRPr="0016436F">
        <w:rPr>
          <w:snapToGrid w:val="0"/>
        </w:rPr>
        <w:t>)</w:t>
      </w:r>
      <w:r>
        <w:rPr>
          <w:snapToGrid w:val="0"/>
        </w:rPr>
        <w:t xml:space="preserve"> bien qu’on s’attende à recevoir la plupart d’entre elles</w:t>
      </w:r>
      <w:r w:rsidRPr="0016436F">
        <w:rPr>
          <w:snapToGrid w:val="0"/>
        </w:rPr>
        <w:t xml:space="preserve"> </w:t>
      </w:r>
      <w:r>
        <w:rPr>
          <w:snapToGrid w:val="0"/>
        </w:rPr>
        <w:t>lorsque la tenue des téléconférences serait plus imminente</w:t>
      </w:r>
      <w:r w:rsidRPr="0016436F">
        <w:rPr>
          <w:snapToGrid w:val="0"/>
        </w:rPr>
        <w:t>. I</w:t>
      </w:r>
      <w:r>
        <w:rPr>
          <w:snapToGrid w:val="0"/>
        </w:rPr>
        <w:t>l est prévu d’organiser, fin août 2020, des téléconférences afin de passer en revue les observations reçues</w:t>
      </w:r>
      <w:r w:rsidRPr="0016436F">
        <w:rPr>
          <w:snapToGrid w:val="0"/>
        </w:rPr>
        <w:t xml:space="preserve"> (</w:t>
      </w:r>
      <w:r>
        <w:rPr>
          <w:snapToGrid w:val="0"/>
        </w:rPr>
        <w:t>le calendrier exact reste à définir en concertation avec le Groupe de travail des normes de la Réunion commune</w:t>
      </w:r>
      <w:r w:rsidRPr="0016436F">
        <w:rPr>
          <w:snapToGrid w:val="0"/>
        </w:rPr>
        <w:t xml:space="preserve">). </w:t>
      </w:r>
      <w:r>
        <w:rPr>
          <w:snapToGrid w:val="0"/>
        </w:rPr>
        <w:t xml:space="preserve">Toutes les observations communiquées seront regroupées dans un </w:t>
      </w:r>
      <w:r w:rsidRPr="0016436F">
        <w:rPr>
          <w:snapToGrid w:val="0"/>
        </w:rPr>
        <w:t xml:space="preserve">document </w:t>
      </w:r>
      <w:r>
        <w:rPr>
          <w:snapToGrid w:val="0"/>
        </w:rPr>
        <w:t>distinct puis transmises sous cette forme à la Réunion commune</w:t>
      </w:r>
      <w:r w:rsidRPr="0059255F">
        <w:rPr>
          <w:snapToGrid w:val="0"/>
          <w:lang w:val="fr-FR"/>
        </w:rPr>
        <w:t>.</w:t>
      </w:r>
    </w:p>
    <w:p w:rsidR="00393A06" w:rsidRDefault="00393A06" w:rsidP="00381CB7">
      <w:pPr>
        <w:pStyle w:val="SingleTxtG"/>
        <w:sectPr w:rsidR="00393A06" w:rsidSect="00381C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393A06" w:rsidRPr="00393A06" w:rsidRDefault="00393A06" w:rsidP="00393A06">
      <w:pPr>
        <w:pStyle w:val="HChG"/>
        <w:rPr>
          <w:lang w:val="en-US"/>
        </w:rPr>
      </w:pPr>
      <w:r w:rsidRPr="00393A06">
        <w:rPr>
          <w:lang w:val="en-US"/>
        </w:rPr>
        <w:lastRenderedPageBreak/>
        <w:t>Annex</w:t>
      </w:r>
      <w:r>
        <w:rPr>
          <w:lang w:val="en-US"/>
        </w:rPr>
        <w:t>e</w:t>
      </w:r>
    </w:p>
    <w:p w:rsidR="00393A06" w:rsidRPr="00393A06" w:rsidRDefault="00393A06" w:rsidP="00393A06">
      <w:pPr>
        <w:pStyle w:val="SingleTxtG"/>
        <w:jc w:val="right"/>
        <w:rPr>
          <w:lang w:val="en-US"/>
        </w:rPr>
      </w:pPr>
      <w:r w:rsidRPr="00393A06">
        <w:rPr>
          <w:lang w:val="en-US"/>
        </w:rPr>
        <w:t>[</w:t>
      </w:r>
      <w:proofErr w:type="spellStart"/>
      <w:r w:rsidRPr="00393A06">
        <w:rPr>
          <w:i/>
          <w:iCs/>
          <w:lang w:val="en-US"/>
        </w:rPr>
        <w:t>Anglais</w:t>
      </w:r>
      <w:proofErr w:type="spellEnd"/>
      <w:r w:rsidRPr="00393A06">
        <w:rPr>
          <w:i/>
          <w:iCs/>
          <w:lang w:val="en-US"/>
        </w:rPr>
        <w:t xml:space="preserve"> </w:t>
      </w:r>
      <w:proofErr w:type="spellStart"/>
      <w:r w:rsidRPr="00393A06">
        <w:rPr>
          <w:i/>
          <w:iCs/>
          <w:lang w:val="en-US"/>
        </w:rPr>
        <w:t>seulement</w:t>
      </w:r>
      <w:proofErr w:type="spellEnd"/>
      <w:r w:rsidRPr="00393A06">
        <w:rPr>
          <w:lang w:val="en-US"/>
        </w:rPr>
        <w:t>]</w:t>
      </w:r>
    </w:p>
    <w:p w:rsidR="00393A06" w:rsidRPr="00393A06" w:rsidRDefault="00393A06" w:rsidP="00393A06">
      <w:pPr>
        <w:spacing w:after="240"/>
        <w:outlineLvl w:val="0"/>
        <w:rPr>
          <w:b/>
          <w:sz w:val="22"/>
          <w:szCs w:val="22"/>
          <w:lang w:val="en-US"/>
        </w:rPr>
      </w:pPr>
      <w:r w:rsidRPr="00393A06">
        <w:rPr>
          <w:b/>
          <w:sz w:val="22"/>
          <w:szCs w:val="22"/>
          <w:lang w:val="en-US"/>
        </w:rPr>
        <w:t>A.</w:t>
      </w:r>
      <w:r w:rsidRPr="00393A06">
        <w:rPr>
          <w:b/>
          <w:sz w:val="22"/>
          <w:szCs w:val="22"/>
          <w:lang w:val="en-US"/>
        </w:rPr>
        <w:tab/>
        <w:t>Standards at Stage 2: Submitted for Public Enquiry</w:t>
      </w:r>
    </w:p>
    <w:p w:rsidR="00393A06" w:rsidRPr="00337D56" w:rsidRDefault="00393A06" w:rsidP="00393A06">
      <w:pPr>
        <w:pStyle w:val="Title"/>
        <w:spacing w:before="120"/>
        <w:jc w:val="left"/>
        <w:rPr>
          <w:sz w:val="20"/>
        </w:rPr>
      </w:pPr>
      <w:bookmarkStart w:id="1" w:name="_Hlk26779328"/>
      <w:r w:rsidRPr="00337D56">
        <w:rPr>
          <w:rFonts w:ascii="Times New Roman" w:hAnsi="Times New Roman"/>
          <w:b w:val="0"/>
          <w:iCs/>
          <w:sz w:val="20"/>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393A06" w:rsidRPr="00337D56" w:rsidTr="00CD7935">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3A06" w:rsidRPr="00337D56" w:rsidRDefault="00393A06" w:rsidP="00CD7935">
            <w:pPr>
              <w:jc w:val="center"/>
              <w:rPr>
                <w:b/>
                <w:spacing w:val="-3"/>
              </w:rPr>
            </w:pPr>
            <w:proofErr w:type="gramStart"/>
            <w:r w:rsidRPr="00337D56">
              <w:rPr>
                <w:b/>
                <w:spacing w:val="-3"/>
              </w:rPr>
              <w:t>prEN</w:t>
            </w:r>
            <w:proofErr w:type="gramEnd"/>
            <w:r w:rsidRPr="00337D56">
              <w:rPr>
                <w:b/>
                <w:spacing w:val="-3"/>
              </w:rPr>
              <w:t xml:space="preserve"> 14894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393A06" w:rsidRPr="00337D56" w:rsidRDefault="00393A06" w:rsidP="00CD7935">
            <w:pPr>
              <w:pStyle w:val="Pa0"/>
              <w:spacing w:line="240" w:lineRule="auto"/>
              <w:jc w:val="center"/>
              <w:rPr>
                <w:rFonts w:ascii="Times New Roman" w:hAnsi="Times New Roman"/>
                <w:b/>
                <w:spacing w:val="-3"/>
                <w:sz w:val="20"/>
                <w:szCs w:val="20"/>
              </w:rPr>
            </w:pPr>
            <w:r w:rsidRPr="00337D56">
              <w:rPr>
                <w:rFonts w:ascii="Times New Roman" w:hAnsi="Times New Roman"/>
                <w:b/>
                <w:spacing w:val="-3"/>
                <w:sz w:val="20"/>
                <w:szCs w:val="20"/>
              </w:rPr>
              <w:t>LPG equipment and accessories - Cylinder and drum marking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r w:rsidRPr="00337D56">
              <w:rPr>
                <w:bCs/>
                <w:smallCaps w:val="0"/>
                <w:sz w:val="20"/>
              </w:rPr>
              <w:t>Where to refer in RID/ADR:</w:t>
            </w:r>
          </w:p>
          <w:p w:rsidR="00393A06" w:rsidRPr="00337D56" w:rsidRDefault="00393A06" w:rsidP="00CD7935">
            <w:pPr>
              <w:jc w:val="center"/>
              <w:rPr>
                <w:b/>
              </w:rPr>
            </w:pPr>
            <w:proofErr w:type="spellStart"/>
            <w:proofErr w:type="gramStart"/>
            <w:r w:rsidRPr="00337D56">
              <w:rPr>
                <w:b/>
              </w:rPr>
              <w:t>xxxxxx</w:t>
            </w:r>
            <w:proofErr w:type="spellEnd"/>
            <w:proofErr w:type="gramEnd"/>
          </w:p>
          <w:p w:rsidR="00393A06" w:rsidRPr="00337D56" w:rsidRDefault="00393A06" w:rsidP="00CD7935"/>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r w:rsidRPr="00337D56">
              <w:rPr>
                <w:bCs/>
                <w:smallCaps w:val="0"/>
                <w:sz w:val="20"/>
              </w:rPr>
              <w:t>Applicable sub-sections and paragraphs:</w:t>
            </w:r>
          </w:p>
          <w:p w:rsidR="00393A06" w:rsidRPr="00337D56" w:rsidRDefault="00393A06" w:rsidP="00CD7935">
            <w:pPr>
              <w:jc w:val="center"/>
            </w:pPr>
          </w:p>
        </w:tc>
      </w:tr>
      <w:tr w:rsidR="00393A06" w:rsidRPr="00337D56" w:rsidTr="00CD7935">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00286204</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393A06" w:rsidRPr="00337D56" w:rsidRDefault="00393A06" w:rsidP="00CD7935">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rPr>
          <w:gridAfter w:val="1"/>
          <w:wAfter w:w="12" w:type="pct"/>
        </w:trPr>
        <w:tc>
          <w:tcPr>
            <w:tcW w:w="4988" w:type="pct"/>
            <w:gridSpan w:val="10"/>
          </w:tcPr>
          <w:p w:rsidR="00393A06" w:rsidRPr="00393A06" w:rsidRDefault="00393A06" w:rsidP="00CD7935">
            <w:pPr>
              <w:tabs>
                <w:tab w:val="num" w:pos="1134"/>
              </w:tabs>
              <w:jc w:val="both"/>
              <w:rPr>
                <w:lang w:val="en-US"/>
              </w:rPr>
            </w:pPr>
            <w:bookmarkStart w:id="2" w:name="_Hlk43123711"/>
            <w:r w:rsidRPr="00393A06">
              <w:rPr>
                <w:lang w:val="en-US"/>
              </w:rPr>
              <w:t xml:space="preserve">Assessment by the JMSA: the </w:t>
            </w:r>
            <w:proofErr w:type="spellStart"/>
            <w:r w:rsidRPr="00393A06">
              <w:rPr>
                <w:lang w:val="en-US"/>
              </w:rPr>
              <w:t>prEN</w:t>
            </w:r>
            <w:proofErr w:type="spellEnd"/>
            <w:r w:rsidRPr="00393A06">
              <w:rPr>
                <w:lang w:val="en-US"/>
              </w:rPr>
              <w:t xml:space="preserve"> 14894 rev is a marking standard and the policy is that marking standards are not referenced by the ADR. The Chair of the JM WG on standards has confirmed that no assessment is required for </w:t>
            </w:r>
            <w:proofErr w:type="spellStart"/>
            <w:r w:rsidRPr="00393A06">
              <w:rPr>
                <w:lang w:val="en-US"/>
              </w:rPr>
              <w:t>prEN</w:t>
            </w:r>
            <w:proofErr w:type="spellEnd"/>
            <w:r w:rsidRPr="00393A06">
              <w:rPr>
                <w:lang w:val="en-US"/>
              </w:rPr>
              <w:t xml:space="preserve"> 14894.</w:t>
            </w:r>
          </w:p>
        </w:tc>
      </w:tr>
      <w:tr w:rsidR="00393A06" w:rsidRPr="009E7975" w:rsidTr="00CD7935">
        <w:trPr>
          <w:gridAfter w:val="1"/>
          <w:wAfter w:w="12" w:type="pct"/>
        </w:trPr>
        <w:tc>
          <w:tcPr>
            <w:tcW w:w="4988" w:type="pct"/>
            <w:gridSpan w:val="10"/>
          </w:tcPr>
          <w:p w:rsidR="00393A06" w:rsidRPr="00393A06" w:rsidRDefault="00393A06" w:rsidP="00CD7935">
            <w:pPr>
              <w:rPr>
                <w:lang w:val="en-US"/>
              </w:rPr>
            </w:pPr>
            <w:r w:rsidRPr="00393A06">
              <w:rPr>
                <w:b/>
                <w:iCs/>
                <w:lang w:val="en-US"/>
              </w:rPr>
              <w:t>Comments from members of the Joint Meeting</w:t>
            </w:r>
            <w:r w:rsidRPr="00393A06">
              <w:rPr>
                <w:b/>
                <w:lang w:val="en-US"/>
              </w:rPr>
              <w:t>:</w:t>
            </w:r>
          </w:p>
        </w:tc>
      </w:tr>
      <w:tr w:rsidR="00393A06" w:rsidRPr="00337D56" w:rsidTr="00CD7935">
        <w:trPr>
          <w:gridAfter w:val="1"/>
          <w:wAfter w:w="12" w:type="pct"/>
        </w:trPr>
        <w:tc>
          <w:tcPr>
            <w:tcW w:w="313" w:type="pct"/>
            <w:tcMar>
              <w:top w:w="57" w:type="dxa"/>
              <w:bottom w:w="57" w:type="dxa"/>
            </w:tcMar>
          </w:tcPr>
          <w:p w:rsidR="00393A06" w:rsidRPr="00337D56" w:rsidRDefault="00393A06" w:rsidP="00CD7935">
            <w:pPr>
              <w:jc w:val="center"/>
            </w:pPr>
            <w:r w:rsidRPr="00337D56">
              <w:t>Country</w:t>
            </w:r>
          </w:p>
        </w:tc>
        <w:tc>
          <w:tcPr>
            <w:tcW w:w="405" w:type="pct"/>
            <w:gridSpan w:val="2"/>
            <w:tcMar>
              <w:top w:w="57" w:type="dxa"/>
              <w:bottom w:w="57" w:type="dxa"/>
            </w:tcMar>
          </w:tcPr>
          <w:p w:rsidR="00393A06" w:rsidRPr="00337D56" w:rsidRDefault="00393A06" w:rsidP="00CD7935">
            <w:pPr>
              <w:jc w:val="center"/>
            </w:pPr>
            <w:r w:rsidRPr="00337D56">
              <w:t>Clause No.</w:t>
            </w:r>
          </w:p>
        </w:tc>
        <w:tc>
          <w:tcPr>
            <w:tcW w:w="1778" w:type="pct"/>
            <w:gridSpan w:val="3"/>
            <w:tcMar>
              <w:top w:w="57" w:type="dxa"/>
              <w:bottom w:w="57" w:type="dxa"/>
            </w:tcMar>
          </w:tcPr>
          <w:p w:rsidR="00393A06" w:rsidRPr="00337D56" w:rsidRDefault="00393A06" w:rsidP="00CD7935">
            <w:pPr>
              <w:jc w:val="center"/>
            </w:pPr>
            <w:r w:rsidRPr="00337D56">
              <w:t xml:space="preserve">Comment (justification for change) </w:t>
            </w:r>
          </w:p>
        </w:tc>
        <w:tc>
          <w:tcPr>
            <w:tcW w:w="761" w:type="pct"/>
            <w:gridSpan w:val="2"/>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759" w:type="pct"/>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p>
          <w:p w:rsidR="00393A06" w:rsidRPr="00337D56" w:rsidRDefault="00393A06" w:rsidP="00CD7935">
            <w:pPr>
              <w:jc w:val="center"/>
            </w:pPr>
            <w:r w:rsidRPr="00337D56">
              <w:t xml:space="preserve">JMSA </w:t>
            </w:r>
          </w:p>
        </w:tc>
        <w:tc>
          <w:tcPr>
            <w:tcW w:w="972" w:type="pct"/>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t>
            </w:r>
          </w:p>
          <w:p w:rsidR="00393A06" w:rsidRPr="00337D56" w:rsidRDefault="00393A06" w:rsidP="00CD7935">
            <w:pPr>
              <w:jc w:val="center"/>
            </w:pPr>
            <w:r w:rsidRPr="00337D56">
              <w:t>WG Standards</w:t>
            </w:r>
          </w:p>
        </w:tc>
      </w:tr>
      <w:tr w:rsidR="00393A06" w:rsidRPr="00337D56" w:rsidTr="00CD7935">
        <w:trPr>
          <w:gridAfter w:val="1"/>
          <w:wAfter w:w="12" w:type="pct"/>
        </w:trPr>
        <w:tc>
          <w:tcPr>
            <w:tcW w:w="313" w:type="pct"/>
            <w:tcMar>
              <w:top w:w="0" w:type="dxa"/>
              <w:bottom w:w="0" w:type="dxa"/>
            </w:tcMar>
          </w:tcPr>
          <w:p w:rsidR="00393A06" w:rsidRPr="00337D56" w:rsidRDefault="00393A06" w:rsidP="00CD7935">
            <w:pPr>
              <w:jc w:val="center"/>
            </w:pPr>
          </w:p>
        </w:tc>
        <w:tc>
          <w:tcPr>
            <w:tcW w:w="405" w:type="pct"/>
            <w:gridSpan w:val="2"/>
            <w:tcBorders>
              <w:top w:val="single" w:sz="6" w:space="0" w:color="auto"/>
              <w:bottom w:val="single" w:sz="6" w:space="0" w:color="auto"/>
            </w:tcBorders>
            <w:tcMar>
              <w:top w:w="0" w:type="dxa"/>
              <w:bottom w:w="0" w:type="dxa"/>
            </w:tcMar>
          </w:tcPr>
          <w:p w:rsidR="00393A06" w:rsidRPr="00337D56" w:rsidRDefault="00393A06" w:rsidP="00CD7935">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rsidR="00393A06" w:rsidRPr="00337D56" w:rsidRDefault="00393A06" w:rsidP="00CD7935">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rsidR="00393A06" w:rsidRPr="00337D56" w:rsidRDefault="00393A06" w:rsidP="00CD7935">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rsidR="00393A06" w:rsidRPr="00337D56" w:rsidRDefault="00393A06" w:rsidP="00CD7935">
            <w:pPr>
              <w:rPr>
                <w:bCs/>
              </w:rPr>
            </w:pPr>
          </w:p>
        </w:tc>
        <w:tc>
          <w:tcPr>
            <w:tcW w:w="972" w:type="pct"/>
            <w:tcMar>
              <w:top w:w="0" w:type="dxa"/>
              <w:bottom w:w="0" w:type="dxa"/>
            </w:tcMar>
          </w:tcPr>
          <w:p w:rsidR="00393A06" w:rsidRPr="00337D56" w:rsidRDefault="00393A06" w:rsidP="00CD7935">
            <w:pPr>
              <w:keepLines/>
              <w:rPr>
                <w:bCs/>
              </w:rPr>
            </w:pPr>
          </w:p>
        </w:tc>
      </w:tr>
      <w:tr w:rsidR="00393A06" w:rsidRPr="00337D56" w:rsidTr="00CD7935">
        <w:trPr>
          <w:gridAfter w:val="1"/>
          <w:wAfter w:w="12" w:type="pct"/>
        </w:trPr>
        <w:tc>
          <w:tcPr>
            <w:tcW w:w="313" w:type="pct"/>
            <w:tcBorders>
              <w:top w:val="single" w:sz="6" w:space="0" w:color="auto"/>
              <w:bottom w:val="single" w:sz="6" w:space="0" w:color="auto"/>
            </w:tcBorders>
            <w:tcMar>
              <w:top w:w="0" w:type="dxa"/>
              <w:bottom w:w="0" w:type="dxa"/>
            </w:tcMar>
          </w:tcPr>
          <w:p w:rsidR="00393A06" w:rsidRPr="00337D56" w:rsidRDefault="00393A06" w:rsidP="00CD7935">
            <w:pPr>
              <w:jc w:val="center"/>
              <w:rPr>
                <w:bCs/>
              </w:rPr>
            </w:pPr>
          </w:p>
        </w:tc>
        <w:tc>
          <w:tcPr>
            <w:tcW w:w="405" w:type="pct"/>
            <w:gridSpan w:val="2"/>
            <w:tcBorders>
              <w:top w:val="single" w:sz="6" w:space="0" w:color="auto"/>
              <w:bottom w:val="single" w:sz="6" w:space="0" w:color="auto"/>
            </w:tcBorders>
            <w:tcMar>
              <w:top w:w="0" w:type="dxa"/>
              <w:bottom w:w="0" w:type="dxa"/>
            </w:tcMar>
          </w:tcPr>
          <w:p w:rsidR="00393A06" w:rsidRPr="00337D56" w:rsidRDefault="00393A06" w:rsidP="00CD7935">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rsidR="00393A06" w:rsidRPr="00337D56" w:rsidRDefault="00393A06" w:rsidP="00CD7935">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rsidR="00393A06" w:rsidRPr="00337D56" w:rsidRDefault="00393A06" w:rsidP="00CD7935"/>
        </w:tc>
        <w:tc>
          <w:tcPr>
            <w:tcW w:w="759" w:type="pct"/>
            <w:tcBorders>
              <w:left w:val="single" w:sz="4" w:space="0" w:color="auto"/>
            </w:tcBorders>
            <w:tcMar>
              <w:top w:w="0" w:type="dxa"/>
              <w:bottom w:w="0" w:type="dxa"/>
            </w:tcMar>
          </w:tcPr>
          <w:p w:rsidR="00393A06" w:rsidRPr="00337D56" w:rsidRDefault="00393A06" w:rsidP="00CD7935">
            <w:pPr>
              <w:rPr>
                <w:bCs/>
              </w:rPr>
            </w:pPr>
          </w:p>
        </w:tc>
        <w:tc>
          <w:tcPr>
            <w:tcW w:w="972" w:type="pct"/>
            <w:tcMar>
              <w:top w:w="0" w:type="dxa"/>
              <w:bottom w:w="0" w:type="dxa"/>
            </w:tcMar>
          </w:tcPr>
          <w:p w:rsidR="00393A06" w:rsidRPr="00337D56" w:rsidRDefault="00393A06" w:rsidP="00CD7935">
            <w:pPr>
              <w:keepLines/>
              <w:rPr>
                <w:bCs/>
              </w:rPr>
            </w:pPr>
          </w:p>
        </w:tc>
      </w:tr>
      <w:tr w:rsidR="00393A06" w:rsidRPr="00337D56" w:rsidTr="00CD7935">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72" w:type="pct"/>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p w:rsidR="00393A06" w:rsidRPr="00337D56" w:rsidRDefault="00393A06" w:rsidP="00CD7935">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tabs>
                <w:tab w:val="left" w:pos="6663"/>
              </w:tabs>
              <w:rPr>
                <w:bCs/>
              </w:rPr>
            </w:pPr>
          </w:p>
        </w:tc>
      </w:tr>
      <w:bookmarkEnd w:id="1"/>
      <w:bookmarkEnd w:id="2"/>
    </w:tbl>
    <w:p w:rsidR="00393A06" w:rsidRPr="00337D56" w:rsidRDefault="00393A06" w:rsidP="00393A06">
      <w:pPr>
        <w:pStyle w:val="Title"/>
        <w:spacing w:before="0" w:after="0"/>
        <w:jc w:val="left"/>
        <w:rPr>
          <w:rFonts w:ascii="Times New Roman" w:hAnsi="Times New Roman"/>
          <w:b w:val="0"/>
          <w:iCs/>
          <w:sz w:val="20"/>
        </w:rPr>
      </w:pPr>
    </w:p>
    <w:p w:rsidR="00393A06" w:rsidRPr="00337D56" w:rsidRDefault="00393A06" w:rsidP="00393A06">
      <w:pPr>
        <w:pStyle w:val="Title"/>
        <w:spacing w:before="120"/>
        <w:jc w:val="left"/>
        <w:rPr>
          <w:sz w:val="20"/>
        </w:rPr>
      </w:pPr>
      <w:bookmarkStart w:id="3" w:name="_Hlk26779541"/>
      <w:r w:rsidRPr="00337D56">
        <w:rPr>
          <w:rFonts w:ascii="Times New Roman" w:hAnsi="Times New Roman"/>
          <w:b w:val="0"/>
          <w:iCs/>
          <w:sz w:val="20"/>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393A06" w:rsidRPr="00337D56" w:rsidTr="00CD7935">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3A06" w:rsidRPr="00337D56" w:rsidRDefault="00393A06" w:rsidP="00CD7935">
            <w:pPr>
              <w:jc w:val="center"/>
              <w:rPr>
                <w:b/>
                <w:spacing w:val="-3"/>
              </w:rPr>
            </w:pPr>
            <w:proofErr w:type="gramStart"/>
            <w:r w:rsidRPr="00337D56">
              <w:rPr>
                <w:b/>
                <w:spacing w:val="-3"/>
              </w:rPr>
              <w:t>prEN</w:t>
            </w:r>
            <w:proofErr w:type="gramEnd"/>
            <w:r w:rsidRPr="00337D56">
              <w:rPr>
                <w:b/>
                <w:spacing w:val="-3"/>
              </w:rPr>
              <w:t xml:space="preserve"> 13799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393A06" w:rsidRPr="00393A06" w:rsidRDefault="00393A06" w:rsidP="00CD7935">
            <w:pPr>
              <w:ind w:right="16"/>
              <w:jc w:val="center"/>
              <w:rPr>
                <w:b/>
                <w:spacing w:val="-3"/>
                <w:lang w:val="en-US"/>
              </w:rPr>
            </w:pPr>
            <w:r w:rsidRPr="00393A06">
              <w:rPr>
                <w:b/>
                <w:spacing w:val="-3"/>
                <w:lang w:val="en-US"/>
              </w:rPr>
              <w:t>LPG equipment and accessories - Contents gauges for Liquefied Petroleum Gas (LPG) pressure vessels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r w:rsidRPr="00337D56">
              <w:rPr>
                <w:bCs/>
                <w:smallCaps w:val="0"/>
                <w:sz w:val="20"/>
              </w:rPr>
              <w:t>Where to refer in RID/ADR:</w:t>
            </w:r>
          </w:p>
          <w:p w:rsidR="00393A06" w:rsidRPr="00337D56" w:rsidRDefault="00393A06" w:rsidP="00CD7935">
            <w:pPr>
              <w:jc w:val="center"/>
              <w:rPr>
                <w:b/>
                <w:i/>
              </w:rPr>
            </w:pPr>
            <w:proofErr w:type="spellStart"/>
            <w:proofErr w:type="gramStart"/>
            <w:r w:rsidRPr="00337D56">
              <w:rPr>
                <w:b/>
              </w:rPr>
              <w:t>xxxxx</w:t>
            </w:r>
            <w:proofErr w:type="spellEnd"/>
            <w:proofErr w:type="gramEnd"/>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r w:rsidRPr="00337D56">
              <w:rPr>
                <w:bCs/>
                <w:smallCaps w:val="0"/>
                <w:sz w:val="20"/>
              </w:rPr>
              <w:t>Applicable sub-sections and paragraphs:</w:t>
            </w:r>
          </w:p>
          <w:p w:rsidR="00393A06" w:rsidRPr="00337D56" w:rsidRDefault="00393A06" w:rsidP="00CD7935">
            <w:pPr>
              <w:jc w:val="center"/>
            </w:pPr>
            <w:proofErr w:type="spellStart"/>
            <w:proofErr w:type="gramStart"/>
            <w:r w:rsidRPr="00337D56">
              <w:rPr>
                <w:b/>
              </w:rPr>
              <w:t>xxxxx</w:t>
            </w:r>
            <w:proofErr w:type="spellEnd"/>
            <w:proofErr w:type="gramEnd"/>
          </w:p>
        </w:tc>
      </w:tr>
      <w:tr w:rsidR="00393A06" w:rsidRPr="00337D56" w:rsidTr="00CD7935">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00286192</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393A06" w:rsidRPr="00337D56" w:rsidRDefault="00393A06" w:rsidP="00CD7935">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rPr>
          <w:gridAfter w:val="1"/>
          <w:wAfter w:w="12" w:type="pct"/>
        </w:trPr>
        <w:tc>
          <w:tcPr>
            <w:tcW w:w="4988" w:type="pct"/>
            <w:gridSpan w:val="10"/>
          </w:tcPr>
          <w:p w:rsidR="00393A06" w:rsidRPr="00393A06" w:rsidRDefault="00393A06" w:rsidP="00CD7935">
            <w:pPr>
              <w:tabs>
                <w:tab w:val="num" w:pos="1134"/>
              </w:tabs>
              <w:jc w:val="both"/>
              <w:rPr>
                <w:lang w:val="en-US"/>
              </w:rPr>
            </w:pPr>
            <w:r w:rsidRPr="00393A06">
              <w:rPr>
                <w:lang w:val="en-US"/>
              </w:rPr>
              <w:t>Positive assessment by the JMSA: This standard is compliant with the ADR and can be approved for inclusion in the referenced standards.</w:t>
            </w:r>
          </w:p>
        </w:tc>
      </w:tr>
      <w:tr w:rsidR="00393A06" w:rsidRPr="009E7975" w:rsidTr="00CD7935">
        <w:trPr>
          <w:gridAfter w:val="1"/>
          <w:wAfter w:w="12" w:type="pct"/>
        </w:trPr>
        <w:tc>
          <w:tcPr>
            <w:tcW w:w="4988" w:type="pct"/>
            <w:gridSpan w:val="10"/>
          </w:tcPr>
          <w:p w:rsidR="00393A06" w:rsidRPr="00393A06" w:rsidRDefault="00393A06" w:rsidP="00CD7935">
            <w:pPr>
              <w:rPr>
                <w:lang w:val="en-US"/>
              </w:rPr>
            </w:pPr>
            <w:r w:rsidRPr="00393A06">
              <w:rPr>
                <w:b/>
                <w:iCs/>
                <w:lang w:val="en-US"/>
              </w:rPr>
              <w:t>Comments from members of the Joint Meeting</w:t>
            </w:r>
            <w:r w:rsidRPr="00393A06">
              <w:rPr>
                <w:b/>
                <w:lang w:val="en-US"/>
              </w:rPr>
              <w:t>:</w:t>
            </w:r>
          </w:p>
        </w:tc>
      </w:tr>
      <w:tr w:rsidR="00393A06" w:rsidRPr="00337D56" w:rsidTr="00CD7935">
        <w:trPr>
          <w:gridAfter w:val="1"/>
          <w:wAfter w:w="12" w:type="pct"/>
        </w:trPr>
        <w:tc>
          <w:tcPr>
            <w:tcW w:w="313" w:type="pct"/>
            <w:tcMar>
              <w:top w:w="57" w:type="dxa"/>
              <w:bottom w:w="57" w:type="dxa"/>
            </w:tcMar>
          </w:tcPr>
          <w:p w:rsidR="00393A06" w:rsidRPr="00393A06" w:rsidRDefault="00393A06" w:rsidP="00CD7935">
            <w:pPr>
              <w:jc w:val="center"/>
              <w:rPr>
                <w:lang w:val="en-US"/>
              </w:rPr>
            </w:pPr>
          </w:p>
        </w:tc>
        <w:tc>
          <w:tcPr>
            <w:tcW w:w="405" w:type="pct"/>
            <w:gridSpan w:val="2"/>
            <w:tcMar>
              <w:top w:w="57" w:type="dxa"/>
              <w:bottom w:w="57" w:type="dxa"/>
            </w:tcMar>
          </w:tcPr>
          <w:p w:rsidR="00393A06" w:rsidRPr="00393A06" w:rsidRDefault="00393A06" w:rsidP="00CD7935">
            <w:pPr>
              <w:jc w:val="center"/>
              <w:rPr>
                <w:lang w:val="en-US"/>
              </w:rPr>
            </w:pPr>
          </w:p>
        </w:tc>
        <w:tc>
          <w:tcPr>
            <w:tcW w:w="1778" w:type="pct"/>
            <w:gridSpan w:val="3"/>
            <w:tcMar>
              <w:top w:w="57" w:type="dxa"/>
              <w:bottom w:w="57" w:type="dxa"/>
            </w:tcMar>
          </w:tcPr>
          <w:p w:rsidR="00393A06" w:rsidRPr="00393A06" w:rsidRDefault="00393A06" w:rsidP="00CD7935">
            <w:pPr>
              <w:rPr>
                <w:lang w:val="en-US"/>
              </w:rPr>
            </w:pPr>
          </w:p>
        </w:tc>
        <w:tc>
          <w:tcPr>
            <w:tcW w:w="761" w:type="pct"/>
            <w:gridSpan w:val="2"/>
            <w:tcMar>
              <w:top w:w="57" w:type="dxa"/>
              <w:bottom w:w="57" w:type="dxa"/>
            </w:tcMar>
          </w:tcPr>
          <w:p w:rsidR="00393A06" w:rsidRPr="00393A06" w:rsidRDefault="00393A06" w:rsidP="00CD7935">
            <w:pPr>
              <w:jc w:val="center"/>
              <w:rPr>
                <w:lang w:val="en-US"/>
              </w:rPr>
            </w:pPr>
          </w:p>
        </w:tc>
        <w:tc>
          <w:tcPr>
            <w:tcW w:w="759" w:type="pct"/>
            <w:tcMar>
              <w:top w:w="57" w:type="dxa"/>
              <w:bottom w:w="57" w:type="dxa"/>
            </w:tcMar>
          </w:tcPr>
          <w:p w:rsidR="00393A06" w:rsidRPr="00393A06" w:rsidRDefault="00393A06" w:rsidP="00CD7935">
            <w:pPr>
              <w:jc w:val="center"/>
              <w:rPr>
                <w:lang w:val="en-US"/>
              </w:rPr>
            </w:pPr>
          </w:p>
        </w:tc>
        <w:tc>
          <w:tcPr>
            <w:tcW w:w="972" w:type="pct"/>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t>
            </w:r>
          </w:p>
          <w:p w:rsidR="00393A06" w:rsidRPr="00337D56" w:rsidRDefault="00393A06" w:rsidP="00CD7935">
            <w:pPr>
              <w:jc w:val="center"/>
            </w:pPr>
            <w:r w:rsidRPr="00337D56">
              <w:t>WG Standards</w:t>
            </w:r>
          </w:p>
        </w:tc>
      </w:tr>
      <w:tr w:rsidR="00393A06" w:rsidRPr="00337D56" w:rsidTr="00CD7935">
        <w:trPr>
          <w:gridAfter w:val="1"/>
          <w:wAfter w:w="12" w:type="pct"/>
          <w:trHeight w:val="257"/>
        </w:trPr>
        <w:tc>
          <w:tcPr>
            <w:tcW w:w="313" w:type="pct"/>
            <w:tcMar>
              <w:top w:w="0" w:type="dxa"/>
              <w:bottom w:w="0" w:type="dxa"/>
            </w:tcMar>
          </w:tcPr>
          <w:p w:rsidR="00393A06" w:rsidRPr="00337D56" w:rsidRDefault="00393A06" w:rsidP="00CD7935">
            <w:pPr>
              <w:jc w:val="center"/>
              <w:rPr>
                <w:bCs/>
              </w:rPr>
            </w:pPr>
          </w:p>
        </w:tc>
        <w:tc>
          <w:tcPr>
            <w:tcW w:w="405" w:type="pct"/>
            <w:gridSpan w:val="2"/>
            <w:tcBorders>
              <w:top w:val="single" w:sz="6" w:space="0" w:color="auto"/>
              <w:bottom w:val="single" w:sz="6" w:space="0" w:color="auto"/>
            </w:tcBorders>
            <w:tcMar>
              <w:top w:w="0" w:type="dxa"/>
              <w:bottom w:w="0" w:type="dxa"/>
            </w:tcMar>
          </w:tcPr>
          <w:p w:rsidR="00393A06" w:rsidRPr="00337D56" w:rsidRDefault="00393A06" w:rsidP="00CD7935">
            <w:pPr>
              <w:pStyle w:val="ISOClause"/>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rsidR="00393A06" w:rsidRPr="00337D56" w:rsidRDefault="00393A06" w:rsidP="00CD7935">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rsidR="00393A06" w:rsidRPr="00337D56" w:rsidRDefault="00393A06" w:rsidP="00CD7935">
            <w:pPr>
              <w:pStyle w:val="ISOChange"/>
              <w:spacing w:before="60" w:after="60" w:line="240" w:lineRule="auto"/>
              <w:rPr>
                <w:rFonts w:ascii="Times New Roman" w:hAnsi="Times New Roman"/>
                <w:sz w:val="20"/>
              </w:rPr>
            </w:pPr>
          </w:p>
        </w:tc>
        <w:tc>
          <w:tcPr>
            <w:tcW w:w="759" w:type="pct"/>
            <w:tcMar>
              <w:top w:w="0" w:type="dxa"/>
              <w:bottom w:w="0" w:type="dxa"/>
            </w:tcMar>
          </w:tcPr>
          <w:p w:rsidR="00393A06" w:rsidRPr="00337D56" w:rsidRDefault="00393A06" w:rsidP="00CD7935">
            <w:pPr>
              <w:rPr>
                <w:bCs/>
              </w:rPr>
            </w:pPr>
          </w:p>
        </w:tc>
        <w:tc>
          <w:tcPr>
            <w:tcW w:w="972" w:type="pct"/>
            <w:tcMar>
              <w:top w:w="0" w:type="dxa"/>
              <w:bottom w:w="0" w:type="dxa"/>
            </w:tcMar>
          </w:tcPr>
          <w:p w:rsidR="00393A06" w:rsidRPr="00337D56" w:rsidRDefault="00393A06" w:rsidP="00CD7935">
            <w:pPr>
              <w:keepLines/>
              <w:rPr>
                <w:bCs/>
              </w:rPr>
            </w:pPr>
          </w:p>
        </w:tc>
      </w:tr>
      <w:tr w:rsidR="00393A06" w:rsidRPr="00337D56" w:rsidTr="00CD7935">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lastRenderedPageBreak/>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72" w:type="pct"/>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tabs>
                <w:tab w:val="left" w:pos="6663"/>
              </w:tabs>
              <w:rPr>
                <w:bCs/>
              </w:rPr>
            </w:pPr>
          </w:p>
        </w:tc>
      </w:tr>
      <w:bookmarkEnd w:id="3"/>
    </w:tbl>
    <w:p w:rsidR="00393A06" w:rsidRPr="00337D56" w:rsidRDefault="00393A06" w:rsidP="00393A06">
      <w:pPr>
        <w:pStyle w:val="Title"/>
        <w:spacing w:before="0" w:after="0"/>
        <w:jc w:val="left"/>
        <w:rPr>
          <w:rFonts w:ascii="Times New Roman" w:hAnsi="Times New Roman"/>
          <w:b w:val="0"/>
          <w:iCs/>
          <w:sz w:val="20"/>
        </w:rPr>
      </w:pPr>
    </w:p>
    <w:p w:rsidR="00393A06" w:rsidRPr="00337D56" w:rsidRDefault="00393A06" w:rsidP="00393A06">
      <w:pPr>
        <w:outlineLvl w:val="0"/>
        <w:rPr>
          <w:bCs/>
          <w:iCs/>
          <w:kern w:val="28"/>
          <w:szCs w:val="32"/>
        </w:rPr>
      </w:pPr>
      <w:bookmarkStart w:id="4" w:name="_Hlk26779907"/>
    </w:p>
    <w:bookmarkEnd w:id="4"/>
    <w:p w:rsidR="00393A06" w:rsidRPr="00337D56" w:rsidRDefault="00393A06" w:rsidP="00393A06">
      <w:pPr>
        <w:spacing w:before="120" w:after="60"/>
        <w:outlineLvl w:val="0"/>
        <w:rPr>
          <w:rFonts w:ascii="Arial" w:hAnsi="Arial"/>
          <w:b/>
          <w:bCs/>
          <w:kern w:val="28"/>
          <w:szCs w:val="32"/>
        </w:rPr>
      </w:pPr>
      <w:r w:rsidRPr="00337D56">
        <w:rPr>
          <w:bCs/>
          <w:iCs/>
          <w:kern w:val="28"/>
          <w:szCs w:val="32"/>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8"/>
        <w:gridCol w:w="13"/>
        <w:gridCol w:w="1910"/>
        <w:gridCol w:w="13"/>
        <w:gridCol w:w="1918"/>
        <w:gridCol w:w="2452"/>
      </w:tblGrid>
      <w:tr w:rsidR="00393A06" w:rsidRPr="009E7975" w:rsidTr="00CD793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93A06" w:rsidRPr="00337D56" w:rsidRDefault="00393A06" w:rsidP="00CD7935">
            <w:pPr>
              <w:jc w:val="center"/>
              <w:rPr>
                <w:b/>
                <w:spacing w:val="-3"/>
              </w:rPr>
            </w:pPr>
            <w:proofErr w:type="gramStart"/>
            <w:r w:rsidRPr="00337D56">
              <w:rPr>
                <w:b/>
                <w:spacing w:val="-3"/>
              </w:rPr>
              <w:t>prEN</w:t>
            </w:r>
            <w:proofErr w:type="gramEnd"/>
            <w:r w:rsidRPr="00337D56">
              <w:rPr>
                <w:b/>
                <w:spacing w:val="-3"/>
              </w:rPr>
              <w:t xml:space="preserve"> 12493</w:t>
            </w:r>
          </w:p>
        </w:tc>
        <w:tc>
          <w:tcPr>
            <w:tcW w:w="1784"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393A06" w:rsidRPr="00393A06" w:rsidRDefault="00393A06" w:rsidP="00CD7935">
            <w:pPr>
              <w:suppressAutoHyphens w:val="0"/>
              <w:spacing w:line="240" w:lineRule="auto"/>
              <w:jc w:val="center"/>
              <w:rPr>
                <w:b/>
                <w:spacing w:val="-3"/>
                <w:lang w:val="en-US" w:eastAsia="zh-CN"/>
              </w:rPr>
            </w:pPr>
            <w:r w:rsidRPr="00393A06">
              <w:rPr>
                <w:b/>
                <w:spacing w:val="-3"/>
                <w:lang w:val="en-US" w:eastAsia="zh-CN"/>
              </w:rPr>
              <w:t>LPG equipment and accessories - Welded steel pressure vessels for LPG road tankers - Design and manufacture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93A06" w:rsidRPr="00393A06" w:rsidRDefault="00393A06" w:rsidP="00CD7935">
            <w:pPr>
              <w:suppressAutoHyphens w:val="0"/>
              <w:spacing w:line="240" w:lineRule="auto"/>
              <w:jc w:val="center"/>
              <w:rPr>
                <w:b/>
                <w:bCs/>
                <w:lang w:val="en-US"/>
              </w:rPr>
            </w:pPr>
            <w:r w:rsidRPr="00393A06">
              <w:rPr>
                <w:b/>
                <w:bCs/>
                <w:lang w:val="en-US"/>
              </w:rPr>
              <w:t>Where to refer in RID/ADR:</w:t>
            </w:r>
          </w:p>
          <w:p w:rsidR="00393A06" w:rsidRPr="00337D56" w:rsidRDefault="00393A06" w:rsidP="00CD7935">
            <w:pPr>
              <w:jc w:val="center"/>
              <w:rPr>
                <w:b/>
              </w:rPr>
            </w:pPr>
            <w:r w:rsidRPr="00337D56">
              <w:rPr>
                <w:b/>
              </w:rPr>
              <w:t>6.8.2.6.1</w:t>
            </w:r>
          </w:p>
          <w:p w:rsidR="00393A06" w:rsidRPr="00337D56" w:rsidRDefault="00393A06" w:rsidP="00CD7935"/>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93A06" w:rsidRPr="00393A06" w:rsidRDefault="00393A06" w:rsidP="00CD7935">
            <w:pPr>
              <w:suppressAutoHyphens w:val="0"/>
              <w:spacing w:line="240" w:lineRule="auto"/>
              <w:jc w:val="center"/>
              <w:rPr>
                <w:b/>
                <w:bCs/>
                <w:lang w:val="en-US"/>
              </w:rPr>
            </w:pPr>
            <w:r w:rsidRPr="00393A06">
              <w:rPr>
                <w:b/>
                <w:bCs/>
                <w:lang w:val="en-US"/>
              </w:rPr>
              <w:t>Applicable sub-sections and paragraphs:</w:t>
            </w:r>
          </w:p>
          <w:p w:rsidR="00393A06" w:rsidRPr="00393A06" w:rsidRDefault="00393A06" w:rsidP="00CD7935">
            <w:pPr>
              <w:jc w:val="center"/>
              <w:rPr>
                <w:lang w:val="en-US"/>
              </w:rPr>
            </w:pPr>
            <w:r w:rsidRPr="00393A06">
              <w:rPr>
                <w:b/>
                <w:lang w:val="en-US"/>
              </w:rPr>
              <w:t>6.8.2.1, 6.8.2.5, 6.8.3.1, 6.8.3.5 and 6.8.5.1 to 6.8.5.3</w:t>
            </w:r>
          </w:p>
        </w:tc>
      </w:tr>
      <w:tr w:rsidR="00393A06" w:rsidRPr="00337D56" w:rsidTr="00CD793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00286194</w:t>
            </w:r>
          </w:p>
        </w:tc>
        <w:tc>
          <w:tcPr>
            <w:tcW w:w="1784" w:type="pct"/>
            <w:gridSpan w:val="3"/>
            <w:vMerge/>
            <w:tcBorders>
              <w:left w:val="single" w:sz="6" w:space="0" w:color="auto"/>
              <w:right w:val="single" w:sz="6" w:space="0" w:color="auto"/>
            </w:tcBorders>
            <w:shd w:val="clear" w:color="auto" w:fill="F3F3F3"/>
            <w:tcMar>
              <w:top w:w="28" w:type="dxa"/>
              <w:bottom w:w="28" w:type="dxa"/>
            </w:tcMar>
          </w:tcPr>
          <w:p w:rsidR="00393A06" w:rsidRPr="00337D56" w:rsidRDefault="00393A06" w:rsidP="00CD7935">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393A06" w:rsidRPr="00337D56" w:rsidRDefault="00393A06" w:rsidP="00393A06">
            <w:pPr>
              <w:numPr>
                <w:ilvl w:val="0"/>
                <w:numId w:val="18"/>
              </w:numPr>
              <w:tabs>
                <w:tab w:val="clear" w:pos="1494"/>
              </w:tabs>
              <w:suppressAutoHyphens w:val="0"/>
              <w:kinsoku/>
              <w:overflowPunct/>
              <w:autoSpaceDE/>
              <w:autoSpaceDN/>
              <w:adjustRightInd/>
              <w:snapToGrid/>
              <w:spacing w:line="240" w:lineRule="auto"/>
              <w:ind w:left="0"/>
              <w:jc w:val="center"/>
              <w:rPr>
                <w:b/>
                <w:bCs/>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393A06" w:rsidRPr="00337D56" w:rsidRDefault="00393A06" w:rsidP="00393A06">
            <w:pPr>
              <w:numPr>
                <w:ilvl w:val="0"/>
                <w:numId w:val="18"/>
              </w:numPr>
              <w:tabs>
                <w:tab w:val="clear" w:pos="1494"/>
              </w:tabs>
              <w:suppressAutoHyphens w:val="0"/>
              <w:kinsoku/>
              <w:overflowPunct/>
              <w:autoSpaceDE/>
              <w:autoSpaceDN/>
              <w:adjustRightInd/>
              <w:snapToGrid/>
              <w:spacing w:line="240" w:lineRule="auto"/>
              <w:ind w:left="0"/>
              <w:jc w:val="center"/>
              <w:rPr>
                <w:b/>
                <w:bCs/>
              </w:rPr>
            </w:pPr>
          </w:p>
        </w:tc>
      </w:tr>
      <w:tr w:rsidR="00393A06" w:rsidRPr="009E7975" w:rsidTr="00CD7935">
        <w:tc>
          <w:tcPr>
            <w:tcW w:w="5000" w:type="pct"/>
            <w:gridSpan w:val="10"/>
          </w:tcPr>
          <w:p w:rsidR="00393A06" w:rsidRPr="00393A06" w:rsidRDefault="00393A06" w:rsidP="00CD7935">
            <w:pPr>
              <w:tabs>
                <w:tab w:val="num" w:pos="1134"/>
              </w:tabs>
              <w:jc w:val="both"/>
              <w:rPr>
                <w:lang w:val="en-US"/>
              </w:rPr>
            </w:pPr>
            <w:r w:rsidRPr="00393A06">
              <w:rPr>
                <w:lang w:val="en-US"/>
              </w:rPr>
              <w:t>Positive assessment by the JMSA: This standard is compliant with the ADR and can be approved for inclusion in the referenced standards.</w:t>
            </w:r>
          </w:p>
        </w:tc>
      </w:tr>
      <w:tr w:rsidR="00393A06" w:rsidRPr="009E7975" w:rsidTr="00CD7935">
        <w:tc>
          <w:tcPr>
            <w:tcW w:w="5000" w:type="pct"/>
            <w:gridSpan w:val="10"/>
          </w:tcPr>
          <w:p w:rsidR="00393A06" w:rsidRPr="00393A06" w:rsidRDefault="00393A06" w:rsidP="00CD7935">
            <w:pPr>
              <w:rPr>
                <w:lang w:val="en-US"/>
              </w:rPr>
            </w:pPr>
            <w:r w:rsidRPr="00393A06">
              <w:rPr>
                <w:b/>
                <w:iCs/>
                <w:lang w:val="en-US"/>
              </w:rPr>
              <w:t>Comments from members of the Joint Meeting</w:t>
            </w:r>
            <w:r w:rsidRPr="00393A06">
              <w:rPr>
                <w:b/>
                <w:lang w:val="en-US"/>
              </w:rPr>
              <w:t>:</w:t>
            </w:r>
          </w:p>
        </w:tc>
      </w:tr>
      <w:tr w:rsidR="00393A06" w:rsidRPr="00337D56" w:rsidTr="00CD7935">
        <w:tc>
          <w:tcPr>
            <w:tcW w:w="314" w:type="pct"/>
            <w:tcMar>
              <w:top w:w="57" w:type="dxa"/>
              <w:bottom w:w="57" w:type="dxa"/>
            </w:tcMar>
          </w:tcPr>
          <w:p w:rsidR="00393A06" w:rsidRPr="00337D56" w:rsidRDefault="00393A06" w:rsidP="00CD7935">
            <w:pPr>
              <w:jc w:val="center"/>
            </w:pPr>
            <w:r w:rsidRPr="00337D56">
              <w:t>Country</w:t>
            </w:r>
          </w:p>
        </w:tc>
        <w:tc>
          <w:tcPr>
            <w:tcW w:w="406" w:type="pct"/>
            <w:gridSpan w:val="2"/>
            <w:tcMar>
              <w:top w:w="57" w:type="dxa"/>
              <w:bottom w:w="57" w:type="dxa"/>
            </w:tcMar>
          </w:tcPr>
          <w:p w:rsidR="00393A06" w:rsidRPr="00337D56" w:rsidRDefault="00393A06" w:rsidP="00CD7935">
            <w:pPr>
              <w:jc w:val="center"/>
            </w:pPr>
            <w:r w:rsidRPr="00337D56">
              <w:t>Clause No.</w:t>
            </w:r>
          </w:p>
        </w:tc>
        <w:tc>
          <w:tcPr>
            <w:tcW w:w="1783" w:type="pct"/>
            <w:gridSpan w:val="3"/>
            <w:tcMar>
              <w:top w:w="57" w:type="dxa"/>
              <w:bottom w:w="57" w:type="dxa"/>
            </w:tcMar>
          </w:tcPr>
          <w:p w:rsidR="00393A06" w:rsidRPr="00337D56" w:rsidRDefault="00393A06" w:rsidP="00CD7935">
            <w:pPr>
              <w:jc w:val="center"/>
            </w:pPr>
            <w:r w:rsidRPr="00337D56">
              <w:t xml:space="preserve">Comment (justification for change) </w:t>
            </w:r>
          </w:p>
        </w:tc>
        <w:tc>
          <w:tcPr>
            <w:tcW w:w="763" w:type="pct"/>
            <w:gridSpan w:val="2"/>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761" w:type="pct"/>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p>
          <w:p w:rsidR="00393A06" w:rsidRPr="00337D56" w:rsidRDefault="00393A06" w:rsidP="00CD7935">
            <w:pPr>
              <w:jc w:val="center"/>
            </w:pPr>
            <w:r w:rsidRPr="00337D56">
              <w:t xml:space="preserve">JMSA </w:t>
            </w:r>
          </w:p>
        </w:tc>
        <w:tc>
          <w:tcPr>
            <w:tcW w:w="973" w:type="pct"/>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t>
            </w:r>
          </w:p>
          <w:p w:rsidR="00393A06" w:rsidRPr="00337D56" w:rsidRDefault="00393A06" w:rsidP="00CD7935">
            <w:pPr>
              <w:jc w:val="center"/>
            </w:pPr>
            <w:r w:rsidRPr="00337D56">
              <w:t>WG Standards</w:t>
            </w:r>
          </w:p>
        </w:tc>
      </w:tr>
      <w:tr w:rsidR="00393A06" w:rsidRPr="00337D56" w:rsidTr="00CD7935">
        <w:tc>
          <w:tcPr>
            <w:tcW w:w="314" w:type="pct"/>
            <w:tcMar>
              <w:top w:w="0" w:type="dxa"/>
              <w:bottom w:w="0" w:type="dxa"/>
            </w:tcMar>
          </w:tcPr>
          <w:p w:rsidR="00393A06" w:rsidRPr="00337D56" w:rsidRDefault="00393A06" w:rsidP="00CD7935">
            <w:pPr>
              <w:jc w:val="center"/>
            </w:pPr>
          </w:p>
        </w:tc>
        <w:tc>
          <w:tcPr>
            <w:tcW w:w="406" w:type="pct"/>
            <w:gridSpan w:val="2"/>
            <w:tcBorders>
              <w:top w:val="single" w:sz="6" w:space="0" w:color="auto"/>
              <w:bottom w:val="single" w:sz="6" w:space="0" w:color="auto"/>
            </w:tcBorders>
            <w:tcMar>
              <w:top w:w="0" w:type="dxa"/>
              <w:bottom w:w="0" w:type="dxa"/>
            </w:tcMar>
          </w:tcPr>
          <w:p w:rsidR="00393A06" w:rsidRPr="00337D56" w:rsidRDefault="00393A06" w:rsidP="00CD7935">
            <w:pPr>
              <w:suppressAutoHyphens w:val="0"/>
              <w:spacing w:before="60" w:after="60" w:line="240" w:lineRule="auto"/>
              <w:rPr>
                <w:lang w:eastAsia="en-GB"/>
              </w:rPr>
            </w:pPr>
          </w:p>
        </w:tc>
        <w:tc>
          <w:tcPr>
            <w:tcW w:w="1783" w:type="pct"/>
            <w:gridSpan w:val="3"/>
            <w:tcBorders>
              <w:top w:val="single" w:sz="6" w:space="0" w:color="auto"/>
              <w:bottom w:val="single" w:sz="6" w:space="0" w:color="auto"/>
            </w:tcBorders>
            <w:tcMar>
              <w:top w:w="0" w:type="dxa"/>
              <w:bottom w:w="0" w:type="dxa"/>
            </w:tcMar>
          </w:tcPr>
          <w:p w:rsidR="00393A06" w:rsidRPr="00337D56" w:rsidRDefault="00393A06" w:rsidP="00CD7935">
            <w:pPr>
              <w:suppressAutoHyphens w:val="0"/>
              <w:spacing w:before="60" w:after="60" w:line="240" w:lineRule="auto"/>
              <w:rPr>
                <w:lang w:eastAsia="en-GB"/>
              </w:rPr>
            </w:pPr>
          </w:p>
        </w:tc>
        <w:tc>
          <w:tcPr>
            <w:tcW w:w="763" w:type="pct"/>
            <w:gridSpan w:val="2"/>
            <w:tcBorders>
              <w:left w:val="single" w:sz="4" w:space="0" w:color="auto"/>
            </w:tcBorders>
            <w:tcMar>
              <w:top w:w="0" w:type="dxa"/>
              <w:bottom w:w="0" w:type="dxa"/>
            </w:tcMar>
          </w:tcPr>
          <w:p w:rsidR="00393A06" w:rsidRPr="00337D56" w:rsidRDefault="00393A06" w:rsidP="00CD7935">
            <w:pPr>
              <w:suppressAutoHyphens w:val="0"/>
              <w:spacing w:before="60" w:after="60" w:line="240" w:lineRule="auto"/>
            </w:pPr>
          </w:p>
        </w:tc>
        <w:tc>
          <w:tcPr>
            <w:tcW w:w="761" w:type="pct"/>
            <w:tcBorders>
              <w:left w:val="single" w:sz="4" w:space="0" w:color="auto"/>
            </w:tcBorders>
            <w:tcMar>
              <w:top w:w="0" w:type="dxa"/>
              <w:bottom w:w="0" w:type="dxa"/>
            </w:tcMar>
          </w:tcPr>
          <w:p w:rsidR="00393A06" w:rsidRPr="00337D56" w:rsidRDefault="00393A06" w:rsidP="00CD7935">
            <w:pPr>
              <w:rPr>
                <w:bCs/>
              </w:rPr>
            </w:pPr>
          </w:p>
        </w:tc>
        <w:tc>
          <w:tcPr>
            <w:tcW w:w="973" w:type="pct"/>
            <w:tcMar>
              <w:top w:w="0" w:type="dxa"/>
              <w:bottom w:w="0" w:type="dxa"/>
            </w:tcMar>
          </w:tcPr>
          <w:p w:rsidR="00393A06" w:rsidRPr="00337D56" w:rsidRDefault="00393A06" w:rsidP="00CD7935">
            <w:pPr>
              <w:keepLines/>
              <w:rPr>
                <w:bCs/>
              </w:rPr>
            </w:pPr>
          </w:p>
        </w:tc>
      </w:tr>
      <w:tr w:rsidR="00393A06" w:rsidRPr="00337D56" w:rsidTr="00CD7935">
        <w:tc>
          <w:tcPr>
            <w:tcW w:w="314" w:type="pct"/>
            <w:tcBorders>
              <w:top w:val="single" w:sz="6" w:space="0" w:color="auto"/>
              <w:bottom w:val="single" w:sz="6" w:space="0" w:color="auto"/>
            </w:tcBorders>
            <w:tcMar>
              <w:top w:w="0" w:type="dxa"/>
              <w:bottom w:w="0" w:type="dxa"/>
            </w:tcMar>
          </w:tcPr>
          <w:p w:rsidR="00393A06" w:rsidRPr="00337D56" w:rsidRDefault="00393A06" w:rsidP="00CD7935">
            <w:pPr>
              <w:jc w:val="center"/>
              <w:rPr>
                <w:bCs/>
              </w:rPr>
            </w:pPr>
          </w:p>
        </w:tc>
        <w:tc>
          <w:tcPr>
            <w:tcW w:w="406" w:type="pct"/>
            <w:gridSpan w:val="2"/>
            <w:tcBorders>
              <w:top w:val="single" w:sz="6" w:space="0" w:color="auto"/>
              <w:bottom w:val="single" w:sz="6" w:space="0" w:color="auto"/>
            </w:tcBorders>
            <w:tcMar>
              <w:top w:w="0" w:type="dxa"/>
              <w:bottom w:w="0" w:type="dxa"/>
            </w:tcMar>
          </w:tcPr>
          <w:p w:rsidR="00393A06" w:rsidRPr="00337D56" w:rsidRDefault="00393A06" w:rsidP="00CD7935">
            <w:pPr>
              <w:suppressAutoHyphens w:val="0"/>
              <w:spacing w:before="60" w:after="60" w:line="240" w:lineRule="auto"/>
              <w:rPr>
                <w:i/>
              </w:rPr>
            </w:pPr>
          </w:p>
        </w:tc>
        <w:tc>
          <w:tcPr>
            <w:tcW w:w="1783" w:type="pct"/>
            <w:gridSpan w:val="3"/>
            <w:tcBorders>
              <w:top w:val="single" w:sz="6" w:space="0" w:color="auto"/>
              <w:bottom w:val="single" w:sz="6" w:space="0" w:color="auto"/>
            </w:tcBorders>
            <w:tcMar>
              <w:top w:w="0" w:type="dxa"/>
              <w:bottom w:w="0" w:type="dxa"/>
            </w:tcMar>
          </w:tcPr>
          <w:p w:rsidR="00393A06" w:rsidRPr="00337D56" w:rsidRDefault="00393A06" w:rsidP="00CD7935">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393A06" w:rsidRPr="00337D56" w:rsidRDefault="00393A06" w:rsidP="00CD7935"/>
        </w:tc>
        <w:tc>
          <w:tcPr>
            <w:tcW w:w="761" w:type="pct"/>
            <w:tcBorders>
              <w:left w:val="single" w:sz="4" w:space="0" w:color="auto"/>
            </w:tcBorders>
            <w:tcMar>
              <w:top w:w="0" w:type="dxa"/>
              <w:bottom w:w="0" w:type="dxa"/>
            </w:tcMar>
          </w:tcPr>
          <w:p w:rsidR="00393A06" w:rsidRPr="00337D56" w:rsidRDefault="00393A06" w:rsidP="00CD7935">
            <w:pPr>
              <w:rPr>
                <w:bCs/>
              </w:rPr>
            </w:pPr>
          </w:p>
        </w:tc>
        <w:tc>
          <w:tcPr>
            <w:tcW w:w="973" w:type="pct"/>
            <w:tcMar>
              <w:top w:w="0" w:type="dxa"/>
              <w:bottom w:w="0" w:type="dxa"/>
            </w:tcMar>
          </w:tcPr>
          <w:p w:rsidR="00393A06" w:rsidRPr="00337D56" w:rsidRDefault="00393A06" w:rsidP="00CD7935">
            <w:pPr>
              <w:keepLines/>
              <w:rPr>
                <w:bCs/>
              </w:rPr>
            </w:pPr>
          </w:p>
        </w:tc>
      </w:tr>
      <w:tr w:rsidR="00393A06" w:rsidRPr="00337D56" w:rsidTr="00CD7935">
        <w:trPr>
          <w:trHeight w:val="655"/>
        </w:trPr>
        <w:tc>
          <w:tcPr>
            <w:tcW w:w="714"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408" w:type="pct"/>
            <w:gridSpan w:val="2"/>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76" w:type="pct"/>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p w:rsidR="00393A06" w:rsidRPr="00337D56" w:rsidRDefault="00393A06" w:rsidP="00CD7935">
            <w:pPr>
              <w:keepLines/>
              <w:tabs>
                <w:tab w:val="left" w:pos="6663"/>
              </w:tabs>
              <w:rPr>
                <w:bCs/>
              </w:rPr>
            </w:pPr>
          </w:p>
        </w:tc>
        <w:tc>
          <w:tcPr>
            <w:tcW w:w="2502" w:type="pct"/>
            <w:gridSpan w:val="5"/>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tabs>
                <w:tab w:val="left" w:pos="6663"/>
              </w:tabs>
              <w:rPr>
                <w:bCs/>
              </w:rPr>
            </w:pPr>
          </w:p>
        </w:tc>
      </w:tr>
    </w:tbl>
    <w:p w:rsidR="00393A06" w:rsidRPr="00337D56" w:rsidRDefault="00393A06" w:rsidP="00393A06">
      <w:pPr>
        <w:spacing w:before="240" w:after="120"/>
        <w:rPr>
          <w:b/>
          <w:sz w:val="22"/>
          <w:szCs w:val="22"/>
        </w:rPr>
      </w:pPr>
    </w:p>
    <w:p w:rsidR="00393A06" w:rsidRPr="00337D56" w:rsidRDefault="00393A06" w:rsidP="00393A06">
      <w:pPr>
        <w:spacing w:before="240" w:after="120"/>
        <w:rPr>
          <w:b/>
          <w:sz w:val="22"/>
          <w:szCs w:val="22"/>
        </w:rPr>
      </w:pPr>
    </w:p>
    <w:p w:rsidR="00393A06" w:rsidRPr="00337D56" w:rsidRDefault="00393A06" w:rsidP="00393A06">
      <w:pPr>
        <w:spacing w:before="240" w:after="120"/>
        <w:rPr>
          <w:b/>
          <w:sz w:val="22"/>
          <w:szCs w:val="22"/>
        </w:rPr>
      </w:pPr>
    </w:p>
    <w:p w:rsidR="00393A06" w:rsidRPr="00337D56" w:rsidRDefault="00393A06" w:rsidP="00393A06">
      <w:pPr>
        <w:spacing w:before="240" w:after="120"/>
        <w:rPr>
          <w:b/>
          <w:sz w:val="22"/>
          <w:szCs w:val="22"/>
        </w:rPr>
      </w:pPr>
    </w:p>
    <w:p w:rsidR="00393A06" w:rsidRPr="00337D56" w:rsidRDefault="00393A06" w:rsidP="00393A06">
      <w:pPr>
        <w:spacing w:before="240" w:after="120"/>
        <w:rPr>
          <w:b/>
          <w:sz w:val="22"/>
          <w:szCs w:val="22"/>
        </w:rPr>
      </w:pPr>
    </w:p>
    <w:p w:rsidR="00393A06" w:rsidRPr="00337D56" w:rsidRDefault="00393A06" w:rsidP="00393A06">
      <w:pPr>
        <w:spacing w:before="240" w:after="120"/>
        <w:rPr>
          <w:b/>
          <w:sz w:val="22"/>
          <w:szCs w:val="22"/>
        </w:rPr>
      </w:pPr>
    </w:p>
    <w:p w:rsidR="00393A06" w:rsidRPr="00337D56" w:rsidRDefault="00393A06" w:rsidP="00393A06">
      <w:pPr>
        <w:spacing w:before="240" w:after="120"/>
        <w:rPr>
          <w:b/>
          <w:sz w:val="22"/>
          <w:szCs w:val="22"/>
        </w:rPr>
      </w:pPr>
    </w:p>
    <w:p w:rsidR="00393A06" w:rsidRPr="00337D56" w:rsidRDefault="00393A06" w:rsidP="00393A06">
      <w:pPr>
        <w:spacing w:before="240" w:after="120"/>
        <w:rPr>
          <w:b/>
          <w:sz w:val="22"/>
          <w:szCs w:val="22"/>
        </w:rPr>
      </w:pPr>
    </w:p>
    <w:p w:rsidR="00393A06" w:rsidRPr="00393A06" w:rsidRDefault="00393A06" w:rsidP="00393A06">
      <w:pPr>
        <w:spacing w:before="240" w:after="120"/>
        <w:rPr>
          <w:b/>
          <w:sz w:val="22"/>
          <w:szCs w:val="22"/>
          <w:lang w:val="en-US"/>
        </w:rPr>
      </w:pPr>
      <w:r w:rsidRPr="00393A06">
        <w:rPr>
          <w:b/>
          <w:sz w:val="22"/>
          <w:szCs w:val="22"/>
          <w:lang w:val="en-US"/>
        </w:rPr>
        <w:t>B.</w:t>
      </w:r>
      <w:r w:rsidRPr="00393A06">
        <w:rPr>
          <w:b/>
          <w:sz w:val="22"/>
          <w:szCs w:val="22"/>
          <w:lang w:val="en-US"/>
        </w:rPr>
        <w:tab/>
        <w:t>Standards at Stage 3 or 4: Submitted for Formal vote or Published</w:t>
      </w:r>
    </w:p>
    <w:p w:rsidR="00393A06" w:rsidRPr="00337D56" w:rsidRDefault="00393A06" w:rsidP="00393A06">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393A06" w:rsidRPr="009E7975" w:rsidTr="00CD793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393A06" w:rsidRPr="00337D56" w:rsidRDefault="00393A06" w:rsidP="00CD7935">
            <w:pPr>
              <w:jc w:val="center"/>
              <w:rPr>
                <w:b/>
                <w:iCs/>
              </w:rPr>
            </w:pPr>
            <w:proofErr w:type="spellStart"/>
            <w:r w:rsidRPr="00337D56">
              <w:rPr>
                <w:b/>
                <w:iCs/>
              </w:rPr>
              <w:t>FprEN</w:t>
            </w:r>
            <w:proofErr w:type="spellEnd"/>
            <w:r w:rsidRPr="00337D56">
              <w:rPr>
                <w:b/>
                <w:iCs/>
              </w:rPr>
              <w:t xml:space="preserve"> 17339</w:t>
            </w:r>
          </w:p>
        </w:tc>
        <w:tc>
          <w:tcPr>
            <w:tcW w:w="1782" w:type="pct"/>
            <w:gridSpan w:val="3"/>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b/>
                <w:iCs/>
                <w:lang w:val="en-US"/>
              </w:rPr>
            </w:pPr>
            <w:r w:rsidRPr="00393A06">
              <w:rPr>
                <w:b/>
                <w:iCs/>
                <w:lang w:val="en-US"/>
              </w:rPr>
              <w:t>Transportable gas cylinders - Fully wrapped carbon composite cylinders and tubes for hydrogen</w:t>
            </w:r>
          </w:p>
        </w:tc>
        <w:tc>
          <w:tcPr>
            <w:tcW w:w="764" w:type="pct"/>
            <w:gridSpan w:val="2"/>
            <w:vMerge w:val="restart"/>
            <w:tcBorders>
              <w:top w:val="single" w:sz="12" w:space="0" w:color="auto"/>
            </w:tcBorders>
            <w:shd w:val="clear" w:color="auto" w:fill="F3F3F3"/>
            <w:tcMar>
              <w:top w:w="28" w:type="dxa"/>
              <w:bottom w:w="28" w:type="dxa"/>
            </w:tcMar>
          </w:tcPr>
          <w:p w:rsidR="00393A06" w:rsidRPr="00337D56" w:rsidRDefault="00393A06" w:rsidP="00CD7935">
            <w:pPr>
              <w:pStyle w:val="NoteHead"/>
              <w:spacing w:before="0" w:after="0"/>
              <w:rPr>
                <w:rFonts w:eastAsia="Batang"/>
                <w:bCs/>
                <w:smallCaps w:val="0"/>
                <w:sz w:val="20"/>
              </w:rPr>
            </w:pPr>
            <w:r w:rsidRPr="00337D56">
              <w:rPr>
                <w:bCs/>
                <w:smallCaps w:val="0"/>
                <w:sz w:val="20"/>
              </w:rPr>
              <w:t>Where to refer in RID/ADR</w:t>
            </w:r>
          </w:p>
          <w:p w:rsidR="00393A06" w:rsidRPr="00337D56" w:rsidRDefault="00393A06" w:rsidP="00CD7935">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rFonts w:ascii="(Asiatische Schriftart verwende" w:hAnsi="(Asiatische Schriftart verwende"/>
                <w:b/>
                <w:lang w:val="en-US"/>
              </w:rPr>
            </w:pPr>
            <w:r w:rsidRPr="00393A06">
              <w:rPr>
                <w:rFonts w:ascii="(Asiatische Schriftart verwende" w:hAnsi="(Asiatische Schriftart verwende"/>
                <w:b/>
                <w:lang w:val="en-US"/>
              </w:rPr>
              <w:t>Applicable sub-sections and paragraphs:</w:t>
            </w:r>
          </w:p>
          <w:p w:rsidR="00393A06" w:rsidRPr="00393A06" w:rsidRDefault="00393A06" w:rsidP="00CD7935">
            <w:pPr>
              <w:jc w:val="center"/>
              <w:rPr>
                <w:rFonts w:ascii="(Asiatische Schriftart verwende" w:hAnsi="(Asiatische Schriftart verwende"/>
                <w:b/>
                <w:lang w:val="en-US"/>
              </w:rPr>
            </w:pPr>
            <w:r w:rsidRPr="00393A06">
              <w:rPr>
                <w:rFonts w:ascii="(Asiatische Schriftart verwende" w:hAnsi="(Asiatische Schriftart verwende"/>
                <w:b/>
                <w:lang w:val="en-US"/>
              </w:rPr>
              <w:t>6.2.3.1 and 6.2.3.4</w:t>
            </w:r>
          </w:p>
        </w:tc>
      </w:tr>
      <w:tr w:rsidR="00393A06" w:rsidRPr="00337D56" w:rsidTr="00CD793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00023203</w:t>
            </w:r>
          </w:p>
        </w:tc>
        <w:tc>
          <w:tcPr>
            <w:tcW w:w="1782" w:type="pct"/>
            <w:gridSpan w:val="3"/>
            <w:vMerge/>
            <w:tcBorders>
              <w:bottom w:val="single" w:sz="6" w:space="0" w:color="auto"/>
            </w:tcBorders>
            <w:shd w:val="clear" w:color="auto" w:fill="F3F3F3"/>
            <w:tcMar>
              <w:top w:w="28" w:type="dxa"/>
              <w:bottom w:w="28" w:type="dxa"/>
            </w:tcMar>
          </w:tcPr>
          <w:p w:rsidR="00393A06" w:rsidRPr="00337D56" w:rsidRDefault="00393A06" w:rsidP="00CD793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c>
          <w:tcPr>
            <w:tcW w:w="5000" w:type="pct"/>
            <w:gridSpan w:val="10"/>
            <w:tcBorders>
              <w:top w:val="single" w:sz="6" w:space="0" w:color="auto"/>
            </w:tcBorders>
            <w:shd w:val="clear" w:color="auto" w:fill="auto"/>
          </w:tcPr>
          <w:p w:rsidR="00393A06" w:rsidRPr="00393A06" w:rsidRDefault="00393A06" w:rsidP="00CD7935">
            <w:pPr>
              <w:tabs>
                <w:tab w:val="num" w:pos="1134"/>
              </w:tabs>
              <w:jc w:val="both"/>
              <w:rPr>
                <w:rFonts w:eastAsia="MS Mincho"/>
                <w:lang w:val="en-US" w:eastAsia="ja-JP"/>
              </w:rPr>
            </w:pPr>
            <w:r w:rsidRPr="00393A06">
              <w:rPr>
                <w:lang w:val="en-US"/>
              </w:rPr>
              <w:t>Positive assessment by the JMSA: This standard is compliant with the ADR and can be approved for inclusion in the referenced standards.</w:t>
            </w:r>
          </w:p>
        </w:tc>
      </w:tr>
      <w:tr w:rsidR="00393A06" w:rsidRPr="009E7975" w:rsidTr="00CD7935">
        <w:trPr>
          <w:trHeight w:val="160"/>
        </w:trPr>
        <w:tc>
          <w:tcPr>
            <w:tcW w:w="5000" w:type="pct"/>
            <w:gridSpan w:val="10"/>
            <w:shd w:val="clear" w:color="auto" w:fill="auto"/>
          </w:tcPr>
          <w:p w:rsidR="00393A06" w:rsidRPr="00393A06" w:rsidRDefault="00393A06" w:rsidP="00CD7935">
            <w:pPr>
              <w:rPr>
                <w:lang w:val="en-US"/>
              </w:rPr>
            </w:pPr>
            <w:r w:rsidRPr="00393A06">
              <w:rPr>
                <w:lang w:val="en-US"/>
              </w:rPr>
              <w:t>Enquiry draft discussed by STD’s WG in March 2019 and again in September 2019 to discuss previous opinion on non-conformity</w:t>
            </w:r>
          </w:p>
        </w:tc>
      </w:tr>
      <w:tr w:rsidR="00393A06" w:rsidRPr="009E7975" w:rsidTr="00CD7935">
        <w:trPr>
          <w:trHeight w:val="160"/>
        </w:trPr>
        <w:tc>
          <w:tcPr>
            <w:tcW w:w="5000" w:type="pct"/>
            <w:gridSpan w:val="10"/>
            <w:shd w:val="clear" w:color="auto" w:fill="auto"/>
          </w:tcPr>
          <w:p w:rsidR="00393A06" w:rsidRPr="00393A06" w:rsidRDefault="00393A06" w:rsidP="00CD7935">
            <w:pPr>
              <w:rPr>
                <w:b/>
                <w:iCs/>
                <w:lang w:val="en-US"/>
              </w:rPr>
            </w:pPr>
            <w:r w:rsidRPr="00393A06">
              <w:rPr>
                <w:b/>
                <w:iCs/>
                <w:lang w:val="en-US"/>
              </w:rPr>
              <w:t>Comments from members of the Joint Meeting</w:t>
            </w:r>
            <w:r w:rsidRPr="00393A06">
              <w:rPr>
                <w:b/>
                <w:lang w:val="en-US"/>
              </w:rPr>
              <w:t>:</w:t>
            </w:r>
          </w:p>
        </w:tc>
      </w:tr>
      <w:tr w:rsidR="00393A06" w:rsidRPr="00337D56" w:rsidTr="00CD7935">
        <w:tc>
          <w:tcPr>
            <w:tcW w:w="331" w:type="pct"/>
            <w:shd w:val="clear" w:color="auto" w:fill="auto"/>
            <w:tcMar>
              <w:top w:w="57" w:type="dxa"/>
              <w:bottom w:w="57" w:type="dxa"/>
            </w:tcMar>
          </w:tcPr>
          <w:p w:rsidR="00393A06" w:rsidRPr="00337D56" w:rsidRDefault="00393A06" w:rsidP="00CD7935">
            <w:pPr>
              <w:jc w:val="center"/>
            </w:pPr>
            <w:r w:rsidRPr="00337D56">
              <w:t>Country</w:t>
            </w:r>
          </w:p>
        </w:tc>
        <w:tc>
          <w:tcPr>
            <w:tcW w:w="380" w:type="pct"/>
            <w:gridSpan w:val="2"/>
            <w:shd w:val="clear" w:color="auto" w:fill="auto"/>
            <w:tcMar>
              <w:top w:w="57" w:type="dxa"/>
              <w:bottom w:w="57" w:type="dxa"/>
            </w:tcMar>
          </w:tcPr>
          <w:p w:rsidR="00393A06" w:rsidRPr="00337D56" w:rsidRDefault="00393A06" w:rsidP="00CD7935">
            <w:pPr>
              <w:jc w:val="center"/>
            </w:pPr>
            <w:r w:rsidRPr="00337D56">
              <w:t>Clause No.</w:t>
            </w:r>
          </w:p>
        </w:tc>
        <w:tc>
          <w:tcPr>
            <w:tcW w:w="1779" w:type="pct"/>
            <w:gridSpan w:val="3"/>
            <w:shd w:val="clear" w:color="auto" w:fill="auto"/>
            <w:tcMar>
              <w:top w:w="57" w:type="dxa"/>
              <w:bottom w:w="57" w:type="dxa"/>
            </w:tcMar>
          </w:tcPr>
          <w:p w:rsidR="00393A06" w:rsidRPr="00337D56" w:rsidRDefault="00393A06" w:rsidP="00CD7935">
            <w:pPr>
              <w:jc w:val="center"/>
            </w:pPr>
            <w:r w:rsidRPr="00337D56">
              <w:t xml:space="preserve">Comment (justification for change) </w:t>
            </w:r>
          </w:p>
        </w:tc>
        <w:tc>
          <w:tcPr>
            <w:tcW w:w="762" w:type="pct"/>
            <w:gridSpan w:val="2"/>
            <w:shd w:val="clear" w:color="auto" w:fill="auto"/>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875" w:type="pct"/>
            <w:shd w:val="clear" w:color="auto" w:fill="auto"/>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JMSA</w:t>
            </w:r>
          </w:p>
        </w:tc>
        <w:tc>
          <w:tcPr>
            <w:tcW w:w="873" w:type="pct"/>
            <w:shd w:val="clear" w:color="auto" w:fill="auto"/>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WG Standards</w:t>
            </w: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380" w:type="pct"/>
            <w:gridSpan w:val="2"/>
            <w:shd w:val="clear" w:color="auto" w:fill="auto"/>
            <w:tcMar>
              <w:top w:w="57" w:type="dxa"/>
              <w:bottom w:w="57" w:type="dxa"/>
            </w:tcMar>
          </w:tcPr>
          <w:p w:rsidR="00393A06" w:rsidRPr="00337D56" w:rsidRDefault="00393A06" w:rsidP="00CD7935">
            <w:pPr>
              <w:spacing w:line="240" w:lineRule="auto"/>
              <w:rPr>
                <w:bCs/>
              </w:rPr>
            </w:pPr>
          </w:p>
        </w:tc>
        <w:tc>
          <w:tcPr>
            <w:tcW w:w="1779"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3"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380" w:type="pct"/>
            <w:gridSpan w:val="2"/>
            <w:shd w:val="clear" w:color="auto" w:fill="auto"/>
            <w:tcMar>
              <w:top w:w="57" w:type="dxa"/>
              <w:bottom w:w="57" w:type="dxa"/>
            </w:tcMar>
          </w:tcPr>
          <w:p w:rsidR="00393A06" w:rsidRPr="00337D56" w:rsidRDefault="00393A06" w:rsidP="00CD7935">
            <w:pPr>
              <w:spacing w:line="240" w:lineRule="auto"/>
              <w:rPr>
                <w:bCs/>
              </w:rPr>
            </w:pPr>
          </w:p>
        </w:tc>
        <w:tc>
          <w:tcPr>
            <w:tcW w:w="1779"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3"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72" w:type="pct"/>
            <w:gridSpan w:val="2"/>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393A06" w:rsidRPr="009E7975" w:rsidTr="00CD7935">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roofErr w:type="spellStart"/>
                  <w:r w:rsidRPr="00337D56">
                    <w:rPr>
                      <w:bCs/>
                    </w:rPr>
                    <w:t>Proposed</w:t>
                  </w:r>
                  <w:proofErr w:type="spellEnd"/>
                  <w:r w:rsidRPr="00337D56">
                    <w:rPr>
                      <w:bCs/>
                    </w:rPr>
                    <w:t xml:space="preserve"> transition </w:t>
                  </w:r>
                  <w:proofErr w:type="spellStart"/>
                  <w:r w:rsidRPr="00337D56">
                    <w:rPr>
                      <w:bCs/>
                    </w:rPr>
                    <w:t>regulation</w:t>
                  </w:r>
                  <w:proofErr w:type="spellEnd"/>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Latest date for withdrawal of existing type approvals</w:t>
                  </w: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EN </w:t>
                  </w:r>
                  <w:proofErr w:type="gramStart"/>
                  <w:r w:rsidRPr="00337D56">
                    <w:rPr>
                      <w:bCs/>
                    </w:rPr>
                    <w:t>17339:</w:t>
                  </w:r>
                  <w:proofErr w:type="gramEnd"/>
                  <w:r w:rsidRPr="00337D56">
                    <w:rPr>
                      <w:bCs/>
                    </w:rPr>
                    <w:t>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roofErr w:type="spellStart"/>
                  <w:r w:rsidRPr="00337D56">
                    <w:rPr>
                      <w:bCs/>
                    </w:rPr>
                    <w:t>Mandatorily</w:t>
                  </w:r>
                  <w:proofErr w:type="spellEnd"/>
                  <w:r w:rsidRPr="00337D56">
                    <w:rPr>
                      <w:bCs/>
                    </w:rPr>
                    <w:t xml:space="preserve"> </w:t>
                  </w:r>
                  <w:proofErr w:type="spellStart"/>
                  <w:r w:rsidRPr="00337D56">
                    <w:rPr>
                      <w:bCs/>
                    </w:rPr>
                    <w:t>from</w:t>
                  </w:r>
                  <w:proofErr w:type="spellEnd"/>
                  <w:r w:rsidRPr="00337D56">
                    <w:rPr>
                      <w:bCs/>
                    </w:rPr>
                    <w:t xml:space="preserve"> 1 </w:t>
                  </w:r>
                  <w:proofErr w:type="spellStart"/>
                  <w:r w:rsidRPr="00337D56">
                    <w:rPr>
                      <w:bCs/>
                    </w:rPr>
                    <w:t>January</w:t>
                  </w:r>
                  <w:proofErr w:type="spellEnd"/>
                  <w:r w:rsidRPr="00337D56">
                    <w:rPr>
                      <w:bCs/>
                    </w:rPr>
                    <w:t xml:space="preserve"> 2025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roofErr w:type="spellStart"/>
                  <w:r w:rsidRPr="00337D56">
                    <w:rPr>
                      <w:bCs/>
                    </w:rPr>
                    <w:t>Until</w:t>
                  </w:r>
                  <w:proofErr w:type="spellEnd"/>
                  <w:r w:rsidRPr="00337D56">
                    <w:rPr>
                      <w:bCs/>
                    </w:rPr>
                    <w:t xml:space="preserve"> </w:t>
                  </w:r>
                  <w:proofErr w:type="spellStart"/>
                  <w:r w:rsidRPr="00337D56">
                    <w:rPr>
                      <w:bCs/>
                    </w:rPr>
                    <w:t>further</w:t>
                  </w:r>
                  <w:proofErr w:type="spellEnd"/>
                  <w:r w:rsidRPr="00337D56">
                    <w:rPr>
                      <w:bCs/>
                    </w:rPr>
                    <w:t xml:space="preserve"> notice</w:t>
                  </w: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r>
          </w:tbl>
          <w:p w:rsidR="00393A06" w:rsidRPr="00337D56" w:rsidRDefault="00393A06" w:rsidP="00CD7935">
            <w:pPr>
              <w:keepLines/>
              <w:tabs>
                <w:tab w:val="left" w:pos="6663"/>
              </w:tabs>
              <w:rPr>
                <w:bCs/>
              </w:rPr>
            </w:pPr>
          </w:p>
        </w:tc>
      </w:tr>
    </w:tbl>
    <w:p w:rsidR="00393A06" w:rsidRPr="00337D56" w:rsidRDefault="00393A06" w:rsidP="00393A06">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393A06" w:rsidRPr="00337D56" w:rsidTr="00CD7935">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rsidR="00393A06" w:rsidRPr="00337D56" w:rsidRDefault="00393A06" w:rsidP="00CD7935">
            <w:pPr>
              <w:jc w:val="center"/>
              <w:rPr>
                <w:b/>
                <w:iCs/>
              </w:rPr>
            </w:pPr>
            <w:proofErr w:type="spellStart"/>
            <w:r w:rsidRPr="00337D56">
              <w:rPr>
                <w:b/>
                <w:iCs/>
              </w:rPr>
              <w:t>FprEN</w:t>
            </w:r>
            <w:proofErr w:type="spellEnd"/>
            <w:r w:rsidRPr="00337D56">
              <w:rPr>
                <w:b/>
                <w:iCs/>
              </w:rPr>
              <w:t xml:space="preserve"> ISO 11114-1</w:t>
            </w:r>
          </w:p>
        </w:tc>
        <w:tc>
          <w:tcPr>
            <w:tcW w:w="1703" w:type="pct"/>
            <w:gridSpan w:val="2"/>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b/>
                <w:iCs/>
                <w:lang w:val="en-US"/>
              </w:rPr>
            </w:pPr>
            <w:r w:rsidRPr="00393A06">
              <w:rPr>
                <w:b/>
                <w:iCs/>
                <w:lang w:val="en-US"/>
              </w:rPr>
              <w:t>Gas cylinders - Compatibility of cylinder and valve materials with gas contents - Part 1: Metallic materials (ISO/FDIS 11114-1:2020)</w:t>
            </w:r>
          </w:p>
        </w:tc>
        <w:tc>
          <w:tcPr>
            <w:tcW w:w="764" w:type="pct"/>
            <w:gridSpan w:val="2"/>
            <w:vMerge w:val="restart"/>
            <w:tcBorders>
              <w:top w:val="single" w:sz="12" w:space="0" w:color="auto"/>
            </w:tcBorders>
            <w:shd w:val="clear" w:color="auto" w:fill="F3F3F3"/>
            <w:tcMar>
              <w:top w:w="28" w:type="dxa"/>
              <w:bottom w:w="28" w:type="dxa"/>
            </w:tcMar>
          </w:tcPr>
          <w:p w:rsidR="00393A06" w:rsidRPr="00337D56" w:rsidRDefault="00393A06" w:rsidP="00CD7935">
            <w:pPr>
              <w:pStyle w:val="NoteHead"/>
              <w:spacing w:before="0" w:after="0"/>
              <w:rPr>
                <w:rFonts w:eastAsia="Batang"/>
                <w:bCs/>
                <w:smallCaps w:val="0"/>
                <w:sz w:val="20"/>
              </w:rPr>
            </w:pPr>
            <w:r w:rsidRPr="00337D56">
              <w:rPr>
                <w:bCs/>
                <w:smallCaps w:val="0"/>
                <w:sz w:val="20"/>
              </w:rPr>
              <w:t>Where to refer in RID/ADR</w:t>
            </w:r>
          </w:p>
          <w:p w:rsidR="00393A06" w:rsidRPr="00337D56" w:rsidRDefault="00393A06" w:rsidP="00CD7935">
            <w:pPr>
              <w:jc w:val="center"/>
              <w:rPr>
                <w:b/>
              </w:rPr>
            </w:pPr>
            <w:r w:rsidRPr="00337D56">
              <w:rPr>
                <w:b/>
              </w:rPr>
              <w:t>4.1.6.15</w:t>
            </w:r>
          </w:p>
        </w:tc>
        <w:tc>
          <w:tcPr>
            <w:tcW w:w="1753" w:type="pct"/>
            <w:gridSpan w:val="3"/>
            <w:vMerge w:val="restart"/>
            <w:tcBorders>
              <w:top w:val="single" w:sz="12" w:space="0" w:color="auto"/>
            </w:tcBorders>
            <w:shd w:val="clear" w:color="auto" w:fill="F3F3F3"/>
            <w:tcMar>
              <w:top w:w="28" w:type="dxa"/>
              <w:bottom w:w="28" w:type="dxa"/>
            </w:tcMar>
          </w:tcPr>
          <w:p w:rsidR="00393A06" w:rsidRPr="00337D56" w:rsidRDefault="00393A06" w:rsidP="00CD7935">
            <w:pPr>
              <w:jc w:val="center"/>
              <w:rPr>
                <w:rFonts w:ascii="(Asiatische Schriftart verwende" w:hAnsi="(Asiatische Schriftart verwende"/>
                <w:b/>
              </w:rPr>
            </w:pPr>
            <w:r w:rsidRPr="00337D56">
              <w:rPr>
                <w:rFonts w:ascii="(Asiatische Schriftart verwende" w:hAnsi="(Asiatische Schriftart verwende"/>
                <w:b/>
              </w:rPr>
              <w:t xml:space="preserve">Applicable </w:t>
            </w:r>
            <w:proofErr w:type="spellStart"/>
            <w:r w:rsidRPr="00337D56">
              <w:rPr>
                <w:rFonts w:ascii="(Asiatische Schriftart verwende" w:hAnsi="(Asiatische Schriftart verwende"/>
                <w:b/>
              </w:rPr>
              <w:t>sub</w:t>
            </w:r>
            <w:proofErr w:type="spellEnd"/>
            <w:r w:rsidRPr="00337D56">
              <w:rPr>
                <w:rFonts w:ascii="(Asiatische Schriftart verwende" w:hAnsi="(Asiatische Schriftart verwende"/>
                <w:b/>
              </w:rPr>
              <w:t xml:space="preserve">-sections and </w:t>
            </w:r>
            <w:proofErr w:type="spellStart"/>
            <w:proofErr w:type="gramStart"/>
            <w:r w:rsidRPr="00337D56">
              <w:rPr>
                <w:rFonts w:ascii="(Asiatische Schriftart verwende" w:hAnsi="(Asiatische Schriftart verwende"/>
                <w:b/>
              </w:rPr>
              <w:t>paragraphs</w:t>
            </w:r>
            <w:proofErr w:type="spellEnd"/>
            <w:r w:rsidRPr="00337D56">
              <w:rPr>
                <w:rFonts w:ascii="(Asiatische Schriftart verwende" w:hAnsi="(Asiatische Schriftart verwende"/>
                <w:b/>
              </w:rPr>
              <w:t>:</w:t>
            </w:r>
            <w:proofErr w:type="gramEnd"/>
          </w:p>
          <w:p w:rsidR="00393A06" w:rsidRPr="00337D56" w:rsidRDefault="00393A06" w:rsidP="00CD7935">
            <w:pPr>
              <w:jc w:val="center"/>
              <w:rPr>
                <w:rFonts w:ascii="(Asiatische Schriftart verwende" w:hAnsi="(Asiatische Schriftart verwende"/>
                <w:b/>
              </w:rPr>
            </w:pPr>
            <w:r w:rsidRPr="00337D56">
              <w:rPr>
                <w:rFonts w:ascii="(Asiatische Schriftart verwende" w:hAnsi="(Asiatische Schriftart verwende"/>
                <w:b/>
              </w:rPr>
              <w:t>4.1.6.2</w:t>
            </w:r>
          </w:p>
        </w:tc>
      </w:tr>
      <w:tr w:rsidR="00393A06" w:rsidRPr="00337D56" w:rsidTr="00CD7935">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00023210</w:t>
            </w:r>
          </w:p>
        </w:tc>
        <w:tc>
          <w:tcPr>
            <w:tcW w:w="1703" w:type="pct"/>
            <w:gridSpan w:val="2"/>
            <w:vMerge/>
            <w:tcBorders>
              <w:bottom w:val="single" w:sz="6" w:space="0" w:color="auto"/>
            </w:tcBorders>
            <w:shd w:val="clear" w:color="auto" w:fill="F3F3F3"/>
            <w:tcMar>
              <w:top w:w="28" w:type="dxa"/>
              <w:bottom w:w="28" w:type="dxa"/>
            </w:tcMar>
          </w:tcPr>
          <w:p w:rsidR="00393A06" w:rsidRPr="00337D56" w:rsidRDefault="00393A06" w:rsidP="00CD793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c>
          <w:tcPr>
            <w:tcW w:w="5000" w:type="pct"/>
            <w:gridSpan w:val="9"/>
            <w:tcBorders>
              <w:top w:val="single" w:sz="6" w:space="0" w:color="auto"/>
            </w:tcBorders>
            <w:shd w:val="clear" w:color="auto" w:fill="auto"/>
          </w:tcPr>
          <w:p w:rsidR="00393A06" w:rsidRPr="00393A06" w:rsidRDefault="00393A06" w:rsidP="00CD7935">
            <w:pPr>
              <w:tabs>
                <w:tab w:val="num" w:pos="1134"/>
              </w:tabs>
              <w:jc w:val="both"/>
              <w:rPr>
                <w:rFonts w:eastAsia="MS Mincho"/>
                <w:lang w:val="en-US" w:eastAsia="ja-JP"/>
              </w:rPr>
            </w:pPr>
            <w:r w:rsidRPr="00393A06">
              <w:rPr>
                <w:rFonts w:eastAsia="MS Mincho"/>
                <w:lang w:val="en-US" w:eastAsia="ja-JP"/>
              </w:rPr>
              <w:t>Positive Assessment by the JMSA: This standard is compliant with the ADR and can be approved for inclusion in the referenced standards.</w:t>
            </w:r>
          </w:p>
        </w:tc>
      </w:tr>
      <w:tr w:rsidR="00393A06" w:rsidRPr="009E7975" w:rsidTr="00CD7935">
        <w:trPr>
          <w:trHeight w:val="160"/>
        </w:trPr>
        <w:tc>
          <w:tcPr>
            <w:tcW w:w="5000" w:type="pct"/>
            <w:gridSpan w:val="9"/>
            <w:shd w:val="clear" w:color="auto" w:fill="auto"/>
          </w:tcPr>
          <w:p w:rsidR="00393A06" w:rsidRPr="00393A06" w:rsidRDefault="00393A06" w:rsidP="00CD7935">
            <w:pPr>
              <w:rPr>
                <w:lang w:val="en-US"/>
              </w:rPr>
            </w:pPr>
            <w:r w:rsidRPr="00393A06">
              <w:rPr>
                <w:lang w:val="en-US"/>
              </w:rPr>
              <w:t>Enquiry draft discussed by STD’s WG in September 2019 - accepted</w:t>
            </w:r>
          </w:p>
        </w:tc>
      </w:tr>
      <w:tr w:rsidR="00393A06" w:rsidRPr="009E7975" w:rsidTr="00CD7935">
        <w:trPr>
          <w:trHeight w:val="160"/>
        </w:trPr>
        <w:tc>
          <w:tcPr>
            <w:tcW w:w="5000" w:type="pct"/>
            <w:gridSpan w:val="9"/>
            <w:shd w:val="clear" w:color="auto" w:fill="auto"/>
          </w:tcPr>
          <w:p w:rsidR="00393A06" w:rsidRPr="00393A06" w:rsidRDefault="00393A06" w:rsidP="00CD7935">
            <w:pPr>
              <w:rPr>
                <w:b/>
                <w:iCs/>
                <w:lang w:val="en-US"/>
              </w:rPr>
            </w:pPr>
            <w:r w:rsidRPr="00393A06">
              <w:rPr>
                <w:b/>
                <w:iCs/>
                <w:lang w:val="en-US"/>
              </w:rPr>
              <w:t>Comments from members of the Joint Meeting</w:t>
            </w:r>
            <w:r w:rsidRPr="00393A06">
              <w:rPr>
                <w:b/>
                <w:lang w:val="en-US"/>
              </w:rPr>
              <w:t>:</w:t>
            </w:r>
          </w:p>
        </w:tc>
      </w:tr>
      <w:tr w:rsidR="00393A06" w:rsidRPr="00337D56" w:rsidTr="00CD7935">
        <w:tc>
          <w:tcPr>
            <w:tcW w:w="331" w:type="pct"/>
            <w:shd w:val="clear" w:color="auto" w:fill="auto"/>
            <w:tcMar>
              <w:top w:w="57" w:type="dxa"/>
              <w:bottom w:w="57" w:type="dxa"/>
            </w:tcMar>
          </w:tcPr>
          <w:p w:rsidR="00393A06" w:rsidRPr="00337D56" w:rsidRDefault="00393A06" w:rsidP="007B40FC">
            <w:pPr>
              <w:keepNext/>
              <w:jc w:val="center"/>
            </w:pPr>
            <w:r w:rsidRPr="00337D56">
              <w:lastRenderedPageBreak/>
              <w:t>Country</w:t>
            </w:r>
          </w:p>
        </w:tc>
        <w:tc>
          <w:tcPr>
            <w:tcW w:w="449" w:type="pct"/>
            <w:shd w:val="clear" w:color="auto" w:fill="auto"/>
            <w:tcMar>
              <w:top w:w="57" w:type="dxa"/>
              <w:bottom w:w="57" w:type="dxa"/>
            </w:tcMar>
          </w:tcPr>
          <w:p w:rsidR="00393A06" w:rsidRPr="00337D56" w:rsidRDefault="00393A06" w:rsidP="00CD7935">
            <w:pPr>
              <w:jc w:val="center"/>
            </w:pPr>
            <w:r w:rsidRPr="00337D56">
              <w:t>Clause No.</w:t>
            </w:r>
          </w:p>
        </w:tc>
        <w:tc>
          <w:tcPr>
            <w:tcW w:w="1711" w:type="pct"/>
            <w:gridSpan w:val="3"/>
            <w:shd w:val="clear" w:color="auto" w:fill="auto"/>
            <w:tcMar>
              <w:top w:w="57" w:type="dxa"/>
              <w:bottom w:w="57" w:type="dxa"/>
            </w:tcMar>
          </w:tcPr>
          <w:p w:rsidR="00393A06" w:rsidRPr="00337D56" w:rsidRDefault="00393A06" w:rsidP="00CD7935">
            <w:pPr>
              <w:jc w:val="center"/>
            </w:pPr>
            <w:r w:rsidRPr="00337D56">
              <w:t xml:space="preserve">Comment (justification for change) </w:t>
            </w:r>
          </w:p>
        </w:tc>
        <w:tc>
          <w:tcPr>
            <w:tcW w:w="762" w:type="pct"/>
            <w:gridSpan w:val="2"/>
            <w:shd w:val="clear" w:color="auto" w:fill="auto"/>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875" w:type="pct"/>
            <w:shd w:val="clear" w:color="auto" w:fill="auto"/>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JMSA</w:t>
            </w:r>
          </w:p>
        </w:tc>
        <w:tc>
          <w:tcPr>
            <w:tcW w:w="872" w:type="pct"/>
            <w:shd w:val="clear" w:color="auto" w:fill="auto"/>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WG Standards</w:t>
            </w: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19" w:type="pct"/>
            <w:gridSpan w:val="2"/>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93A06" w:rsidRPr="009E7975" w:rsidTr="00CD7935">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roofErr w:type="spellStart"/>
                  <w:r w:rsidRPr="00337D56">
                    <w:rPr>
                      <w:bCs/>
                    </w:rPr>
                    <w:t>Proposed</w:t>
                  </w:r>
                  <w:proofErr w:type="spellEnd"/>
                  <w:r w:rsidRPr="00337D56">
                    <w:rPr>
                      <w:bCs/>
                    </w:rPr>
                    <w:t xml:space="preserve"> transition </w:t>
                  </w:r>
                  <w:proofErr w:type="spellStart"/>
                  <w:r w:rsidRPr="00337D56">
                    <w:rPr>
                      <w:bCs/>
                    </w:rPr>
                    <w:t>regulation</w:t>
                  </w:r>
                  <w:proofErr w:type="spellEnd"/>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Latest date for withdrawal of existing type approvals</w:t>
                  </w: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None </w:t>
                  </w:r>
                  <w:proofErr w:type="spellStart"/>
                  <w:r w:rsidRPr="00337D56">
                    <w:rPr>
                      <w:bCs/>
                    </w:rPr>
                    <w:t>required</w:t>
                  </w:r>
                  <w:proofErr w:type="spellEnd"/>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r>
          </w:tbl>
          <w:p w:rsidR="00393A06" w:rsidRPr="00337D56" w:rsidRDefault="00393A06" w:rsidP="00CD7935">
            <w:pPr>
              <w:keepLines/>
              <w:tabs>
                <w:tab w:val="left" w:pos="6663"/>
              </w:tabs>
              <w:rPr>
                <w:bCs/>
              </w:rPr>
            </w:pPr>
          </w:p>
        </w:tc>
      </w:tr>
    </w:tbl>
    <w:p w:rsidR="00393A06" w:rsidRPr="00337D56" w:rsidRDefault="00393A06" w:rsidP="00393A06">
      <w:pPr>
        <w:keepNext/>
        <w:keepLines/>
        <w:spacing w:before="360" w:after="240" w:line="270" w:lineRule="exact"/>
        <w:ind w:right="1134"/>
        <w:rPr>
          <w:b/>
          <w:sz w:val="22"/>
          <w:szCs w:val="22"/>
          <w:u w:val="single"/>
        </w:rPr>
      </w:pPr>
    </w:p>
    <w:p w:rsidR="00393A06" w:rsidRPr="00337D56" w:rsidRDefault="00393A06" w:rsidP="00393A06">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393A06" w:rsidRPr="009E7975" w:rsidTr="00CD7935">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rsidR="00393A06" w:rsidRPr="00337D56" w:rsidRDefault="00393A06" w:rsidP="00CD7935">
            <w:pPr>
              <w:jc w:val="center"/>
              <w:rPr>
                <w:b/>
                <w:iCs/>
              </w:rPr>
            </w:pPr>
            <w:proofErr w:type="spellStart"/>
            <w:r w:rsidRPr="00337D56">
              <w:rPr>
                <w:b/>
                <w:iCs/>
              </w:rPr>
              <w:t>FprEN</w:t>
            </w:r>
            <w:proofErr w:type="spellEnd"/>
            <w:r w:rsidRPr="00337D56">
              <w:rPr>
                <w:b/>
                <w:iCs/>
              </w:rPr>
              <w:t xml:space="preserve"> 13953</w:t>
            </w:r>
          </w:p>
        </w:tc>
        <w:tc>
          <w:tcPr>
            <w:tcW w:w="1703" w:type="pct"/>
            <w:gridSpan w:val="2"/>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b/>
                <w:iCs/>
                <w:lang w:val="en-US"/>
              </w:rPr>
            </w:pPr>
            <w:r w:rsidRPr="00393A06">
              <w:rPr>
                <w:b/>
                <w:iCs/>
                <w:lang w:val="en-US"/>
              </w:rPr>
              <w:t>LPG equipment and accessories - Pressure relief valves for transportable refillable cylinders for Liquefied Petroleum Gas (LPG)</w:t>
            </w:r>
          </w:p>
        </w:tc>
        <w:tc>
          <w:tcPr>
            <w:tcW w:w="764" w:type="pct"/>
            <w:gridSpan w:val="2"/>
            <w:vMerge w:val="restart"/>
            <w:tcBorders>
              <w:top w:val="single" w:sz="12" w:space="0" w:color="auto"/>
            </w:tcBorders>
            <w:shd w:val="clear" w:color="auto" w:fill="F3F3F3"/>
            <w:tcMar>
              <w:top w:w="28" w:type="dxa"/>
              <w:bottom w:w="28" w:type="dxa"/>
            </w:tcMar>
          </w:tcPr>
          <w:p w:rsidR="00393A06" w:rsidRPr="00337D56" w:rsidRDefault="00393A06" w:rsidP="00CD7935">
            <w:pPr>
              <w:pStyle w:val="NoteHead"/>
              <w:spacing w:before="0" w:after="0"/>
              <w:rPr>
                <w:rFonts w:eastAsia="Batang"/>
                <w:bCs/>
                <w:smallCaps w:val="0"/>
                <w:sz w:val="20"/>
              </w:rPr>
            </w:pPr>
            <w:r w:rsidRPr="00337D56">
              <w:rPr>
                <w:bCs/>
                <w:smallCaps w:val="0"/>
                <w:sz w:val="20"/>
              </w:rPr>
              <w:t>Where to refer in RID/ADR</w:t>
            </w:r>
          </w:p>
          <w:p w:rsidR="00393A06" w:rsidRPr="00337D56" w:rsidRDefault="00393A06" w:rsidP="00CD7935">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rFonts w:ascii="(Asiatische Schriftart verwende" w:hAnsi="(Asiatische Schriftart verwende"/>
                <w:b/>
                <w:lang w:val="en-US"/>
              </w:rPr>
            </w:pPr>
            <w:r w:rsidRPr="00393A06">
              <w:rPr>
                <w:rFonts w:ascii="(Asiatische Schriftart verwende" w:hAnsi="(Asiatische Schriftart verwende"/>
                <w:b/>
                <w:lang w:val="en-US"/>
              </w:rPr>
              <w:t>Applicable sub-sections and paragraphs:</w:t>
            </w:r>
          </w:p>
          <w:p w:rsidR="00393A06" w:rsidRPr="00393A06" w:rsidRDefault="00393A06" w:rsidP="00CD7935">
            <w:pPr>
              <w:jc w:val="center"/>
              <w:rPr>
                <w:rFonts w:ascii="(Asiatische Schriftart verwende" w:hAnsi="(Asiatische Schriftart verwende"/>
                <w:b/>
                <w:lang w:val="en-US"/>
              </w:rPr>
            </w:pPr>
            <w:r w:rsidRPr="00393A06">
              <w:rPr>
                <w:b/>
                <w:lang w:val="en-US"/>
              </w:rPr>
              <w:t>6.2.3.1, 6.2.3.3 and 6.2.3.4</w:t>
            </w:r>
          </w:p>
        </w:tc>
      </w:tr>
      <w:tr w:rsidR="00393A06" w:rsidRPr="00337D56" w:rsidTr="00CD7935">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00286195</w:t>
            </w:r>
          </w:p>
        </w:tc>
        <w:tc>
          <w:tcPr>
            <w:tcW w:w="1703" w:type="pct"/>
            <w:gridSpan w:val="2"/>
            <w:vMerge/>
            <w:tcBorders>
              <w:bottom w:val="single" w:sz="6" w:space="0" w:color="auto"/>
            </w:tcBorders>
            <w:shd w:val="clear" w:color="auto" w:fill="F3F3F3"/>
            <w:tcMar>
              <w:top w:w="28" w:type="dxa"/>
              <w:bottom w:w="28" w:type="dxa"/>
            </w:tcMar>
          </w:tcPr>
          <w:p w:rsidR="00393A06" w:rsidRPr="00337D56" w:rsidRDefault="00393A06" w:rsidP="00CD793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c>
          <w:tcPr>
            <w:tcW w:w="5000" w:type="pct"/>
            <w:gridSpan w:val="9"/>
            <w:tcBorders>
              <w:top w:val="single" w:sz="6" w:space="0" w:color="auto"/>
            </w:tcBorders>
            <w:shd w:val="clear" w:color="auto" w:fill="auto"/>
          </w:tcPr>
          <w:p w:rsidR="00393A06" w:rsidRPr="00393A06" w:rsidRDefault="00393A06" w:rsidP="00CD7935">
            <w:pPr>
              <w:tabs>
                <w:tab w:val="num" w:pos="1134"/>
              </w:tabs>
              <w:jc w:val="both"/>
              <w:rPr>
                <w:rFonts w:eastAsia="MS Mincho"/>
                <w:lang w:val="en-US" w:eastAsia="ja-JP"/>
              </w:rPr>
            </w:pPr>
            <w:r w:rsidRPr="00393A06">
              <w:rPr>
                <w:rFonts w:eastAsia="MS Mincho"/>
                <w:lang w:val="en-US" w:eastAsia="ja-JP"/>
              </w:rPr>
              <w:t>Positive Assessment by the JMSA: This standard is compliant with the ADR and can be approved for inclusion in the referenced standards.</w:t>
            </w:r>
          </w:p>
        </w:tc>
      </w:tr>
      <w:tr w:rsidR="00393A06" w:rsidRPr="009E7975" w:rsidTr="00CD7935">
        <w:trPr>
          <w:trHeight w:val="160"/>
        </w:trPr>
        <w:tc>
          <w:tcPr>
            <w:tcW w:w="5000" w:type="pct"/>
            <w:gridSpan w:val="9"/>
            <w:shd w:val="clear" w:color="auto" w:fill="auto"/>
          </w:tcPr>
          <w:p w:rsidR="00393A06" w:rsidRPr="00393A06" w:rsidRDefault="00393A06" w:rsidP="00CD7935">
            <w:pPr>
              <w:rPr>
                <w:lang w:val="en-US"/>
              </w:rPr>
            </w:pPr>
            <w:r w:rsidRPr="00393A06">
              <w:rPr>
                <w:lang w:val="en-US"/>
              </w:rPr>
              <w:t>Enquiry draft discussed by STD’s WG in September 2019 - accepted</w:t>
            </w:r>
          </w:p>
        </w:tc>
      </w:tr>
      <w:tr w:rsidR="00393A06" w:rsidRPr="009E7975" w:rsidTr="00CD7935">
        <w:trPr>
          <w:trHeight w:val="160"/>
        </w:trPr>
        <w:tc>
          <w:tcPr>
            <w:tcW w:w="5000" w:type="pct"/>
            <w:gridSpan w:val="9"/>
            <w:shd w:val="clear" w:color="auto" w:fill="auto"/>
          </w:tcPr>
          <w:p w:rsidR="00393A06" w:rsidRPr="00393A06" w:rsidRDefault="00393A06" w:rsidP="00CD7935">
            <w:pPr>
              <w:rPr>
                <w:b/>
                <w:iCs/>
                <w:lang w:val="en-US"/>
              </w:rPr>
            </w:pPr>
            <w:r w:rsidRPr="00393A06">
              <w:rPr>
                <w:b/>
                <w:iCs/>
                <w:lang w:val="en-US"/>
              </w:rPr>
              <w:t>Comments from members of the Joint Meeting</w:t>
            </w:r>
            <w:r w:rsidRPr="00393A06">
              <w:rPr>
                <w:b/>
                <w:lang w:val="en-US"/>
              </w:rPr>
              <w:t>:</w:t>
            </w:r>
          </w:p>
        </w:tc>
      </w:tr>
      <w:tr w:rsidR="00393A06" w:rsidRPr="00337D56" w:rsidTr="00CD7935">
        <w:tc>
          <w:tcPr>
            <w:tcW w:w="331" w:type="pct"/>
            <w:shd w:val="clear" w:color="auto" w:fill="auto"/>
            <w:tcMar>
              <w:top w:w="57" w:type="dxa"/>
              <w:bottom w:w="57" w:type="dxa"/>
            </w:tcMar>
          </w:tcPr>
          <w:p w:rsidR="00393A06" w:rsidRPr="00337D56" w:rsidRDefault="00393A06" w:rsidP="00CD7935">
            <w:pPr>
              <w:jc w:val="center"/>
            </w:pPr>
            <w:r w:rsidRPr="00337D56">
              <w:t>Country</w:t>
            </w:r>
          </w:p>
        </w:tc>
        <w:tc>
          <w:tcPr>
            <w:tcW w:w="449" w:type="pct"/>
            <w:shd w:val="clear" w:color="auto" w:fill="auto"/>
            <w:tcMar>
              <w:top w:w="57" w:type="dxa"/>
              <w:bottom w:w="57" w:type="dxa"/>
            </w:tcMar>
          </w:tcPr>
          <w:p w:rsidR="00393A06" w:rsidRPr="00337D56" w:rsidRDefault="00393A06" w:rsidP="00CD7935">
            <w:pPr>
              <w:jc w:val="center"/>
            </w:pPr>
            <w:r w:rsidRPr="00337D56">
              <w:t>Clause No.</w:t>
            </w:r>
          </w:p>
        </w:tc>
        <w:tc>
          <w:tcPr>
            <w:tcW w:w="1711" w:type="pct"/>
            <w:gridSpan w:val="3"/>
            <w:shd w:val="clear" w:color="auto" w:fill="auto"/>
            <w:tcMar>
              <w:top w:w="57" w:type="dxa"/>
              <w:bottom w:w="57" w:type="dxa"/>
            </w:tcMar>
          </w:tcPr>
          <w:p w:rsidR="00393A06" w:rsidRPr="00337D56" w:rsidRDefault="00393A06" w:rsidP="00CD7935">
            <w:pPr>
              <w:jc w:val="center"/>
            </w:pPr>
            <w:r w:rsidRPr="00337D56">
              <w:t xml:space="preserve">Comment (justification for change) </w:t>
            </w:r>
          </w:p>
        </w:tc>
        <w:tc>
          <w:tcPr>
            <w:tcW w:w="762" w:type="pct"/>
            <w:gridSpan w:val="2"/>
            <w:shd w:val="clear" w:color="auto" w:fill="auto"/>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875" w:type="pct"/>
            <w:shd w:val="clear" w:color="auto" w:fill="auto"/>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JMSA</w:t>
            </w:r>
          </w:p>
        </w:tc>
        <w:tc>
          <w:tcPr>
            <w:tcW w:w="872" w:type="pct"/>
            <w:shd w:val="clear" w:color="auto" w:fill="auto"/>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WG Standards</w:t>
            </w: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19" w:type="pct"/>
            <w:gridSpan w:val="2"/>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93A06" w:rsidRPr="009E7975" w:rsidTr="00CD7935">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roofErr w:type="spellStart"/>
                  <w:r w:rsidRPr="00337D56">
                    <w:rPr>
                      <w:bCs/>
                    </w:rPr>
                    <w:t>Proposed</w:t>
                  </w:r>
                  <w:proofErr w:type="spellEnd"/>
                  <w:r w:rsidRPr="00337D56">
                    <w:rPr>
                      <w:bCs/>
                    </w:rPr>
                    <w:t xml:space="preserve"> transition </w:t>
                  </w:r>
                  <w:proofErr w:type="spellStart"/>
                  <w:r w:rsidRPr="00337D56">
                    <w:rPr>
                      <w:bCs/>
                    </w:rPr>
                    <w:t>regulation</w:t>
                  </w:r>
                  <w:proofErr w:type="spellEnd"/>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Latest date for withdrawal of existing type approvals</w:t>
                  </w: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EN </w:t>
                  </w:r>
                  <w:proofErr w:type="gramStart"/>
                  <w:r w:rsidRPr="00337D56">
                    <w:rPr>
                      <w:bCs/>
                    </w:rPr>
                    <w:t>13953:</w:t>
                  </w:r>
                  <w:proofErr w:type="gramEnd"/>
                  <w:r w:rsidRPr="00337D56">
                    <w:rPr>
                      <w:bCs/>
                    </w:rPr>
                    <w:t>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roofErr w:type="spellStart"/>
                  <w:r w:rsidRPr="00337D56">
                    <w:rPr>
                      <w:bCs/>
                    </w:rPr>
                    <w:t>Between</w:t>
                  </w:r>
                  <w:proofErr w:type="spellEnd"/>
                  <w:r w:rsidRPr="00337D56">
                    <w:rPr>
                      <w:bCs/>
                    </w:rPr>
                    <w:t xml:space="preserve"> 1 </w:t>
                  </w:r>
                  <w:proofErr w:type="spellStart"/>
                  <w:r w:rsidRPr="00337D56">
                    <w:rPr>
                      <w:bCs/>
                    </w:rPr>
                    <w:t>January</w:t>
                  </w:r>
                  <w:proofErr w:type="spellEnd"/>
                  <w:r w:rsidRPr="00337D56">
                    <w:rPr>
                      <w:bCs/>
                    </w:rPr>
                    <w:t xml:space="preserve"> 2017 and 31 </w:t>
                  </w:r>
                  <w:proofErr w:type="spellStart"/>
                  <w:r w:rsidRPr="00337D56">
                    <w:rPr>
                      <w:bCs/>
                    </w:rPr>
                    <w:t>December</w:t>
                  </w:r>
                  <w:proofErr w:type="spellEnd"/>
                  <w:r w:rsidRPr="00337D56">
                    <w:rPr>
                      <w:bCs/>
                    </w:rPr>
                    <w:t xml:space="preserve">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EN </w:t>
                  </w:r>
                  <w:proofErr w:type="gramStart"/>
                  <w:r w:rsidRPr="00337D56">
                    <w:rPr>
                      <w:bCs/>
                    </w:rPr>
                    <w:t>13953:</w:t>
                  </w:r>
                  <w:proofErr w:type="gramEnd"/>
                  <w:r w:rsidRPr="00337D56">
                    <w:rPr>
                      <w:bCs/>
                    </w:rPr>
                    <w:t>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roofErr w:type="spellStart"/>
                  <w:r w:rsidRPr="00337D56">
                    <w:rPr>
                      <w:bCs/>
                    </w:rPr>
                    <w:t>Until</w:t>
                  </w:r>
                  <w:proofErr w:type="spellEnd"/>
                  <w:r w:rsidRPr="00337D56">
                    <w:rPr>
                      <w:bCs/>
                    </w:rPr>
                    <w:t xml:space="preserve"> </w:t>
                  </w:r>
                  <w:proofErr w:type="spellStart"/>
                  <w:r w:rsidRPr="00337D56">
                    <w:rPr>
                      <w:bCs/>
                    </w:rPr>
                    <w:t>further</w:t>
                  </w:r>
                  <w:proofErr w:type="spellEnd"/>
                  <w:r w:rsidRPr="00337D56">
                    <w:rPr>
                      <w:bCs/>
                    </w:rPr>
                    <w:t xml:space="preserve">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r>
          </w:tbl>
          <w:p w:rsidR="00393A06" w:rsidRPr="00337D56" w:rsidRDefault="00393A06" w:rsidP="00CD7935">
            <w:pPr>
              <w:keepLines/>
              <w:tabs>
                <w:tab w:val="left" w:pos="6663"/>
              </w:tabs>
              <w:rPr>
                <w:bCs/>
              </w:rPr>
            </w:pPr>
          </w:p>
        </w:tc>
      </w:tr>
    </w:tbl>
    <w:p w:rsidR="00393A06" w:rsidRPr="00337D56" w:rsidRDefault="00393A06" w:rsidP="00393A06">
      <w:pPr>
        <w:keepNext/>
        <w:keepLines/>
        <w:spacing w:before="360" w:after="240" w:line="270" w:lineRule="exact"/>
        <w:ind w:right="1134"/>
        <w:rPr>
          <w:b/>
          <w:sz w:val="22"/>
          <w:szCs w:val="22"/>
          <w:u w:val="single"/>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393A06" w:rsidRPr="00337D56" w:rsidTr="00CD7935">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rsidR="00393A06" w:rsidRPr="00337D56" w:rsidRDefault="00393A06" w:rsidP="00CD7935">
            <w:pPr>
              <w:jc w:val="center"/>
              <w:rPr>
                <w:b/>
                <w:iCs/>
              </w:rPr>
            </w:pPr>
            <w:proofErr w:type="spellStart"/>
            <w:r w:rsidRPr="00337D56">
              <w:rPr>
                <w:b/>
                <w:iCs/>
              </w:rPr>
              <w:t>FprEN</w:t>
            </w:r>
            <w:proofErr w:type="spellEnd"/>
            <w:r w:rsidRPr="00337D56">
              <w:rPr>
                <w:b/>
                <w:iCs/>
              </w:rPr>
              <w:t xml:space="preserve"> 13094</w:t>
            </w:r>
          </w:p>
        </w:tc>
        <w:tc>
          <w:tcPr>
            <w:tcW w:w="1703" w:type="pct"/>
            <w:gridSpan w:val="2"/>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b/>
                <w:iCs/>
                <w:lang w:val="en-US"/>
              </w:rPr>
            </w:pPr>
            <w:r w:rsidRPr="00393A06">
              <w:rPr>
                <w:b/>
                <w:iCs/>
                <w:lang w:val="en-US"/>
              </w:rPr>
              <w:t>Tanks for the transport of dangerous goods - Metallic gravity discharge tanks - Design and construction</w:t>
            </w:r>
          </w:p>
        </w:tc>
        <w:tc>
          <w:tcPr>
            <w:tcW w:w="764" w:type="pct"/>
            <w:gridSpan w:val="2"/>
            <w:vMerge w:val="restart"/>
            <w:tcBorders>
              <w:top w:val="single" w:sz="12" w:space="0" w:color="auto"/>
            </w:tcBorders>
            <w:shd w:val="clear" w:color="auto" w:fill="F3F3F3"/>
            <w:tcMar>
              <w:top w:w="28" w:type="dxa"/>
              <w:bottom w:w="28" w:type="dxa"/>
            </w:tcMar>
          </w:tcPr>
          <w:p w:rsidR="00393A06" w:rsidRPr="00337D56" w:rsidRDefault="00393A06" w:rsidP="00CD7935">
            <w:pPr>
              <w:pStyle w:val="NoteHead"/>
              <w:spacing w:before="0" w:after="0"/>
              <w:rPr>
                <w:rFonts w:eastAsia="Batang"/>
                <w:bCs/>
                <w:smallCaps w:val="0"/>
                <w:sz w:val="20"/>
              </w:rPr>
            </w:pPr>
            <w:r w:rsidRPr="00337D56">
              <w:rPr>
                <w:bCs/>
                <w:smallCaps w:val="0"/>
                <w:sz w:val="20"/>
              </w:rPr>
              <w:t>Where to refer in RID/ADR</w:t>
            </w:r>
          </w:p>
          <w:p w:rsidR="00393A06" w:rsidRPr="00337D56" w:rsidRDefault="00393A06" w:rsidP="00CD7935">
            <w:pPr>
              <w:jc w:val="center"/>
              <w:rPr>
                <w:b/>
              </w:rPr>
            </w:pPr>
            <w:r w:rsidRPr="00337D56">
              <w:rPr>
                <w:b/>
              </w:rPr>
              <w:t>6.8.2.6.1</w:t>
            </w:r>
          </w:p>
        </w:tc>
        <w:tc>
          <w:tcPr>
            <w:tcW w:w="1753" w:type="pct"/>
            <w:gridSpan w:val="3"/>
            <w:vMerge w:val="restart"/>
            <w:tcBorders>
              <w:top w:val="single" w:sz="12" w:space="0" w:color="auto"/>
            </w:tcBorders>
            <w:shd w:val="clear" w:color="auto" w:fill="F3F3F3"/>
            <w:tcMar>
              <w:top w:w="28" w:type="dxa"/>
              <w:bottom w:w="28" w:type="dxa"/>
            </w:tcMar>
          </w:tcPr>
          <w:p w:rsidR="00393A06" w:rsidRPr="00337D56" w:rsidRDefault="00393A06" w:rsidP="00CD7935">
            <w:pPr>
              <w:jc w:val="center"/>
              <w:rPr>
                <w:rFonts w:ascii="(Asiatische Schriftart verwende" w:hAnsi="(Asiatische Schriftart verwende"/>
                <w:b/>
              </w:rPr>
            </w:pPr>
            <w:r w:rsidRPr="00337D56">
              <w:rPr>
                <w:rFonts w:ascii="(Asiatische Schriftart verwende" w:hAnsi="(Asiatische Schriftart verwende"/>
                <w:b/>
              </w:rPr>
              <w:t xml:space="preserve">Applicable </w:t>
            </w:r>
            <w:proofErr w:type="spellStart"/>
            <w:r w:rsidRPr="00337D56">
              <w:rPr>
                <w:rFonts w:ascii="(Asiatische Schriftart verwende" w:hAnsi="(Asiatische Schriftart verwende"/>
                <w:b/>
              </w:rPr>
              <w:t>sub</w:t>
            </w:r>
            <w:proofErr w:type="spellEnd"/>
            <w:r w:rsidRPr="00337D56">
              <w:rPr>
                <w:rFonts w:ascii="(Asiatische Schriftart verwende" w:hAnsi="(Asiatische Schriftart verwende"/>
                <w:b/>
              </w:rPr>
              <w:t xml:space="preserve">-sections and </w:t>
            </w:r>
            <w:proofErr w:type="spellStart"/>
            <w:proofErr w:type="gramStart"/>
            <w:r w:rsidRPr="00337D56">
              <w:rPr>
                <w:rFonts w:ascii="(Asiatische Schriftart verwende" w:hAnsi="(Asiatische Schriftart verwende"/>
                <w:b/>
              </w:rPr>
              <w:t>paragraphs</w:t>
            </w:r>
            <w:proofErr w:type="spellEnd"/>
            <w:r w:rsidRPr="00337D56">
              <w:rPr>
                <w:rFonts w:ascii="(Asiatische Schriftart verwende" w:hAnsi="(Asiatische Schriftart verwende"/>
                <w:b/>
              </w:rPr>
              <w:t>:</w:t>
            </w:r>
            <w:proofErr w:type="gramEnd"/>
          </w:p>
          <w:p w:rsidR="00393A06" w:rsidRPr="00337D56" w:rsidRDefault="00393A06" w:rsidP="00CD7935">
            <w:pPr>
              <w:jc w:val="center"/>
              <w:rPr>
                <w:rFonts w:ascii="(Asiatische Schriftart verwende" w:hAnsi="(Asiatische Schriftart verwende"/>
                <w:b/>
              </w:rPr>
            </w:pPr>
            <w:r w:rsidRPr="00337D56">
              <w:rPr>
                <w:b/>
              </w:rPr>
              <w:t>6.8.2.1</w:t>
            </w:r>
          </w:p>
        </w:tc>
      </w:tr>
      <w:tr w:rsidR="00393A06" w:rsidRPr="00337D56" w:rsidTr="00CD7935">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00296089</w:t>
            </w:r>
          </w:p>
        </w:tc>
        <w:tc>
          <w:tcPr>
            <w:tcW w:w="1703" w:type="pct"/>
            <w:gridSpan w:val="2"/>
            <w:vMerge/>
            <w:tcBorders>
              <w:bottom w:val="single" w:sz="6" w:space="0" w:color="auto"/>
            </w:tcBorders>
            <w:shd w:val="clear" w:color="auto" w:fill="F3F3F3"/>
            <w:tcMar>
              <w:top w:w="28" w:type="dxa"/>
              <w:bottom w:w="28" w:type="dxa"/>
            </w:tcMar>
          </w:tcPr>
          <w:p w:rsidR="00393A06" w:rsidRPr="00337D56" w:rsidRDefault="00393A06" w:rsidP="00CD793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c>
          <w:tcPr>
            <w:tcW w:w="5000" w:type="pct"/>
            <w:gridSpan w:val="9"/>
            <w:tcBorders>
              <w:top w:val="single" w:sz="6" w:space="0" w:color="auto"/>
            </w:tcBorders>
            <w:shd w:val="clear" w:color="auto" w:fill="auto"/>
          </w:tcPr>
          <w:p w:rsidR="00393A06" w:rsidRPr="00393A06" w:rsidRDefault="00393A06" w:rsidP="00CD7935">
            <w:pPr>
              <w:tabs>
                <w:tab w:val="num" w:pos="1134"/>
              </w:tabs>
              <w:jc w:val="both"/>
              <w:rPr>
                <w:rFonts w:eastAsia="MS Mincho"/>
                <w:lang w:val="en-US" w:eastAsia="ja-JP"/>
              </w:rPr>
            </w:pPr>
            <w:r w:rsidRPr="00393A06">
              <w:rPr>
                <w:rFonts w:eastAsia="MS Mincho"/>
                <w:lang w:val="en-US" w:eastAsia="ja-JP"/>
              </w:rPr>
              <w:t xml:space="preserve">Negative Assessment by the JMSA (Currently </w:t>
            </w:r>
            <w:proofErr w:type="spellStart"/>
            <w:r w:rsidRPr="00393A06">
              <w:rPr>
                <w:rFonts w:eastAsia="MS Mincho"/>
                <w:lang w:val="en-US" w:eastAsia="ja-JP"/>
              </w:rPr>
              <w:t>FprEN</w:t>
            </w:r>
            <w:proofErr w:type="spellEnd"/>
            <w:r w:rsidRPr="00393A06">
              <w:rPr>
                <w:rFonts w:eastAsia="MS Mincho"/>
                <w:lang w:val="en-US" w:eastAsia="ja-JP"/>
              </w:rPr>
              <w:t xml:space="preserve"> 13094 is not currently suitable for referencing in the ADR)</w:t>
            </w:r>
          </w:p>
          <w:p w:rsidR="00393A06" w:rsidRPr="00393A06" w:rsidRDefault="00393A06" w:rsidP="00CD7935">
            <w:pPr>
              <w:tabs>
                <w:tab w:val="num" w:pos="1134"/>
              </w:tabs>
              <w:jc w:val="both"/>
              <w:rPr>
                <w:rFonts w:eastAsia="MS Mincho"/>
                <w:lang w:val="en-US" w:eastAsia="ja-JP"/>
              </w:rPr>
            </w:pPr>
            <w:r w:rsidRPr="00393A06">
              <w:rPr>
                <w:rFonts w:eastAsia="MS Mincho"/>
                <w:lang w:val="en-US" w:eastAsia="ja-JP"/>
              </w:rPr>
              <w:t xml:space="preserve">Nevertheless, following an exchange with CEN/TC 296 experts, the JMSA further confirms on 2020-06-09 that when the CEN/TC 296 proposed amendments will be made to the draft standard all of the non-compliances that the JMSA identified, in his assessment of </w:t>
            </w:r>
            <w:proofErr w:type="spellStart"/>
            <w:r w:rsidRPr="00393A06">
              <w:rPr>
                <w:rFonts w:eastAsia="MS Mincho"/>
                <w:lang w:val="en-US" w:eastAsia="ja-JP"/>
              </w:rPr>
              <w:t>FprEN</w:t>
            </w:r>
            <w:proofErr w:type="spellEnd"/>
            <w:r w:rsidRPr="00393A06">
              <w:rPr>
                <w:rFonts w:eastAsia="MS Mincho"/>
                <w:lang w:val="en-US" w:eastAsia="ja-JP"/>
              </w:rPr>
              <w:t xml:space="preserve"> 13094:2020 dated the 20th May 2020, will be clarified and/or resolved.</w:t>
            </w:r>
          </w:p>
        </w:tc>
      </w:tr>
      <w:tr w:rsidR="00393A06" w:rsidRPr="009E7975" w:rsidTr="00CD7935">
        <w:trPr>
          <w:trHeight w:val="160"/>
        </w:trPr>
        <w:tc>
          <w:tcPr>
            <w:tcW w:w="5000" w:type="pct"/>
            <w:gridSpan w:val="9"/>
            <w:shd w:val="clear" w:color="auto" w:fill="auto"/>
          </w:tcPr>
          <w:p w:rsidR="00393A06" w:rsidRPr="00393A06" w:rsidRDefault="00393A06" w:rsidP="00CD7935">
            <w:pPr>
              <w:rPr>
                <w:lang w:val="en-US"/>
              </w:rPr>
            </w:pPr>
            <w:r w:rsidRPr="00393A06">
              <w:rPr>
                <w:lang w:val="en-US"/>
              </w:rPr>
              <w:t>Enquiry draft discussed by STD’s WG in September 2019 - accepted</w:t>
            </w:r>
          </w:p>
        </w:tc>
      </w:tr>
      <w:tr w:rsidR="00393A06" w:rsidRPr="009E7975" w:rsidTr="00CD7935">
        <w:trPr>
          <w:trHeight w:val="160"/>
        </w:trPr>
        <w:tc>
          <w:tcPr>
            <w:tcW w:w="5000" w:type="pct"/>
            <w:gridSpan w:val="9"/>
            <w:shd w:val="clear" w:color="auto" w:fill="auto"/>
          </w:tcPr>
          <w:p w:rsidR="00393A06" w:rsidRPr="00393A06" w:rsidRDefault="00393A06" w:rsidP="00CD7935">
            <w:pPr>
              <w:rPr>
                <w:b/>
                <w:iCs/>
                <w:lang w:val="en-US"/>
              </w:rPr>
            </w:pPr>
            <w:r w:rsidRPr="00393A06">
              <w:rPr>
                <w:b/>
                <w:iCs/>
                <w:lang w:val="en-US"/>
              </w:rPr>
              <w:t>Comments from members of the Joint Meeting</w:t>
            </w:r>
            <w:r w:rsidRPr="00393A06">
              <w:rPr>
                <w:b/>
                <w:lang w:val="en-US"/>
              </w:rPr>
              <w:t>:</w:t>
            </w:r>
          </w:p>
        </w:tc>
      </w:tr>
      <w:tr w:rsidR="00393A06" w:rsidRPr="00337D56" w:rsidTr="00CD7935">
        <w:tc>
          <w:tcPr>
            <w:tcW w:w="331" w:type="pct"/>
            <w:shd w:val="clear" w:color="auto" w:fill="auto"/>
            <w:tcMar>
              <w:top w:w="57" w:type="dxa"/>
              <w:bottom w:w="57" w:type="dxa"/>
            </w:tcMar>
          </w:tcPr>
          <w:p w:rsidR="00393A06" w:rsidRPr="00337D56" w:rsidRDefault="00393A06" w:rsidP="00CD7935">
            <w:pPr>
              <w:jc w:val="center"/>
            </w:pPr>
            <w:r w:rsidRPr="00337D56">
              <w:t>Country</w:t>
            </w:r>
          </w:p>
        </w:tc>
        <w:tc>
          <w:tcPr>
            <w:tcW w:w="449" w:type="pct"/>
            <w:shd w:val="clear" w:color="auto" w:fill="auto"/>
            <w:tcMar>
              <w:top w:w="57" w:type="dxa"/>
              <w:bottom w:w="57" w:type="dxa"/>
            </w:tcMar>
          </w:tcPr>
          <w:p w:rsidR="00393A06" w:rsidRPr="00337D56" w:rsidRDefault="00393A06" w:rsidP="00CD7935">
            <w:pPr>
              <w:jc w:val="center"/>
            </w:pPr>
            <w:r w:rsidRPr="00337D56">
              <w:t>Clause No.</w:t>
            </w:r>
          </w:p>
        </w:tc>
        <w:tc>
          <w:tcPr>
            <w:tcW w:w="1711" w:type="pct"/>
            <w:gridSpan w:val="3"/>
            <w:shd w:val="clear" w:color="auto" w:fill="auto"/>
            <w:tcMar>
              <w:top w:w="57" w:type="dxa"/>
              <w:bottom w:w="57" w:type="dxa"/>
            </w:tcMar>
          </w:tcPr>
          <w:p w:rsidR="00393A06" w:rsidRPr="00337D56" w:rsidRDefault="00393A06" w:rsidP="00CD7935">
            <w:pPr>
              <w:jc w:val="center"/>
            </w:pPr>
            <w:r w:rsidRPr="00337D56">
              <w:t xml:space="preserve">Comment (justification for change) </w:t>
            </w:r>
          </w:p>
        </w:tc>
        <w:tc>
          <w:tcPr>
            <w:tcW w:w="762" w:type="pct"/>
            <w:gridSpan w:val="2"/>
            <w:shd w:val="clear" w:color="auto" w:fill="auto"/>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875" w:type="pct"/>
            <w:shd w:val="clear" w:color="auto" w:fill="auto"/>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JMSA</w:t>
            </w:r>
          </w:p>
        </w:tc>
        <w:tc>
          <w:tcPr>
            <w:tcW w:w="872" w:type="pct"/>
            <w:shd w:val="clear" w:color="auto" w:fill="auto"/>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WG Standards</w:t>
            </w: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19" w:type="pct"/>
            <w:gridSpan w:val="2"/>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93A06" w:rsidRPr="009E7975" w:rsidTr="00CD7935">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roofErr w:type="spellStart"/>
                  <w:r w:rsidRPr="00337D56">
                    <w:rPr>
                      <w:bCs/>
                    </w:rPr>
                    <w:t>Proposed</w:t>
                  </w:r>
                  <w:proofErr w:type="spellEnd"/>
                  <w:r w:rsidRPr="00337D56">
                    <w:rPr>
                      <w:bCs/>
                    </w:rPr>
                    <w:t xml:space="preserve"> transition </w:t>
                  </w:r>
                  <w:proofErr w:type="spellStart"/>
                  <w:r w:rsidRPr="00337D56">
                    <w:rPr>
                      <w:bCs/>
                    </w:rPr>
                    <w:t>regulation</w:t>
                  </w:r>
                  <w:proofErr w:type="spellEnd"/>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Latest date for withdrawal of existing type approvals</w:t>
                  </w: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EN </w:t>
                  </w:r>
                  <w:proofErr w:type="gramStart"/>
                  <w:r w:rsidRPr="00337D56">
                    <w:rPr>
                      <w:bCs/>
                    </w:rPr>
                    <w:t>13094:</w:t>
                  </w:r>
                  <w:proofErr w:type="gramEnd"/>
                  <w:r w:rsidRPr="00337D56">
                    <w:rPr>
                      <w:bCs/>
                    </w:rPr>
                    <w:t>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roofErr w:type="spellStart"/>
                  <w:r w:rsidRPr="00337D56">
                    <w:rPr>
                      <w:bCs/>
                    </w:rPr>
                    <w:t>Between</w:t>
                  </w:r>
                  <w:proofErr w:type="spellEnd"/>
                  <w:r w:rsidRPr="00337D56">
                    <w:rPr>
                      <w:bCs/>
                    </w:rPr>
                    <w:t xml:space="preserve"> 1 </w:t>
                  </w:r>
                  <w:proofErr w:type="spellStart"/>
                  <w:r w:rsidRPr="00337D56">
                    <w:rPr>
                      <w:bCs/>
                    </w:rPr>
                    <w:t>January</w:t>
                  </w:r>
                  <w:proofErr w:type="spellEnd"/>
                  <w:r w:rsidRPr="00337D56">
                    <w:rPr>
                      <w:bCs/>
                    </w:rPr>
                    <w:t xml:space="preserve"> 2017 and 31 </w:t>
                  </w:r>
                  <w:proofErr w:type="spellStart"/>
                  <w:r w:rsidRPr="00337D56">
                    <w:rPr>
                      <w:bCs/>
                    </w:rPr>
                    <w:t>December</w:t>
                  </w:r>
                  <w:proofErr w:type="spellEnd"/>
                  <w:r w:rsidRPr="00337D56">
                    <w:rPr>
                      <w:bCs/>
                    </w:rPr>
                    <w:t xml:space="preserve">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EN </w:t>
                  </w:r>
                  <w:proofErr w:type="gramStart"/>
                  <w:r w:rsidRPr="00337D56">
                    <w:rPr>
                      <w:bCs/>
                    </w:rPr>
                    <w:t>13094:</w:t>
                  </w:r>
                  <w:proofErr w:type="gramEnd"/>
                  <w:r w:rsidRPr="00337D56">
                    <w:rPr>
                      <w:bCs/>
                    </w:rPr>
                    <w:t>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roofErr w:type="spellStart"/>
                  <w:r w:rsidRPr="00337D56">
                    <w:rPr>
                      <w:bCs/>
                    </w:rPr>
                    <w:t>Until</w:t>
                  </w:r>
                  <w:proofErr w:type="spellEnd"/>
                  <w:r w:rsidRPr="00337D56">
                    <w:rPr>
                      <w:bCs/>
                    </w:rPr>
                    <w:t xml:space="preserve"> </w:t>
                  </w:r>
                  <w:proofErr w:type="spellStart"/>
                  <w:r w:rsidRPr="00337D56">
                    <w:rPr>
                      <w:bCs/>
                    </w:rPr>
                    <w:t>further</w:t>
                  </w:r>
                  <w:proofErr w:type="spellEnd"/>
                  <w:r w:rsidRPr="00337D56">
                    <w:rPr>
                      <w:bCs/>
                    </w:rPr>
                    <w:t xml:space="preserve">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r>
          </w:tbl>
          <w:p w:rsidR="00393A06" w:rsidRPr="00337D56" w:rsidRDefault="00393A06" w:rsidP="00CD7935">
            <w:pPr>
              <w:keepLines/>
              <w:tabs>
                <w:tab w:val="left" w:pos="6663"/>
              </w:tabs>
              <w:rPr>
                <w:bCs/>
              </w:rPr>
            </w:pPr>
          </w:p>
        </w:tc>
      </w:tr>
    </w:tbl>
    <w:p w:rsidR="00393A06" w:rsidRPr="00337D56" w:rsidRDefault="00393A06" w:rsidP="00393A06">
      <w:pPr>
        <w:pStyle w:val="Title"/>
        <w:tabs>
          <w:tab w:val="left" w:pos="13740"/>
          <w:tab w:val="left" w:pos="14760"/>
        </w:tabs>
        <w:jc w:val="left"/>
        <w:rPr>
          <w:rFonts w:ascii="Times New Roman" w:hAnsi="Times New Roman"/>
          <w:b w:val="0"/>
          <w:bCs w:val="0"/>
          <w:iCs/>
          <w:sz w:val="20"/>
        </w:rPr>
      </w:pPr>
      <w:bookmarkStart w:id="5" w:name="_Hlk42271578"/>
      <w:r w:rsidRPr="00337D56">
        <w:rPr>
          <w:rFonts w:ascii="Times New Roman" w:hAnsi="Times New Roman"/>
          <w:b w:val="0"/>
          <w:iCs/>
          <w:sz w:val="20"/>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393A06" w:rsidRPr="009E7975" w:rsidTr="00CD7935">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bookmarkEnd w:id="5"/>
          <w:p w:rsidR="00393A06" w:rsidRPr="00337D56" w:rsidRDefault="00393A06" w:rsidP="00CD7935">
            <w:pPr>
              <w:jc w:val="center"/>
              <w:rPr>
                <w:b/>
                <w:iCs/>
              </w:rPr>
            </w:pPr>
            <w:r w:rsidRPr="00337D56">
              <w:rPr>
                <w:b/>
                <w:iCs/>
              </w:rPr>
              <w:t xml:space="preserve">EN ISO </w:t>
            </w:r>
            <w:proofErr w:type="gramStart"/>
            <w:r w:rsidRPr="00337D56">
              <w:rPr>
                <w:b/>
                <w:iCs/>
              </w:rPr>
              <w:t>16148:</w:t>
            </w:r>
            <w:proofErr w:type="gramEnd"/>
            <w:r w:rsidRPr="00337D56">
              <w:rPr>
                <w:b/>
                <w:iCs/>
              </w:rPr>
              <w:t>2016/prA1</w:t>
            </w:r>
          </w:p>
        </w:tc>
        <w:tc>
          <w:tcPr>
            <w:tcW w:w="1703" w:type="pct"/>
            <w:gridSpan w:val="2"/>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b/>
                <w:iCs/>
                <w:lang w:val="en-US"/>
              </w:rPr>
            </w:pPr>
            <w:r w:rsidRPr="00393A06">
              <w:rPr>
                <w:b/>
                <w:iCs/>
                <w:lang w:val="en-US"/>
              </w:rPr>
              <w:t>Gas cylinders - Refillable seamless steel gas cylinders and tubes - Acoustic emission examination (AT) and follow-up ultrasonic examination (UT) for periodic inspection and testing - Amendment 1 (ISO 16148:2016/DAM 1:2020)</w:t>
            </w:r>
          </w:p>
        </w:tc>
        <w:tc>
          <w:tcPr>
            <w:tcW w:w="764" w:type="pct"/>
            <w:gridSpan w:val="2"/>
            <w:vMerge w:val="restart"/>
            <w:tcBorders>
              <w:top w:val="single" w:sz="12" w:space="0" w:color="auto"/>
            </w:tcBorders>
            <w:shd w:val="clear" w:color="auto" w:fill="F3F3F3"/>
            <w:tcMar>
              <w:top w:w="28" w:type="dxa"/>
              <w:bottom w:w="28" w:type="dxa"/>
            </w:tcMar>
          </w:tcPr>
          <w:p w:rsidR="00393A06" w:rsidRPr="00337D56" w:rsidRDefault="00393A06" w:rsidP="00CD7935">
            <w:pPr>
              <w:pStyle w:val="NoteHead"/>
              <w:spacing w:before="0" w:after="0"/>
              <w:rPr>
                <w:rFonts w:eastAsia="Batang"/>
                <w:bCs/>
                <w:smallCaps w:val="0"/>
                <w:sz w:val="20"/>
              </w:rPr>
            </w:pPr>
            <w:r w:rsidRPr="00337D56">
              <w:rPr>
                <w:bCs/>
                <w:smallCaps w:val="0"/>
                <w:sz w:val="20"/>
              </w:rPr>
              <w:t>Where to refer in RID/ADR</w:t>
            </w:r>
          </w:p>
          <w:p w:rsidR="00393A06" w:rsidRPr="00337D56" w:rsidRDefault="00393A06" w:rsidP="00CD7935">
            <w:pPr>
              <w:jc w:val="center"/>
              <w:rPr>
                <w:b/>
              </w:rPr>
            </w:pPr>
            <w:r w:rsidRPr="00337D56">
              <w:rPr>
                <w:b/>
              </w:rPr>
              <w:t xml:space="preserve">6.2.3.5.1 </w:t>
            </w:r>
            <w:r w:rsidRPr="00337D56">
              <w:rPr>
                <w:b/>
                <w:i/>
              </w:rPr>
              <w:t>NOTE 2</w:t>
            </w:r>
          </w:p>
        </w:tc>
        <w:tc>
          <w:tcPr>
            <w:tcW w:w="1753" w:type="pct"/>
            <w:gridSpan w:val="3"/>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rFonts w:ascii="(Asiatische Schriftart verwende" w:hAnsi="(Asiatische Schriftart verwende"/>
                <w:b/>
                <w:lang w:val="en-US"/>
              </w:rPr>
            </w:pPr>
            <w:r w:rsidRPr="00393A06">
              <w:rPr>
                <w:rFonts w:ascii="(Asiatische Schriftart verwende" w:hAnsi="(Asiatische Schriftart verwende"/>
                <w:b/>
                <w:lang w:val="en-US"/>
              </w:rPr>
              <w:t>Applicable sub-sections and paragraphs:</w:t>
            </w:r>
          </w:p>
          <w:p w:rsidR="00393A06" w:rsidRPr="00393A06" w:rsidRDefault="00393A06" w:rsidP="00CD7935">
            <w:pPr>
              <w:jc w:val="center"/>
              <w:rPr>
                <w:rFonts w:ascii="(Asiatische Schriftart verwende" w:hAnsi="(Asiatische Schriftart verwende"/>
                <w:b/>
                <w:lang w:val="en-US"/>
              </w:rPr>
            </w:pPr>
            <w:r w:rsidRPr="00393A06">
              <w:rPr>
                <w:rFonts w:ascii="(Asiatische Schriftart verwende" w:hAnsi="(Asiatische Schriftart verwende"/>
                <w:b/>
                <w:lang w:val="en-US"/>
              </w:rPr>
              <w:t>Not applicable</w:t>
            </w:r>
          </w:p>
        </w:tc>
      </w:tr>
      <w:tr w:rsidR="00393A06" w:rsidRPr="00337D56" w:rsidTr="00CD7935">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00023216</w:t>
            </w:r>
          </w:p>
        </w:tc>
        <w:tc>
          <w:tcPr>
            <w:tcW w:w="1703" w:type="pct"/>
            <w:gridSpan w:val="2"/>
            <w:vMerge/>
            <w:tcBorders>
              <w:bottom w:val="single" w:sz="6" w:space="0" w:color="auto"/>
            </w:tcBorders>
            <w:shd w:val="clear" w:color="auto" w:fill="F3F3F3"/>
            <w:tcMar>
              <w:top w:w="28" w:type="dxa"/>
              <w:bottom w:w="28" w:type="dxa"/>
            </w:tcMar>
          </w:tcPr>
          <w:p w:rsidR="00393A06" w:rsidRPr="00337D56" w:rsidRDefault="00393A06" w:rsidP="00CD793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c>
          <w:tcPr>
            <w:tcW w:w="5000" w:type="pct"/>
            <w:gridSpan w:val="9"/>
            <w:tcBorders>
              <w:top w:val="single" w:sz="6" w:space="0" w:color="auto"/>
            </w:tcBorders>
            <w:shd w:val="clear" w:color="auto" w:fill="auto"/>
          </w:tcPr>
          <w:p w:rsidR="00393A06" w:rsidRPr="00393A06" w:rsidRDefault="00393A06" w:rsidP="00CD7935">
            <w:pPr>
              <w:tabs>
                <w:tab w:val="num" w:pos="1134"/>
              </w:tabs>
              <w:jc w:val="both"/>
              <w:rPr>
                <w:rFonts w:eastAsia="MS Mincho"/>
                <w:lang w:val="en-US" w:eastAsia="ja-JP"/>
              </w:rPr>
            </w:pPr>
            <w:r w:rsidRPr="00393A06">
              <w:rPr>
                <w:rFonts w:eastAsia="MS Mincho"/>
                <w:lang w:val="en-US" w:eastAsia="ja-JP"/>
              </w:rPr>
              <w:t>Positive assessment by the JMSA: This standard is compliant with the ADR and can be approved for inclusion in the referenced standards.</w:t>
            </w:r>
          </w:p>
        </w:tc>
      </w:tr>
      <w:tr w:rsidR="00393A06" w:rsidRPr="009E7975" w:rsidTr="00CD7935">
        <w:trPr>
          <w:trHeight w:val="160"/>
        </w:trPr>
        <w:tc>
          <w:tcPr>
            <w:tcW w:w="5000" w:type="pct"/>
            <w:gridSpan w:val="9"/>
            <w:shd w:val="clear" w:color="auto" w:fill="auto"/>
          </w:tcPr>
          <w:p w:rsidR="00393A06" w:rsidRPr="00393A06" w:rsidRDefault="00393A06" w:rsidP="00CD7935">
            <w:pPr>
              <w:rPr>
                <w:lang w:val="en-US"/>
              </w:rPr>
            </w:pPr>
            <w:r w:rsidRPr="00393A06">
              <w:rPr>
                <w:lang w:val="en-US"/>
              </w:rPr>
              <w:t>Enquiry draft discussed by STD’s WG in March 2020 – proposed and accepted by Joint Meeting</w:t>
            </w:r>
          </w:p>
        </w:tc>
      </w:tr>
      <w:tr w:rsidR="00393A06" w:rsidRPr="009E7975" w:rsidTr="00CD7935">
        <w:trPr>
          <w:trHeight w:val="160"/>
        </w:trPr>
        <w:tc>
          <w:tcPr>
            <w:tcW w:w="5000" w:type="pct"/>
            <w:gridSpan w:val="9"/>
            <w:shd w:val="clear" w:color="auto" w:fill="auto"/>
          </w:tcPr>
          <w:p w:rsidR="00393A06" w:rsidRPr="00393A06" w:rsidRDefault="00393A06" w:rsidP="00CD7935">
            <w:pPr>
              <w:rPr>
                <w:b/>
                <w:iCs/>
                <w:lang w:val="en-US"/>
              </w:rPr>
            </w:pPr>
            <w:r w:rsidRPr="00393A06">
              <w:rPr>
                <w:b/>
                <w:iCs/>
                <w:lang w:val="en-US"/>
              </w:rPr>
              <w:lastRenderedPageBreak/>
              <w:t>Comments from members of the Joint Meeting</w:t>
            </w:r>
            <w:r w:rsidRPr="00393A06">
              <w:rPr>
                <w:b/>
                <w:lang w:val="en-US"/>
              </w:rPr>
              <w:t>:</w:t>
            </w:r>
          </w:p>
        </w:tc>
      </w:tr>
      <w:tr w:rsidR="00393A06" w:rsidRPr="00337D56" w:rsidTr="00CD7935">
        <w:tc>
          <w:tcPr>
            <w:tcW w:w="331" w:type="pct"/>
            <w:shd w:val="clear" w:color="auto" w:fill="auto"/>
            <w:tcMar>
              <w:top w:w="57" w:type="dxa"/>
              <w:bottom w:w="57" w:type="dxa"/>
            </w:tcMar>
          </w:tcPr>
          <w:p w:rsidR="00393A06" w:rsidRPr="00337D56" w:rsidRDefault="00393A06" w:rsidP="00CD7935">
            <w:pPr>
              <w:jc w:val="center"/>
            </w:pPr>
            <w:r w:rsidRPr="00337D56">
              <w:t>Country</w:t>
            </w:r>
          </w:p>
        </w:tc>
        <w:tc>
          <w:tcPr>
            <w:tcW w:w="449" w:type="pct"/>
            <w:shd w:val="clear" w:color="auto" w:fill="auto"/>
            <w:tcMar>
              <w:top w:w="57" w:type="dxa"/>
              <w:bottom w:w="57" w:type="dxa"/>
            </w:tcMar>
          </w:tcPr>
          <w:p w:rsidR="00393A06" w:rsidRPr="00337D56" w:rsidRDefault="00393A06" w:rsidP="00CD7935">
            <w:pPr>
              <w:jc w:val="center"/>
            </w:pPr>
            <w:r w:rsidRPr="00337D56">
              <w:t>Clause No.</w:t>
            </w:r>
          </w:p>
        </w:tc>
        <w:tc>
          <w:tcPr>
            <w:tcW w:w="1711" w:type="pct"/>
            <w:gridSpan w:val="3"/>
            <w:shd w:val="clear" w:color="auto" w:fill="auto"/>
            <w:tcMar>
              <w:top w:w="57" w:type="dxa"/>
              <w:bottom w:w="57" w:type="dxa"/>
            </w:tcMar>
          </w:tcPr>
          <w:p w:rsidR="00393A06" w:rsidRPr="00337D56" w:rsidRDefault="00393A06" w:rsidP="00CD7935">
            <w:pPr>
              <w:jc w:val="center"/>
            </w:pPr>
            <w:r w:rsidRPr="00337D56">
              <w:t xml:space="preserve">Comment (justification for change) </w:t>
            </w:r>
          </w:p>
        </w:tc>
        <w:tc>
          <w:tcPr>
            <w:tcW w:w="762" w:type="pct"/>
            <w:gridSpan w:val="2"/>
            <w:shd w:val="clear" w:color="auto" w:fill="auto"/>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875" w:type="pct"/>
            <w:shd w:val="clear" w:color="auto" w:fill="auto"/>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JMSA</w:t>
            </w:r>
          </w:p>
        </w:tc>
        <w:tc>
          <w:tcPr>
            <w:tcW w:w="872" w:type="pct"/>
            <w:shd w:val="clear" w:color="auto" w:fill="auto"/>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WG Standards</w:t>
            </w: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19" w:type="pct"/>
            <w:gridSpan w:val="2"/>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93A06" w:rsidRPr="009E7975" w:rsidTr="00CD7935">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roofErr w:type="spellStart"/>
                  <w:r w:rsidRPr="00337D56">
                    <w:rPr>
                      <w:bCs/>
                    </w:rPr>
                    <w:t>Proposed</w:t>
                  </w:r>
                  <w:proofErr w:type="spellEnd"/>
                  <w:r w:rsidRPr="00337D56">
                    <w:rPr>
                      <w:bCs/>
                    </w:rPr>
                    <w:t xml:space="preserve"> transition </w:t>
                  </w:r>
                  <w:proofErr w:type="spellStart"/>
                  <w:r w:rsidRPr="00337D56">
                    <w:rPr>
                      <w:bCs/>
                    </w:rPr>
                    <w:t>regulation</w:t>
                  </w:r>
                  <w:proofErr w:type="spellEnd"/>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Latest date for withdrawal of existing type approvals</w:t>
                  </w: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Transition not </w:t>
                  </w:r>
                  <w:proofErr w:type="spellStart"/>
                  <w:r w:rsidRPr="00337D56">
                    <w:rPr>
                      <w:bCs/>
                    </w:rPr>
                    <w:t>required</w:t>
                  </w:r>
                  <w:proofErr w:type="spellEnd"/>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suppressAutoHyphens w:val="0"/>
                    <w:spacing w:line="240" w:lineRule="auto"/>
                    <w:jc w:val="center"/>
                    <w:rPr>
                      <w:bCs/>
                    </w:rPr>
                  </w:pPr>
                </w:p>
              </w:tc>
            </w:tr>
            <w:tr w:rsidR="00393A06" w:rsidRPr="00337D56" w:rsidTr="00CD7935">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r>
          </w:tbl>
          <w:p w:rsidR="00393A06" w:rsidRPr="00337D56" w:rsidRDefault="00393A06" w:rsidP="00CD7935">
            <w:pPr>
              <w:keepLines/>
              <w:tabs>
                <w:tab w:val="left" w:pos="6663"/>
              </w:tabs>
              <w:rPr>
                <w:bCs/>
              </w:rPr>
            </w:pPr>
          </w:p>
        </w:tc>
      </w:tr>
    </w:tbl>
    <w:p w:rsidR="00393A06" w:rsidRPr="00337D56" w:rsidRDefault="00393A06" w:rsidP="00393A06">
      <w:pPr>
        <w:keepNext/>
        <w:keepLines/>
        <w:spacing w:before="360" w:after="240" w:line="270" w:lineRule="exact"/>
        <w:ind w:right="1134"/>
        <w:rPr>
          <w:b/>
          <w:sz w:val="22"/>
          <w:szCs w:val="22"/>
          <w:u w:val="single"/>
        </w:rPr>
      </w:pPr>
    </w:p>
    <w:p w:rsidR="00393A06" w:rsidRPr="00337D56" w:rsidRDefault="00393A06" w:rsidP="00393A06">
      <w:pPr>
        <w:tabs>
          <w:tab w:val="left" w:pos="13740"/>
          <w:tab w:val="left" w:pos="14760"/>
        </w:tabs>
        <w:spacing w:before="240" w:after="60"/>
        <w:outlineLvl w:val="0"/>
        <w:rPr>
          <w:iCs/>
          <w:kern w:val="28"/>
          <w:szCs w:val="32"/>
        </w:rPr>
      </w:pPr>
      <w:r w:rsidRPr="00337D56">
        <w:rPr>
          <w:bCs/>
          <w:iCs/>
          <w:kern w:val="28"/>
          <w:szCs w:val="32"/>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393A06" w:rsidRPr="00337D56" w:rsidTr="00CD7935">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rsidR="00393A06" w:rsidRPr="00337D56" w:rsidRDefault="00393A06" w:rsidP="00CD7935">
            <w:pPr>
              <w:jc w:val="center"/>
              <w:rPr>
                <w:b/>
                <w:iCs/>
              </w:rPr>
            </w:pPr>
            <w:r w:rsidRPr="00337D56">
              <w:rPr>
                <w:b/>
                <w:iCs/>
              </w:rPr>
              <w:t xml:space="preserve">EN </w:t>
            </w:r>
            <w:proofErr w:type="gramStart"/>
            <w:r w:rsidRPr="00337D56">
              <w:rPr>
                <w:b/>
                <w:iCs/>
              </w:rPr>
              <w:t>13175:</w:t>
            </w:r>
            <w:proofErr w:type="gramEnd"/>
            <w:r w:rsidRPr="00337D56">
              <w:rPr>
                <w:b/>
                <w:iCs/>
              </w:rPr>
              <w:t>2019+prA1:2020</w:t>
            </w:r>
          </w:p>
        </w:tc>
        <w:tc>
          <w:tcPr>
            <w:tcW w:w="1703" w:type="pct"/>
            <w:gridSpan w:val="2"/>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b/>
                <w:iCs/>
                <w:lang w:val="en-US"/>
              </w:rPr>
            </w:pPr>
            <w:r w:rsidRPr="00393A06">
              <w:rPr>
                <w:b/>
                <w:iCs/>
                <w:lang w:val="en-US"/>
              </w:rPr>
              <w:t>LPG Equipment and accessories - Specification and testing for Liquefied Petroleum Gas (LPG) 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rsidR="00393A06" w:rsidRPr="00337D56" w:rsidRDefault="00393A06" w:rsidP="00CD7935">
            <w:pPr>
              <w:pStyle w:val="NoteHead"/>
              <w:spacing w:before="0" w:after="0"/>
              <w:rPr>
                <w:rFonts w:eastAsia="Batang"/>
                <w:bCs/>
                <w:smallCaps w:val="0"/>
                <w:sz w:val="20"/>
              </w:rPr>
            </w:pPr>
            <w:r w:rsidRPr="00337D56">
              <w:rPr>
                <w:bCs/>
                <w:smallCaps w:val="0"/>
                <w:sz w:val="20"/>
              </w:rPr>
              <w:t>Where to refer in RID/ADR</w:t>
            </w:r>
          </w:p>
          <w:p w:rsidR="00393A06" w:rsidRPr="00337D56" w:rsidRDefault="00393A06" w:rsidP="00CD7935">
            <w:pPr>
              <w:jc w:val="center"/>
              <w:rPr>
                <w:b/>
              </w:rPr>
            </w:pPr>
            <w:r w:rsidRPr="00337D56">
              <w:rPr>
                <w:b/>
              </w:rPr>
              <w:t xml:space="preserve">6.2.4.1 </w:t>
            </w:r>
            <w:proofErr w:type="spellStart"/>
            <w:r w:rsidRPr="00337D56">
              <w:rPr>
                <w:b/>
                <w:i/>
              </w:rPr>
              <w:t>closures</w:t>
            </w:r>
            <w:proofErr w:type="spellEnd"/>
            <w:r w:rsidRPr="00337D56">
              <w:rPr>
                <w:b/>
              </w:rPr>
              <w:t>,</w:t>
            </w:r>
          </w:p>
          <w:p w:rsidR="00393A06" w:rsidRPr="00337D56" w:rsidRDefault="00393A06" w:rsidP="00CD7935">
            <w:pPr>
              <w:jc w:val="center"/>
              <w:rPr>
                <w:b/>
                <w:i/>
              </w:rPr>
            </w:pPr>
            <w:r w:rsidRPr="00337D56">
              <w:rPr>
                <w:b/>
              </w:rPr>
              <w:t xml:space="preserve">6.8.2.6.1 </w:t>
            </w:r>
            <w:proofErr w:type="spellStart"/>
            <w:r w:rsidRPr="00337D56">
              <w:rPr>
                <w:b/>
                <w:i/>
              </w:rPr>
              <w:t>equipment</w:t>
            </w:r>
            <w:proofErr w:type="spellEnd"/>
          </w:p>
        </w:tc>
        <w:tc>
          <w:tcPr>
            <w:tcW w:w="1753" w:type="pct"/>
            <w:gridSpan w:val="3"/>
            <w:vMerge w:val="restart"/>
            <w:tcBorders>
              <w:top w:val="single" w:sz="12" w:space="0" w:color="auto"/>
            </w:tcBorders>
            <w:shd w:val="clear" w:color="auto" w:fill="F3F3F3"/>
            <w:tcMar>
              <w:top w:w="28" w:type="dxa"/>
              <w:bottom w:w="28" w:type="dxa"/>
            </w:tcMar>
          </w:tcPr>
          <w:p w:rsidR="00393A06" w:rsidRPr="00393A06" w:rsidRDefault="00393A06" w:rsidP="00CD7935">
            <w:pPr>
              <w:jc w:val="center"/>
              <w:rPr>
                <w:rFonts w:ascii="(Asiatische Schriftart verwende" w:hAnsi="(Asiatische Schriftart verwende"/>
                <w:b/>
                <w:lang w:val="en-US"/>
              </w:rPr>
            </w:pPr>
            <w:r w:rsidRPr="00393A06">
              <w:rPr>
                <w:rFonts w:ascii="(Asiatische Schriftart verwende" w:hAnsi="(Asiatische Schriftart verwende"/>
                <w:b/>
                <w:lang w:val="en-US"/>
              </w:rPr>
              <w:t>Applicable sub-sections and paragraphs:</w:t>
            </w:r>
          </w:p>
          <w:p w:rsidR="00393A06" w:rsidRPr="00393A06" w:rsidRDefault="00393A06" w:rsidP="00CD7935">
            <w:pPr>
              <w:jc w:val="center"/>
              <w:rPr>
                <w:b/>
                <w:lang w:val="en-US"/>
              </w:rPr>
            </w:pPr>
            <w:r w:rsidRPr="00393A06">
              <w:rPr>
                <w:b/>
                <w:lang w:val="en-US"/>
              </w:rPr>
              <w:t>6.2.3.1 and 6.2.3.3</w:t>
            </w:r>
          </w:p>
          <w:p w:rsidR="00393A06" w:rsidRPr="00337D56" w:rsidRDefault="00393A06" w:rsidP="00CD7935">
            <w:pPr>
              <w:jc w:val="center"/>
              <w:rPr>
                <w:rFonts w:ascii="(Asiatische Schriftart verwende" w:hAnsi="(Asiatische Schriftart verwende"/>
                <w:b/>
              </w:rPr>
            </w:pPr>
            <w:r w:rsidRPr="00337D56">
              <w:rPr>
                <w:b/>
              </w:rPr>
              <w:t>6.8.2.1.1, 6.8.2.2, 6.8.2.4.1 and 6.8.3.2.3</w:t>
            </w:r>
          </w:p>
        </w:tc>
      </w:tr>
      <w:tr w:rsidR="00393A06" w:rsidRPr="00337D56" w:rsidTr="00CD7935">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rsidR="00393A06" w:rsidRPr="00337D56" w:rsidRDefault="00393A06" w:rsidP="00CD7935">
            <w:pPr>
              <w:jc w:val="center"/>
              <w:rPr>
                <w:spacing w:val="-3"/>
              </w:rPr>
            </w:pPr>
            <w:r w:rsidRPr="00337D56">
              <w:rPr>
                <w:spacing w:val="-3"/>
              </w:rPr>
              <w:t>00286202</w:t>
            </w:r>
          </w:p>
        </w:tc>
        <w:tc>
          <w:tcPr>
            <w:tcW w:w="1703" w:type="pct"/>
            <w:gridSpan w:val="2"/>
            <w:vMerge/>
            <w:tcBorders>
              <w:bottom w:val="single" w:sz="6" w:space="0" w:color="auto"/>
            </w:tcBorders>
            <w:shd w:val="clear" w:color="auto" w:fill="F3F3F3"/>
            <w:tcMar>
              <w:top w:w="28" w:type="dxa"/>
              <w:bottom w:w="28" w:type="dxa"/>
            </w:tcMar>
          </w:tcPr>
          <w:p w:rsidR="00393A06" w:rsidRPr="00337D56" w:rsidRDefault="00393A06" w:rsidP="00CD7935">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393A06" w:rsidRPr="00337D56" w:rsidRDefault="00393A06" w:rsidP="00CD7935">
            <w:pPr>
              <w:pStyle w:val="NoteHead"/>
              <w:spacing w:before="0" w:after="0"/>
              <w:rPr>
                <w:bCs/>
                <w:smallCaps w:val="0"/>
                <w:sz w:val="20"/>
              </w:rPr>
            </w:pPr>
          </w:p>
        </w:tc>
      </w:tr>
      <w:tr w:rsidR="00393A06" w:rsidRPr="009E7975" w:rsidTr="00CD7935">
        <w:tc>
          <w:tcPr>
            <w:tcW w:w="5000" w:type="pct"/>
            <w:gridSpan w:val="9"/>
            <w:tcBorders>
              <w:top w:val="single" w:sz="6" w:space="0" w:color="auto"/>
            </w:tcBorders>
            <w:shd w:val="clear" w:color="auto" w:fill="auto"/>
          </w:tcPr>
          <w:p w:rsidR="00393A06" w:rsidRPr="00393A06" w:rsidRDefault="00393A06" w:rsidP="00CD7935">
            <w:pPr>
              <w:tabs>
                <w:tab w:val="num" w:pos="1134"/>
              </w:tabs>
              <w:jc w:val="both"/>
              <w:rPr>
                <w:rFonts w:eastAsia="MS Mincho"/>
                <w:lang w:val="en-US" w:eastAsia="ja-JP"/>
              </w:rPr>
            </w:pPr>
            <w:r w:rsidRPr="00393A06">
              <w:rPr>
                <w:rFonts w:eastAsia="MS Mincho"/>
                <w:lang w:val="en-US" w:eastAsia="ja-JP"/>
              </w:rPr>
              <w:t>Positive Assessment by the JMSA: This standard is compliant with the ADR and can be approved for inclusion in the referenced standards.</w:t>
            </w:r>
          </w:p>
        </w:tc>
      </w:tr>
      <w:tr w:rsidR="00393A06" w:rsidRPr="009E7975" w:rsidTr="00CD7935">
        <w:trPr>
          <w:trHeight w:val="160"/>
        </w:trPr>
        <w:tc>
          <w:tcPr>
            <w:tcW w:w="5000" w:type="pct"/>
            <w:gridSpan w:val="9"/>
            <w:shd w:val="clear" w:color="auto" w:fill="auto"/>
          </w:tcPr>
          <w:p w:rsidR="00393A06" w:rsidRPr="00393A06" w:rsidRDefault="00393A06" w:rsidP="00CD7935">
            <w:pPr>
              <w:rPr>
                <w:lang w:val="en-US"/>
              </w:rPr>
            </w:pPr>
            <w:r w:rsidRPr="00393A06">
              <w:rPr>
                <w:lang w:val="en-US"/>
              </w:rPr>
              <w:t>Enquiry draft discussed by STD’s WG in March 2020 – proposed and accepted by Joint Meeting</w:t>
            </w:r>
          </w:p>
        </w:tc>
      </w:tr>
      <w:tr w:rsidR="00393A06" w:rsidRPr="009E7975" w:rsidTr="00CD7935">
        <w:trPr>
          <w:trHeight w:val="160"/>
        </w:trPr>
        <w:tc>
          <w:tcPr>
            <w:tcW w:w="5000" w:type="pct"/>
            <w:gridSpan w:val="9"/>
            <w:shd w:val="clear" w:color="auto" w:fill="auto"/>
          </w:tcPr>
          <w:p w:rsidR="00393A06" w:rsidRPr="00393A06" w:rsidRDefault="00393A06" w:rsidP="00CD7935">
            <w:pPr>
              <w:rPr>
                <w:b/>
                <w:iCs/>
                <w:lang w:val="en-US"/>
              </w:rPr>
            </w:pPr>
            <w:r w:rsidRPr="00393A06">
              <w:rPr>
                <w:b/>
                <w:iCs/>
                <w:lang w:val="en-US"/>
              </w:rPr>
              <w:t>Comments from members of the Joint Meeting</w:t>
            </w:r>
            <w:r w:rsidRPr="00393A06">
              <w:rPr>
                <w:b/>
                <w:lang w:val="en-US"/>
              </w:rPr>
              <w:t>:</w:t>
            </w:r>
          </w:p>
        </w:tc>
      </w:tr>
      <w:tr w:rsidR="00393A06" w:rsidRPr="00337D56" w:rsidTr="00CD7935">
        <w:tc>
          <w:tcPr>
            <w:tcW w:w="331" w:type="pct"/>
            <w:shd w:val="clear" w:color="auto" w:fill="auto"/>
            <w:tcMar>
              <w:top w:w="57" w:type="dxa"/>
              <w:bottom w:w="57" w:type="dxa"/>
            </w:tcMar>
          </w:tcPr>
          <w:p w:rsidR="00393A06" w:rsidRPr="00337D56" w:rsidRDefault="00393A06" w:rsidP="00CD7935">
            <w:pPr>
              <w:jc w:val="center"/>
            </w:pPr>
            <w:r w:rsidRPr="00337D56">
              <w:t>Country</w:t>
            </w:r>
          </w:p>
        </w:tc>
        <w:tc>
          <w:tcPr>
            <w:tcW w:w="449" w:type="pct"/>
            <w:shd w:val="clear" w:color="auto" w:fill="auto"/>
            <w:tcMar>
              <w:top w:w="57" w:type="dxa"/>
              <w:bottom w:w="57" w:type="dxa"/>
            </w:tcMar>
          </w:tcPr>
          <w:p w:rsidR="00393A06" w:rsidRPr="00337D56" w:rsidRDefault="00393A06" w:rsidP="00CD7935">
            <w:pPr>
              <w:jc w:val="center"/>
            </w:pPr>
            <w:r w:rsidRPr="00337D56">
              <w:t>Clause No.</w:t>
            </w:r>
          </w:p>
        </w:tc>
        <w:tc>
          <w:tcPr>
            <w:tcW w:w="1711" w:type="pct"/>
            <w:gridSpan w:val="3"/>
            <w:shd w:val="clear" w:color="auto" w:fill="auto"/>
            <w:tcMar>
              <w:top w:w="57" w:type="dxa"/>
              <w:bottom w:w="57" w:type="dxa"/>
            </w:tcMar>
          </w:tcPr>
          <w:p w:rsidR="00393A06" w:rsidRPr="00337D56" w:rsidRDefault="00393A06" w:rsidP="00CD7935">
            <w:pPr>
              <w:jc w:val="center"/>
            </w:pPr>
            <w:r w:rsidRPr="00337D56">
              <w:t xml:space="preserve">Comment (justification for change) </w:t>
            </w:r>
          </w:p>
        </w:tc>
        <w:tc>
          <w:tcPr>
            <w:tcW w:w="762" w:type="pct"/>
            <w:gridSpan w:val="2"/>
            <w:shd w:val="clear" w:color="auto" w:fill="auto"/>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875" w:type="pct"/>
            <w:shd w:val="clear" w:color="auto" w:fill="auto"/>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JMSA</w:t>
            </w:r>
          </w:p>
        </w:tc>
        <w:tc>
          <w:tcPr>
            <w:tcW w:w="872" w:type="pct"/>
            <w:shd w:val="clear" w:color="auto" w:fill="auto"/>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WG Standards</w:t>
            </w: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c>
          <w:tcPr>
            <w:tcW w:w="331" w:type="pct"/>
            <w:shd w:val="clear" w:color="auto" w:fill="auto"/>
            <w:tcMar>
              <w:top w:w="57" w:type="dxa"/>
              <w:bottom w:w="57" w:type="dxa"/>
            </w:tcMar>
          </w:tcPr>
          <w:p w:rsidR="00393A06" w:rsidRPr="00337D56" w:rsidRDefault="00393A06" w:rsidP="00CD7935">
            <w:pPr>
              <w:spacing w:line="240" w:lineRule="auto"/>
              <w:jc w:val="center"/>
              <w:rPr>
                <w:bCs/>
              </w:rPr>
            </w:pPr>
          </w:p>
        </w:tc>
        <w:tc>
          <w:tcPr>
            <w:tcW w:w="449" w:type="pct"/>
            <w:shd w:val="clear" w:color="auto" w:fill="auto"/>
            <w:tcMar>
              <w:top w:w="57" w:type="dxa"/>
              <w:bottom w:w="57" w:type="dxa"/>
            </w:tcMar>
          </w:tcPr>
          <w:p w:rsidR="00393A06" w:rsidRPr="00337D56" w:rsidRDefault="00393A06" w:rsidP="00CD7935">
            <w:pPr>
              <w:spacing w:line="240" w:lineRule="auto"/>
              <w:rPr>
                <w:bCs/>
              </w:rPr>
            </w:pPr>
          </w:p>
        </w:tc>
        <w:tc>
          <w:tcPr>
            <w:tcW w:w="1711" w:type="pct"/>
            <w:gridSpan w:val="3"/>
            <w:shd w:val="clear" w:color="auto" w:fill="auto"/>
            <w:tcMar>
              <w:top w:w="57" w:type="dxa"/>
              <w:bottom w:w="57" w:type="dxa"/>
            </w:tcMar>
          </w:tcPr>
          <w:p w:rsidR="00393A06" w:rsidRPr="00337D56" w:rsidRDefault="00393A06" w:rsidP="00CD7935">
            <w:pPr>
              <w:tabs>
                <w:tab w:val="left" w:pos="6663"/>
              </w:tabs>
              <w:spacing w:line="240" w:lineRule="auto"/>
              <w:rPr>
                <w:bCs/>
              </w:rPr>
            </w:pPr>
          </w:p>
        </w:tc>
        <w:tc>
          <w:tcPr>
            <w:tcW w:w="762" w:type="pct"/>
            <w:gridSpan w:val="2"/>
            <w:shd w:val="clear" w:color="auto" w:fill="auto"/>
            <w:tcMar>
              <w:top w:w="57" w:type="dxa"/>
              <w:bottom w:w="57" w:type="dxa"/>
            </w:tcMar>
          </w:tcPr>
          <w:p w:rsidR="00393A06" w:rsidRPr="00337D56" w:rsidRDefault="00393A06" w:rsidP="00CD7935">
            <w:pPr>
              <w:spacing w:line="240" w:lineRule="auto"/>
              <w:rPr>
                <w:bCs/>
              </w:rPr>
            </w:pPr>
          </w:p>
        </w:tc>
        <w:tc>
          <w:tcPr>
            <w:tcW w:w="875" w:type="pct"/>
            <w:shd w:val="clear" w:color="auto" w:fill="auto"/>
            <w:tcMar>
              <w:top w:w="57" w:type="dxa"/>
              <w:bottom w:w="57" w:type="dxa"/>
            </w:tcMar>
          </w:tcPr>
          <w:p w:rsidR="00393A06" w:rsidRPr="00337D56" w:rsidRDefault="00393A06" w:rsidP="00CD7935">
            <w:pPr>
              <w:spacing w:line="240" w:lineRule="auto"/>
              <w:rPr>
                <w:bCs/>
              </w:rPr>
            </w:pPr>
          </w:p>
        </w:tc>
        <w:tc>
          <w:tcPr>
            <w:tcW w:w="872" w:type="pct"/>
            <w:shd w:val="clear" w:color="auto" w:fill="auto"/>
            <w:tcMar>
              <w:top w:w="57" w:type="dxa"/>
              <w:bottom w:w="57" w:type="dxa"/>
            </w:tcMar>
          </w:tcPr>
          <w:p w:rsidR="00393A06" w:rsidRPr="00337D56" w:rsidRDefault="00393A06" w:rsidP="00CD7935">
            <w:pPr>
              <w:spacing w:line="240" w:lineRule="auto"/>
              <w:rPr>
                <w:bCs/>
              </w:rPr>
            </w:pPr>
          </w:p>
        </w:tc>
      </w:tr>
      <w:tr w:rsidR="00393A06" w:rsidRPr="00337D56" w:rsidTr="00CD7935">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19" w:type="pct"/>
            <w:gridSpan w:val="2"/>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93A06" w:rsidRPr="009E7975" w:rsidTr="00CD7935">
              <w:trPr>
                <w:trHeight w:val="227"/>
              </w:trPr>
              <w:tc>
                <w:tcPr>
                  <w:tcW w:w="1536"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proofErr w:type="spellStart"/>
                  <w:r w:rsidRPr="00337D56">
                    <w:rPr>
                      <w:bCs/>
                    </w:rPr>
                    <w:t>Proposed</w:t>
                  </w:r>
                  <w:proofErr w:type="spellEnd"/>
                  <w:r w:rsidRPr="00337D56">
                    <w:rPr>
                      <w:bCs/>
                    </w:rPr>
                    <w:t xml:space="preserve"> transition </w:t>
                  </w:r>
                  <w:proofErr w:type="spellStart"/>
                  <w:r w:rsidRPr="00337D56">
                    <w:rPr>
                      <w:bCs/>
                    </w:rPr>
                    <w:t>regulation</w:t>
                  </w:r>
                  <w:proofErr w:type="spellEnd"/>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393A06" w:rsidRPr="00393A06" w:rsidRDefault="00393A06" w:rsidP="00CD7935">
                  <w:pPr>
                    <w:keepLines/>
                    <w:jc w:val="center"/>
                    <w:rPr>
                      <w:bCs/>
                      <w:lang w:val="en-US"/>
                    </w:rPr>
                  </w:pPr>
                  <w:r w:rsidRPr="00393A06">
                    <w:rPr>
                      <w:bCs/>
                      <w:lang w:val="en-US"/>
                    </w:rPr>
                    <w:t>Latest date for withdrawal of existing type approvals</w:t>
                  </w:r>
                </w:p>
              </w:tc>
            </w:tr>
            <w:tr w:rsidR="00393A06" w:rsidRPr="00337D56" w:rsidTr="00CD7935">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lastRenderedPageBreak/>
                    <w:t xml:space="preserve">EN </w:t>
                  </w:r>
                  <w:proofErr w:type="gramStart"/>
                  <w:r w:rsidRPr="00337D56">
                    <w:rPr>
                      <w:bCs/>
                    </w:rPr>
                    <w:t>13175:</w:t>
                  </w:r>
                  <w:proofErr w:type="gramEnd"/>
                  <w:r w:rsidRPr="00337D56">
                    <w:rPr>
                      <w:bCs/>
                    </w:rPr>
                    <w:t>2019 (</w:t>
                  </w:r>
                  <w:proofErr w:type="spellStart"/>
                  <w:r w:rsidRPr="00337D56">
                    <w:rPr>
                      <w:bCs/>
                    </w:rPr>
                    <w:t>except</w:t>
                  </w:r>
                  <w:proofErr w:type="spellEnd"/>
                  <w:r w:rsidRPr="00337D56">
                    <w:rPr>
                      <w:bCs/>
                    </w:rPr>
                    <w:t xml:space="preserve"> clause 6.1.6)</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roofErr w:type="spellStart"/>
                  <w:r w:rsidRPr="00337D56">
                    <w:rPr>
                      <w:bCs/>
                    </w:rPr>
                    <w:t>Between</w:t>
                  </w:r>
                  <w:proofErr w:type="spellEnd"/>
                  <w:r w:rsidRPr="00337D56">
                    <w:rPr>
                      <w:bCs/>
                    </w:rPr>
                    <w:t xml:space="preserve"> 1 </w:t>
                  </w:r>
                  <w:proofErr w:type="spellStart"/>
                  <w:r w:rsidRPr="00337D56">
                    <w:rPr>
                      <w:bCs/>
                    </w:rPr>
                    <w:t>January</w:t>
                  </w:r>
                  <w:proofErr w:type="spellEnd"/>
                  <w:r w:rsidRPr="00337D56">
                    <w:rPr>
                      <w:bCs/>
                    </w:rPr>
                    <w:t xml:space="preserve"> 2021 and 31 </w:t>
                  </w:r>
                  <w:proofErr w:type="spellStart"/>
                  <w:r w:rsidRPr="00337D56">
                    <w:rPr>
                      <w:bCs/>
                    </w:rPr>
                    <w:t>December</w:t>
                  </w:r>
                  <w:proofErr w:type="spellEnd"/>
                  <w:r w:rsidRPr="00337D56">
                    <w:rPr>
                      <w:bCs/>
                    </w:rPr>
                    <w:t xml:space="preserve">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r>
            <w:tr w:rsidR="00393A06" w:rsidRPr="00337D56" w:rsidTr="00CD7935">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93A06" w:rsidRPr="00337D56" w:rsidRDefault="00393A06" w:rsidP="00CD7935">
                  <w:pPr>
                    <w:jc w:val="center"/>
                    <w:rPr>
                      <w:bCs/>
                    </w:rPr>
                  </w:pPr>
                  <w:r w:rsidRPr="00337D56">
                    <w:rPr>
                      <w:bCs/>
                    </w:rPr>
                    <w:t xml:space="preserve">EN </w:t>
                  </w:r>
                  <w:proofErr w:type="gramStart"/>
                  <w:r w:rsidRPr="00337D56">
                    <w:rPr>
                      <w:bCs/>
                    </w:rPr>
                    <w:t>13175:</w:t>
                  </w:r>
                  <w:proofErr w:type="gramEnd"/>
                  <w:r w:rsidRPr="00337D56">
                    <w:rPr>
                      <w:bCs/>
                    </w:rPr>
                    <w:t>2019 + A1:2020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roofErr w:type="spellStart"/>
                  <w:r w:rsidRPr="00337D56">
                    <w:rPr>
                      <w:bCs/>
                    </w:rPr>
                    <w:t>Until</w:t>
                  </w:r>
                  <w:proofErr w:type="spellEnd"/>
                  <w:r w:rsidRPr="00337D56">
                    <w:rPr>
                      <w:bCs/>
                    </w:rPr>
                    <w:t xml:space="preserve"> </w:t>
                  </w:r>
                  <w:proofErr w:type="spellStart"/>
                  <w:r w:rsidRPr="00337D56">
                    <w:rPr>
                      <w:bCs/>
                    </w:rPr>
                    <w:t>further</w:t>
                  </w:r>
                  <w:proofErr w:type="spellEnd"/>
                  <w:r w:rsidRPr="00337D56">
                    <w:rPr>
                      <w:bCs/>
                    </w:rPr>
                    <w:t xml:space="preserve">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393A06" w:rsidRPr="00337D56" w:rsidRDefault="00393A06" w:rsidP="00CD7935">
                  <w:pPr>
                    <w:keepNext/>
                    <w:ind w:hanging="22"/>
                    <w:jc w:val="center"/>
                    <w:rPr>
                      <w:bCs/>
                    </w:rPr>
                  </w:pPr>
                </w:p>
              </w:tc>
            </w:tr>
          </w:tbl>
          <w:p w:rsidR="00393A06" w:rsidRPr="00337D56" w:rsidRDefault="00393A06" w:rsidP="00CD7935">
            <w:pPr>
              <w:keepLines/>
              <w:tabs>
                <w:tab w:val="left" w:pos="6663"/>
              </w:tabs>
              <w:rPr>
                <w:bCs/>
              </w:rPr>
            </w:pPr>
          </w:p>
        </w:tc>
      </w:tr>
    </w:tbl>
    <w:p w:rsidR="00393A06" w:rsidRPr="00393A06" w:rsidRDefault="00393A06" w:rsidP="00393A06">
      <w:pPr>
        <w:pStyle w:val="SingleTxtG"/>
        <w:spacing w:before="240" w:after="0"/>
        <w:ind w:left="0"/>
        <w:jc w:val="left"/>
        <w:rPr>
          <w:b/>
          <w:sz w:val="24"/>
          <w:szCs w:val="24"/>
          <w:u w:val="single"/>
          <w:lang w:val="en-US"/>
        </w:rPr>
      </w:pPr>
      <w:r w:rsidRPr="00393A06">
        <w:rPr>
          <w:b/>
          <w:sz w:val="24"/>
          <w:szCs w:val="24"/>
          <w:u w:val="single"/>
          <w:lang w:val="en-US"/>
        </w:rPr>
        <w:lastRenderedPageBreak/>
        <w:t>EN ISO 21029-2:2015 replacing EN 1251-3:2000 which has been withdrawn</w:t>
      </w:r>
    </w:p>
    <w:p w:rsidR="00393A06" w:rsidRPr="00393A06" w:rsidRDefault="00393A06" w:rsidP="00393A06">
      <w:pPr>
        <w:pStyle w:val="SingleTxtG"/>
        <w:numPr>
          <w:ilvl w:val="0"/>
          <w:numId w:val="20"/>
        </w:numPr>
        <w:kinsoku/>
        <w:overflowPunct/>
        <w:autoSpaceDE/>
        <w:autoSpaceDN/>
        <w:adjustRightInd/>
        <w:snapToGrid/>
        <w:spacing w:before="240" w:after="0"/>
        <w:rPr>
          <w:bCs/>
          <w:lang w:val="en-US"/>
        </w:rPr>
      </w:pPr>
      <w:bookmarkStart w:id="6" w:name="_Hlk42504440"/>
      <w:bookmarkStart w:id="7" w:name="_Hlk42509460"/>
      <w:r w:rsidRPr="00393A06">
        <w:rPr>
          <w:bCs/>
          <w:lang w:val="en-US"/>
        </w:rPr>
        <w:t xml:space="preserve">The Joint Meeting Working Group on standards </w:t>
      </w:r>
      <w:bookmarkEnd w:id="6"/>
      <w:r w:rsidRPr="00393A06">
        <w:rPr>
          <w:bCs/>
          <w:lang w:val="en-US"/>
        </w:rPr>
        <w:t xml:space="preserve">has been informed that </w:t>
      </w:r>
      <w:bookmarkEnd w:id="7"/>
      <w:r w:rsidRPr="00393A06">
        <w:rPr>
          <w:bCs/>
          <w:lang w:val="en-US"/>
        </w:rPr>
        <w:t>the EN 1251-3:2000 which is referenced in RID/ADR 6.2.4.2 was withdrawn in 2015, being replaced by EN ISO 21029-2:2015. It has been asked by the Chair of the WG on Standards to include this standard in the dispatch for the September 2020 session, to be reviewed at the Joint Meeting. The JMSA assessment on this standard is positive: the EN ISO 21029-2:2015 is suitable for referencing in the ADR providing that the reference excludes a precise subclause of the standard: the clause 14 - 2nd paragraph, 3rd bullet, 2nd sub-bullet.</w:t>
      </w:r>
    </w:p>
    <w:p w:rsidR="00393A06" w:rsidRPr="00393A06" w:rsidRDefault="00393A06" w:rsidP="00393A06">
      <w:pPr>
        <w:pStyle w:val="SingleTxtG"/>
        <w:spacing w:before="240" w:after="0"/>
        <w:ind w:left="720"/>
        <w:rPr>
          <w:bCs/>
          <w:lang w:val="en-U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11"/>
        <w:gridCol w:w="13"/>
        <w:gridCol w:w="1016"/>
        <w:gridCol w:w="3467"/>
        <w:gridCol w:w="10"/>
        <w:gridCol w:w="1923"/>
        <w:gridCol w:w="1918"/>
        <w:gridCol w:w="2456"/>
        <w:gridCol w:w="30"/>
      </w:tblGrid>
      <w:tr w:rsidR="00393A06" w:rsidRPr="009E7975" w:rsidTr="00CD7935">
        <w:trPr>
          <w:gridAfter w:val="1"/>
          <w:wAfter w:w="12" w:type="pct"/>
        </w:trPr>
        <w:tc>
          <w:tcPr>
            <w:tcW w:w="4988" w:type="pct"/>
            <w:gridSpan w:val="9"/>
          </w:tcPr>
          <w:p w:rsidR="00393A06" w:rsidRPr="00393A06" w:rsidRDefault="00393A06" w:rsidP="00CD7935">
            <w:pPr>
              <w:rPr>
                <w:lang w:val="en-US"/>
              </w:rPr>
            </w:pPr>
            <w:r w:rsidRPr="00393A06">
              <w:rPr>
                <w:b/>
                <w:iCs/>
                <w:lang w:val="en-US"/>
              </w:rPr>
              <w:t>Comments from members of the Joint Meeting</w:t>
            </w:r>
            <w:r w:rsidRPr="00393A06">
              <w:rPr>
                <w:b/>
                <w:lang w:val="en-US"/>
              </w:rPr>
              <w:t>:</w:t>
            </w:r>
          </w:p>
        </w:tc>
      </w:tr>
      <w:tr w:rsidR="00393A06" w:rsidRPr="00337D56" w:rsidTr="00CD7935">
        <w:trPr>
          <w:gridAfter w:val="1"/>
          <w:wAfter w:w="12" w:type="pct"/>
        </w:trPr>
        <w:tc>
          <w:tcPr>
            <w:tcW w:w="313" w:type="pct"/>
            <w:tcMar>
              <w:top w:w="57" w:type="dxa"/>
              <w:bottom w:w="57" w:type="dxa"/>
            </w:tcMar>
          </w:tcPr>
          <w:p w:rsidR="00393A06" w:rsidRPr="00337D56" w:rsidRDefault="00393A06" w:rsidP="00CD7935">
            <w:pPr>
              <w:jc w:val="center"/>
            </w:pPr>
            <w:r w:rsidRPr="00337D56">
              <w:t>Country</w:t>
            </w:r>
          </w:p>
        </w:tc>
        <w:tc>
          <w:tcPr>
            <w:tcW w:w="405" w:type="pct"/>
            <w:gridSpan w:val="2"/>
            <w:tcMar>
              <w:top w:w="57" w:type="dxa"/>
              <w:bottom w:w="57" w:type="dxa"/>
            </w:tcMar>
          </w:tcPr>
          <w:p w:rsidR="00393A06" w:rsidRPr="00337D56" w:rsidRDefault="00393A06" w:rsidP="00CD7935">
            <w:pPr>
              <w:jc w:val="center"/>
            </w:pPr>
            <w:r w:rsidRPr="00337D56">
              <w:t>Clause No.</w:t>
            </w:r>
          </w:p>
        </w:tc>
        <w:tc>
          <w:tcPr>
            <w:tcW w:w="1778" w:type="pct"/>
            <w:gridSpan w:val="3"/>
            <w:tcMar>
              <w:top w:w="57" w:type="dxa"/>
              <w:bottom w:w="57" w:type="dxa"/>
            </w:tcMar>
          </w:tcPr>
          <w:p w:rsidR="00393A06" w:rsidRPr="00337D56" w:rsidRDefault="00393A06" w:rsidP="00CD7935">
            <w:pPr>
              <w:jc w:val="center"/>
            </w:pPr>
            <w:r w:rsidRPr="00337D56">
              <w:t xml:space="preserve">Comment (justification for change) </w:t>
            </w:r>
          </w:p>
        </w:tc>
        <w:tc>
          <w:tcPr>
            <w:tcW w:w="761" w:type="pct"/>
            <w:tcMar>
              <w:top w:w="57" w:type="dxa"/>
              <w:bottom w:w="57" w:type="dxa"/>
            </w:tcMar>
          </w:tcPr>
          <w:p w:rsidR="00393A06" w:rsidRPr="00337D56" w:rsidRDefault="00393A06" w:rsidP="00CD7935">
            <w:pPr>
              <w:jc w:val="center"/>
            </w:pPr>
            <w:proofErr w:type="spellStart"/>
            <w:r w:rsidRPr="00337D56">
              <w:t>Proposed</w:t>
            </w:r>
            <w:proofErr w:type="spellEnd"/>
            <w:r w:rsidRPr="00337D56">
              <w:t xml:space="preserve"> change </w:t>
            </w:r>
          </w:p>
        </w:tc>
        <w:tc>
          <w:tcPr>
            <w:tcW w:w="759" w:type="pct"/>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p>
          <w:p w:rsidR="00393A06" w:rsidRPr="00337D56" w:rsidRDefault="00393A06" w:rsidP="00CD7935">
            <w:pPr>
              <w:jc w:val="center"/>
            </w:pPr>
            <w:r w:rsidRPr="00337D56">
              <w:t xml:space="preserve">JMSA </w:t>
            </w:r>
          </w:p>
        </w:tc>
        <w:tc>
          <w:tcPr>
            <w:tcW w:w="972" w:type="pct"/>
            <w:tcMar>
              <w:top w:w="57" w:type="dxa"/>
              <w:bottom w:w="57" w:type="dxa"/>
            </w:tcMar>
          </w:tcPr>
          <w:p w:rsidR="00393A06" w:rsidRPr="00337D56" w:rsidRDefault="00393A06" w:rsidP="00CD7935">
            <w:pPr>
              <w:jc w:val="center"/>
            </w:pPr>
            <w:r w:rsidRPr="00337D56">
              <w:t xml:space="preserve">Comment </w:t>
            </w:r>
            <w:proofErr w:type="spellStart"/>
            <w:r w:rsidRPr="00337D56">
              <w:t>from</w:t>
            </w:r>
            <w:proofErr w:type="spellEnd"/>
            <w:r w:rsidRPr="00337D56">
              <w:t xml:space="preserve"> </w:t>
            </w:r>
          </w:p>
          <w:p w:rsidR="00393A06" w:rsidRPr="00337D56" w:rsidRDefault="00393A06" w:rsidP="00CD7935">
            <w:pPr>
              <w:jc w:val="center"/>
            </w:pPr>
            <w:r w:rsidRPr="00337D56">
              <w:t>WG Standards</w:t>
            </w:r>
          </w:p>
        </w:tc>
      </w:tr>
      <w:tr w:rsidR="00393A06" w:rsidRPr="00337D56" w:rsidTr="00CD7935">
        <w:trPr>
          <w:gridAfter w:val="1"/>
          <w:wAfter w:w="12" w:type="pct"/>
          <w:trHeight w:val="498"/>
        </w:trPr>
        <w:tc>
          <w:tcPr>
            <w:tcW w:w="313" w:type="pct"/>
            <w:tcMar>
              <w:top w:w="0" w:type="dxa"/>
              <w:bottom w:w="0" w:type="dxa"/>
            </w:tcMar>
          </w:tcPr>
          <w:p w:rsidR="00393A06" w:rsidRPr="00337D56" w:rsidRDefault="00393A06" w:rsidP="00CD7935">
            <w:pPr>
              <w:jc w:val="center"/>
            </w:pPr>
          </w:p>
        </w:tc>
        <w:tc>
          <w:tcPr>
            <w:tcW w:w="405" w:type="pct"/>
            <w:gridSpan w:val="2"/>
            <w:tcBorders>
              <w:top w:val="single" w:sz="6" w:space="0" w:color="auto"/>
              <w:bottom w:val="single" w:sz="6" w:space="0" w:color="auto"/>
            </w:tcBorders>
            <w:tcMar>
              <w:top w:w="0" w:type="dxa"/>
              <w:bottom w:w="0" w:type="dxa"/>
            </w:tcMar>
          </w:tcPr>
          <w:p w:rsidR="00393A06" w:rsidRPr="00337D56" w:rsidRDefault="00393A06" w:rsidP="00CD7935">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rsidR="00393A06" w:rsidRPr="00337D56" w:rsidRDefault="00393A06" w:rsidP="00CD7935">
            <w:pPr>
              <w:pStyle w:val="ISOComments"/>
              <w:spacing w:before="60" w:after="60" w:line="240" w:lineRule="auto"/>
              <w:rPr>
                <w:rFonts w:ascii="Times New Roman" w:hAnsi="Times New Roman"/>
                <w:sz w:val="20"/>
                <w:lang w:eastAsia="en-GB"/>
              </w:rPr>
            </w:pPr>
          </w:p>
        </w:tc>
        <w:tc>
          <w:tcPr>
            <w:tcW w:w="761" w:type="pct"/>
            <w:tcBorders>
              <w:left w:val="single" w:sz="4" w:space="0" w:color="auto"/>
            </w:tcBorders>
            <w:tcMar>
              <w:top w:w="0" w:type="dxa"/>
              <w:bottom w:w="0" w:type="dxa"/>
            </w:tcMar>
          </w:tcPr>
          <w:p w:rsidR="00393A06" w:rsidRPr="00337D56" w:rsidRDefault="00393A06" w:rsidP="00CD7935">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rsidR="00393A06" w:rsidRPr="00337D56" w:rsidRDefault="00393A06" w:rsidP="00CD7935">
            <w:pPr>
              <w:rPr>
                <w:bCs/>
              </w:rPr>
            </w:pPr>
          </w:p>
        </w:tc>
        <w:tc>
          <w:tcPr>
            <w:tcW w:w="972" w:type="pct"/>
            <w:tcMar>
              <w:top w:w="0" w:type="dxa"/>
              <w:bottom w:w="0" w:type="dxa"/>
            </w:tcMar>
          </w:tcPr>
          <w:p w:rsidR="00393A06" w:rsidRPr="00337D56" w:rsidRDefault="00393A06" w:rsidP="00CD7935">
            <w:pPr>
              <w:keepLines/>
              <w:rPr>
                <w:bCs/>
              </w:rPr>
            </w:pPr>
          </w:p>
        </w:tc>
      </w:tr>
      <w:tr w:rsidR="00393A06" w:rsidRPr="00337D56" w:rsidTr="00CD7935">
        <w:trPr>
          <w:gridAfter w:val="1"/>
          <w:wAfter w:w="12" w:type="pct"/>
          <w:trHeight w:val="548"/>
        </w:trPr>
        <w:tc>
          <w:tcPr>
            <w:tcW w:w="313" w:type="pct"/>
            <w:tcBorders>
              <w:top w:val="single" w:sz="6" w:space="0" w:color="auto"/>
              <w:bottom w:val="single" w:sz="6" w:space="0" w:color="auto"/>
            </w:tcBorders>
            <w:tcMar>
              <w:top w:w="0" w:type="dxa"/>
              <w:bottom w:w="0" w:type="dxa"/>
            </w:tcMar>
          </w:tcPr>
          <w:p w:rsidR="00393A06" w:rsidRPr="00337D56" w:rsidRDefault="00393A06" w:rsidP="00CD7935">
            <w:pPr>
              <w:jc w:val="center"/>
              <w:rPr>
                <w:bCs/>
              </w:rPr>
            </w:pPr>
          </w:p>
        </w:tc>
        <w:tc>
          <w:tcPr>
            <w:tcW w:w="405" w:type="pct"/>
            <w:gridSpan w:val="2"/>
            <w:tcBorders>
              <w:top w:val="single" w:sz="6" w:space="0" w:color="auto"/>
              <w:bottom w:val="single" w:sz="6" w:space="0" w:color="auto"/>
            </w:tcBorders>
            <w:tcMar>
              <w:top w:w="0" w:type="dxa"/>
              <w:bottom w:w="0" w:type="dxa"/>
            </w:tcMar>
          </w:tcPr>
          <w:p w:rsidR="00393A06" w:rsidRPr="00337D56" w:rsidRDefault="00393A06" w:rsidP="00CD7935">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rsidR="00393A06" w:rsidRPr="00337D56" w:rsidRDefault="00393A06" w:rsidP="00CD7935">
            <w:pPr>
              <w:pStyle w:val="ISOComments"/>
              <w:spacing w:before="60" w:after="60" w:line="240" w:lineRule="auto"/>
              <w:rPr>
                <w:rFonts w:ascii="Times New Roman" w:hAnsi="Times New Roman"/>
                <w:sz w:val="20"/>
              </w:rPr>
            </w:pPr>
          </w:p>
        </w:tc>
        <w:tc>
          <w:tcPr>
            <w:tcW w:w="761" w:type="pct"/>
            <w:tcBorders>
              <w:top w:val="single" w:sz="6" w:space="0" w:color="auto"/>
              <w:bottom w:val="single" w:sz="6" w:space="0" w:color="auto"/>
            </w:tcBorders>
            <w:tcMar>
              <w:top w:w="0" w:type="dxa"/>
              <w:bottom w:w="0" w:type="dxa"/>
            </w:tcMar>
          </w:tcPr>
          <w:p w:rsidR="00393A06" w:rsidRPr="00337D56" w:rsidRDefault="00393A06" w:rsidP="00CD7935"/>
        </w:tc>
        <w:tc>
          <w:tcPr>
            <w:tcW w:w="759" w:type="pct"/>
            <w:tcBorders>
              <w:left w:val="single" w:sz="4" w:space="0" w:color="auto"/>
            </w:tcBorders>
            <w:tcMar>
              <w:top w:w="0" w:type="dxa"/>
              <w:bottom w:w="0" w:type="dxa"/>
            </w:tcMar>
          </w:tcPr>
          <w:p w:rsidR="00393A06" w:rsidRPr="00337D56" w:rsidRDefault="00393A06" w:rsidP="00CD7935">
            <w:pPr>
              <w:rPr>
                <w:bCs/>
              </w:rPr>
            </w:pPr>
          </w:p>
        </w:tc>
        <w:tc>
          <w:tcPr>
            <w:tcW w:w="972" w:type="pct"/>
            <w:tcMar>
              <w:top w:w="0" w:type="dxa"/>
              <w:bottom w:w="0" w:type="dxa"/>
            </w:tcMar>
          </w:tcPr>
          <w:p w:rsidR="00393A06" w:rsidRPr="00337D56" w:rsidRDefault="00393A06" w:rsidP="00CD7935">
            <w:pPr>
              <w:keepLines/>
              <w:rPr>
                <w:bCs/>
              </w:rPr>
            </w:pPr>
          </w:p>
        </w:tc>
      </w:tr>
      <w:tr w:rsidR="00393A06" w:rsidRPr="00337D56" w:rsidTr="00CD7935">
        <w:trPr>
          <w:trHeight w:val="655"/>
        </w:trPr>
        <w:tc>
          <w:tcPr>
            <w:tcW w:w="713" w:type="pct"/>
            <w:gridSpan w:val="2"/>
            <w:tcBorders>
              <w:top w:val="single" w:sz="12" w:space="0" w:color="auto"/>
              <w:bottom w:val="single" w:sz="12" w:space="0" w:color="auto"/>
            </w:tcBorders>
            <w:shd w:val="clear" w:color="auto" w:fill="F2F2F2"/>
            <w:tcMar>
              <w:top w:w="0" w:type="dxa"/>
              <w:bottom w:w="0" w:type="dxa"/>
            </w:tcMar>
          </w:tcPr>
          <w:p w:rsidR="00393A06" w:rsidRPr="00393A06" w:rsidRDefault="00393A06" w:rsidP="00CD7935">
            <w:pPr>
              <w:rPr>
                <w:b/>
                <w:bCs/>
                <w:lang w:val="en-US"/>
              </w:rPr>
            </w:pPr>
            <w:r w:rsidRPr="00393A06">
              <w:rPr>
                <w:b/>
                <w:lang w:val="en-US"/>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jc w:val="center"/>
              <w:rPr>
                <w:bCs/>
              </w:rPr>
            </w:pPr>
            <w:r w:rsidRPr="00337D56">
              <w:rPr>
                <w:bCs/>
              </w:rPr>
              <w:t>Accepted</w:t>
            </w:r>
          </w:p>
          <w:p w:rsidR="00393A06" w:rsidRPr="00337D56" w:rsidRDefault="00393A06" w:rsidP="00CD7935">
            <w:pPr>
              <w:keepLines/>
              <w:jc w:val="center"/>
              <w:rPr>
                <w:bCs/>
              </w:rPr>
            </w:pPr>
          </w:p>
        </w:tc>
        <w:tc>
          <w:tcPr>
            <w:tcW w:w="1372" w:type="pct"/>
            <w:tcBorders>
              <w:top w:val="single" w:sz="12" w:space="0" w:color="auto"/>
              <w:bottom w:val="single" w:sz="12" w:space="0" w:color="auto"/>
            </w:tcBorders>
            <w:shd w:val="clear" w:color="auto" w:fill="F2F2F2"/>
          </w:tcPr>
          <w:p w:rsidR="00393A06" w:rsidRPr="00337D56" w:rsidRDefault="00393A06" w:rsidP="00CD7935">
            <w:pPr>
              <w:keepLines/>
              <w:tabs>
                <w:tab w:val="left" w:pos="6663"/>
              </w:tabs>
              <w:jc w:val="center"/>
              <w:rPr>
                <w:bCs/>
              </w:rPr>
            </w:pPr>
            <w:proofErr w:type="spellStart"/>
            <w:r w:rsidRPr="00337D56">
              <w:rPr>
                <w:bCs/>
              </w:rPr>
              <w:t>Comments</w:t>
            </w:r>
            <w:proofErr w:type="spellEnd"/>
          </w:p>
          <w:p w:rsidR="00393A06" w:rsidRPr="00337D56" w:rsidRDefault="00393A06" w:rsidP="00CD7935">
            <w:pPr>
              <w:keepLines/>
              <w:tabs>
                <w:tab w:val="left" w:pos="6663"/>
              </w:tabs>
              <w:rPr>
                <w:bCs/>
              </w:rPr>
            </w:pPr>
          </w:p>
          <w:p w:rsidR="00393A06" w:rsidRPr="00337D56" w:rsidRDefault="00393A06" w:rsidP="00CD7935">
            <w:pPr>
              <w:keepLines/>
              <w:tabs>
                <w:tab w:val="left" w:pos="6663"/>
              </w:tabs>
              <w:rPr>
                <w:bCs/>
              </w:rPr>
            </w:pPr>
          </w:p>
        </w:tc>
        <w:tc>
          <w:tcPr>
            <w:tcW w:w="2509" w:type="pct"/>
            <w:gridSpan w:val="5"/>
            <w:tcBorders>
              <w:top w:val="single" w:sz="12" w:space="0" w:color="auto"/>
              <w:bottom w:val="single" w:sz="12" w:space="0" w:color="auto"/>
            </w:tcBorders>
            <w:shd w:val="clear" w:color="auto" w:fill="F2F2F2"/>
            <w:tcMar>
              <w:top w:w="0" w:type="dxa"/>
              <w:bottom w:w="0" w:type="dxa"/>
            </w:tcMar>
          </w:tcPr>
          <w:p w:rsidR="00393A06" w:rsidRPr="00337D56" w:rsidRDefault="00393A06" w:rsidP="00CD7935">
            <w:pPr>
              <w:keepLines/>
              <w:tabs>
                <w:tab w:val="left" w:pos="6663"/>
              </w:tabs>
              <w:rPr>
                <w:bCs/>
              </w:rPr>
            </w:pPr>
          </w:p>
        </w:tc>
      </w:tr>
    </w:tbl>
    <w:p w:rsidR="00393A06" w:rsidRPr="00393A06" w:rsidRDefault="00393A06" w:rsidP="00393A06">
      <w:pPr>
        <w:pStyle w:val="SingleTxtG"/>
        <w:spacing w:before="120" w:after="0"/>
        <w:ind w:left="0"/>
        <w:rPr>
          <w:b/>
          <w:sz w:val="24"/>
          <w:szCs w:val="24"/>
          <w:u w:val="single"/>
          <w:lang w:val="en-US"/>
        </w:rPr>
      </w:pPr>
      <w:r w:rsidRPr="00393A06">
        <w:rPr>
          <w:b/>
          <w:sz w:val="24"/>
          <w:szCs w:val="24"/>
          <w:u w:val="single"/>
          <w:lang w:val="en-US"/>
        </w:rPr>
        <w:t xml:space="preserve">Replacement of EN 1975:1999 + A1:2003 by EN ISO 7866:2012 + AC:2010 </w:t>
      </w:r>
    </w:p>
    <w:p w:rsidR="00393A06" w:rsidRPr="00337D56" w:rsidRDefault="00393A06" w:rsidP="00393A06">
      <w:pPr>
        <w:pStyle w:val="SingleTxtG"/>
        <w:numPr>
          <w:ilvl w:val="0"/>
          <w:numId w:val="20"/>
        </w:numPr>
        <w:kinsoku/>
        <w:overflowPunct/>
        <w:autoSpaceDE/>
        <w:autoSpaceDN/>
        <w:adjustRightInd/>
        <w:snapToGrid/>
        <w:spacing w:before="240" w:after="0"/>
        <w:rPr>
          <w:bCs/>
        </w:rPr>
      </w:pPr>
      <w:r w:rsidRPr="00393A06">
        <w:rPr>
          <w:bCs/>
          <w:lang w:val="en-US"/>
        </w:rPr>
        <w:t xml:space="preserve">The Joint Meeting Working Group on standards has been informed that in RID/ADR 6.2.5.4.2 there is an informative reference to EN 1975:1999 + A1:2003 that could potentially be replaced by EN ISO 7866:2012 + AC:2010.  Both these standards comply with RID/ADR and the latter is the standard used for current construction.  The Joint Meeting Working Group on standards will have to determine whether it should refer to both or only the current standard.  </w:t>
      </w:r>
      <w:proofErr w:type="spellStart"/>
      <w:r w:rsidRPr="00337D56">
        <w:rPr>
          <w:bCs/>
        </w:rPr>
        <w:t>Alternatively</w:t>
      </w:r>
      <w:proofErr w:type="spellEnd"/>
      <w:r w:rsidRPr="00337D56">
        <w:rPr>
          <w:bCs/>
        </w:rPr>
        <w:t xml:space="preserve">, </w:t>
      </w:r>
      <w:proofErr w:type="spellStart"/>
      <w:r w:rsidRPr="00337D56">
        <w:rPr>
          <w:bCs/>
        </w:rPr>
        <w:t>it</w:t>
      </w:r>
      <w:proofErr w:type="spellEnd"/>
      <w:r w:rsidRPr="00337D56">
        <w:rPr>
          <w:bCs/>
        </w:rPr>
        <w:t xml:space="preserve"> </w:t>
      </w:r>
      <w:proofErr w:type="spellStart"/>
      <w:r w:rsidRPr="00337D56">
        <w:rPr>
          <w:bCs/>
        </w:rPr>
        <w:t>may</w:t>
      </w:r>
      <w:proofErr w:type="spellEnd"/>
      <w:r w:rsidRPr="00337D56">
        <w:rPr>
          <w:bCs/>
        </w:rPr>
        <w:t xml:space="preserve"> </w:t>
      </w:r>
      <w:proofErr w:type="spellStart"/>
      <w:r w:rsidRPr="00337D56">
        <w:rPr>
          <w:bCs/>
        </w:rPr>
        <w:t>be</w:t>
      </w:r>
      <w:proofErr w:type="spellEnd"/>
      <w:r w:rsidRPr="00337D56">
        <w:rPr>
          <w:bCs/>
        </w:rPr>
        <w:t xml:space="preserve"> </w:t>
      </w:r>
      <w:proofErr w:type="spellStart"/>
      <w:r w:rsidRPr="00337D56">
        <w:rPr>
          <w:bCs/>
        </w:rPr>
        <w:t>decided</w:t>
      </w:r>
      <w:proofErr w:type="spellEnd"/>
      <w:r w:rsidRPr="00337D56">
        <w:rPr>
          <w:bCs/>
        </w:rPr>
        <w:t xml:space="preserve"> </w:t>
      </w:r>
      <w:proofErr w:type="spellStart"/>
      <w:r w:rsidRPr="00337D56">
        <w:rPr>
          <w:bCs/>
        </w:rPr>
        <w:t>neither</w:t>
      </w:r>
      <w:proofErr w:type="spellEnd"/>
      <w:r w:rsidRPr="00337D56">
        <w:rPr>
          <w:bCs/>
        </w:rPr>
        <w:t xml:space="preserve"> </w:t>
      </w:r>
      <w:proofErr w:type="spellStart"/>
      <w:r w:rsidRPr="00337D56">
        <w:rPr>
          <w:bCs/>
        </w:rPr>
        <w:t>should</w:t>
      </w:r>
      <w:proofErr w:type="spellEnd"/>
      <w:r w:rsidRPr="00337D56">
        <w:rPr>
          <w:bCs/>
        </w:rPr>
        <w:t xml:space="preserve"> </w:t>
      </w:r>
      <w:proofErr w:type="spellStart"/>
      <w:r w:rsidRPr="00337D56">
        <w:rPr>
          <w:bCs/>
        </w:rPr>
        <w:t>be</w:t>
      </w:r>
      <w:proofErr w:type="spellEnd"/>
      <w:r w:rsidRPr="00337D56">
        <w:rPr>
          <w:bCs/>
        </w:rPr>
        <w:t xml:space="preserve"> </w:t>
      </w:r>
      <w:proofErr w:type="spellStart"/>
      <w:r w:rsidRPr="00337D56">
        <w:rPr>
          <w:bCs/>
        </w:rPr>
        <w:t>mentioned</w:t>
      </w:r>
      <w:proofErr w:type="spellEnd"/>
      <w:r w:rsidRPr="00337D56">
        <w:rPr>
          <w:bCs/>
        </w:rPr>
        <w:t>.</w:t>
      </w:r>
    </w:p>
    <w:p w:rsidR="00393A06" w:rsidRPr="00393A06" w:rsidRDefault="00393A06" w:rsidP="00393A06">
      <w:pPr>
        <w:pStyle w:val="SingleTxtG"/>
        <w:spacing w:before="120" w:after="0"/>
        <w:ind w:left="0"/>
        <w:jc w:val="left"/>
        <w:rPr>
          <w:b/>
          <w:sz w:val="24"/>
          <w:szCs w:val="24"/>
          <w:u w:val="single"/>
          <w:lang w:val="en-US"/>
        </w:rPr>
      </w:pPr>
      <w:r w:rsidRPr="00393A06">
        <w:rPr>
          <w:b/>
          <w:sz w:val="24"/>
          <w:szCs w:val="24"/>
          <w:u w:val="single"/>
          <w:lang w:val="en-US"/>
        </w:rPr>
        <w:t xml:space="preserve">WIs of </w:t>
      </w:r>
      <w:proofErr w:type="gramStart"/>
      <w:r w:rsidRPr="00393A06">
        <w:rPr>
          <w:b/>
          <w:sz w:val="24"/>
          <w:szCs w:val="24"/>
          <w:u w:val="single"/>
          <w:lang w:val="en-US"/>
        </w:rPr>
        <w:t>General purpose</w:t>
      </w:r>
      <w:proofErr w:type="gramEnd"/>
      <w:r w:rsidRPr="00393A06">
        <w:rPr>
          <w:b/>
          <w:sz w:val="24"/>
          <w:szCs w:val="24"/>
          <w:u w:val="single"/>
          <w:lang w:val="en-US"/>
        </w:rPr>
        <w:t xml:space="preserve"> standards reaching publication soon (reference of standards in RIDADR)</w:t>
      </w:r>
    </w:p>
    <w:p w:rsidR="00393A06" w:rsidRPr="00337D56" w:rsidRDefault="00393A06" w:rsidP="00393A06">
      <w:pPr>
        <w:pStyle w:val="SingleTxtG"/>
        <w:numPr>
          <w:ilvl w:val="0"/>
          <w:numId w:val="19"/>
        </w:numPr>
        <w:kinsoku/>
        <w:overflowPunct/>
        <w:autoSpaceDE/>
        <w:autoSpaceDN/>
        <w:adjustRightInd/>
        <w:snapToGrid/>
        <w:spacing w:before="120" w:after="0"/>
        <w:ind w:left="714" w:hanging="357"/>
        <w:jc w:val="left"/>
        <w:rPr>
          <w:rFonts w:asciiTheme="majorBidi" w:hAnsiTheme="majorBidi" w:cstheme="majorBidi"/>
        </w:rPr>
      </w:pPr>
      <w:r w:rsidRPr="00337D56">
        <w:rPr>
          <w:rFonts w:asciiTheme="majorBidi" w:hAnsiTheme="majorBidi" w:cstheme="majorBidi"/>
        </w:rPr>
        <w:t>None</w:t>
      </w:r>
    </w:p>
    <w:p w:rsidR="00381CB7" w:rsidRPr="00393A06" w:rsidRDefault="00393A06" w:rsidP="00393A06">
      <w:pPr>
        <w:pStyle w:val="SingleTxtG"/>
        <w:spacing w:before="120" w:after="0"/>
        <w:jc w:val="center"/>
        <w:rPr>
          <w:u w:val="single"/>
        </w:rPr>
      </w:pPr>
      <w:r>
        <w:rPr>
          <w:u w:val="single"/>
        </w:rPr>
        <w:tab/>
      </w:r>
      <w:r>
        <w:rPr>
          <w:u w:val="single"/>
        </w:rPr>
        <w:tab/>
      </w:r>
      <w:r>
        <w:rPr>
          <w:u w:val="single"/>
        </w:rPr>
        <w:tab/>
      </w:r>
    </w:p>
    <w:sectPr w:rsidR="00381CB7" w:rsidRPr="00393A06"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84" w:rsidRDefault="00353884" w:rsidP="00F95C08">
      <w:pPr>
        <w:spacing w:line="240" w:lineRule="auto"/>
      </w:pPr>
    </w:p>
  </w:endnote>
  <w:endnote w:type="continuationSeparator" w:id="0">
    <w:p w:rsidR="00353884" w:rsidRPr="00AC3823" w:rsidRDefault="00353884" w:rsidP="00AC3823">
      <w:pPr>
        <w:pStyle w:val="Footer"/>
      </w:pPr>
    </w:p>
  </w:endnote>
  <w:endnote w:type="continuationNotice" w:id="1">
    <w:p w:rsidR="00353884" w:rsidRDefault="003538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B7" w:rsidRPr="00381CB7" w:rsidRDefault="00381CB7" w:rsidP="00381CB7">
    <w:pPr>
      <w:pStyle w:val="Footer"/>
      <w:tabs>
        <w:tab w:val="right" w:pos="9638"/>
      </w:tabs>
    </w:pPr>
    <w:r w:rsidRPr="00381CB7">
      <w:rPr>
        <w:b/>
        <w:sz w:val="18"/>
      </w:rPr>
      <w:fldChar w:fldCharType="begin"/>
    </w:r>
    <w:r w:rsidRPr="00381CB7">
      <w:rPr>
        <w:b/>
        <w:sz w:val="18"/>
      </w:rPr>
      <w:instrText xml:space="preserve"> PAGE  \* MERGEFORMAT </w:instrText>
    </w:r>
    <w:r w:rsidRPr="00381CB7">
      <w:rPr>
        <w:b/>
        <w:sz w:val="18"/>
      </w:rPr>
      <w:fldChar w:fldCharType="separate"/>
    </w:r>
    <w:r w:rsidRPr="00381CB7">
      <w:rPr>
        <w:b/>
        <w:noProof/>
        <w:sz w:val="18"/>
      </w:rPr>
      <w:t>2</w:t>
    </w:r>
    <w:r w:rsidRPr="00381CB7">
      <w:rPr>
        <w:b/>
        <w:sz w:val="18"/>
      </w:rPr>
      <w:fldChar w:fldCharType="end"/>
    </w:r>
    <w:r>
      <w:rPr>
        <w:b/>
        <w:sz w:val="18"/>
      </w:rPr>
      <w:tab/>
    </w:r>
    <w:r>
      <w:t>GE.20-08081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B7" w:rsidRPr="00381CB7" w:rsidRDefault="00381CB7" w:rsidP="00381CB7">
    <w:pPr>
      <w:pStyle w:val="Footer"/>
      <w:tabs>
        <w:tab w:val="right" w:pos="9638"/>
      </w:tabs>
      <w:rPr>
        <w:b/>
        <w:sz w:val="18"/>
      </w:rPr>
    </w:pPr>
    <w:r>
      <w:t>GE.20-08081</w:t>
    </w:r>
    <w:r>
      <w:tab/>
    </w:r>
    <w:r w:rsidRPr="00381CB7">
      <w:rPr>
        <w:b/>
        <w:sz w:val="18"/>
      </w:rPr>
      <w:fldChar w:fldCharType="begin"/>
    </w:r>
    <w:r w:rsidRPr="00381CB7">
      <w:rPr>
        <w:b/>
        <w:sz w:val="18"/>
      </w:rPr>
      <w:instrText xml:space="preserve"> PAGE  \* MERGEFORMAT </w:instrText>
    </w:r>
    <w:r w:rsidRPr="00381CB7">
      <w:rPr>
        <w:b/>
        <w:sz w:val="18"/>
      </w:rPr>
      <w:fldChar w:fldCharType="separate"/>
    </w:r>
    <w:r w:rsidRPr="00381CB7">
      <w:rPr>
        <w:b/>
        <w:noProof/>
        <w:sz w:val="18"/>
      </w:rPr>
      <w:t>3</w:t>
    </w:r>
    <w:r w:rsidRPr="00381C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81CB7" w:rsidRDefault="00381CB7" w:rsidP="00381CB7">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08081  (</w:t>
    </w:r>
    <w:proofErr w:type="gramEnd"/>
    <w:r>
      <w:rPr>
        <w:sz w:val="20"/>
      </w:rPr>
      <w:t>F)    030720    060720</w:t>
    </w:r>
    <w:r>
      <w:rPr>
        <w:sz w:val="20"/>
      </w:rPr>
      <w:br/>
    </w:r>
    <w:r w:rsidRPr="00381CB7">
      <w:rPr>
        <w:rFonts w:ascii="C39T30Lfz" w:hAnsi="C39T30Lfz"/>
        <w:sz w:val="56"/>
      </w:rPr>
      <w:t></w:t>
    </w:r>
    <w:r w:rsidRPr="00381CB7">
      <w:rPr>
        <w:rFonts w:ascii="C39T30Lfz" w:hAnsi="C39T30Lfz"/>
        <w:sz w:val="56"/>
      </w:rPr>
      <w:t></w:t>
    </w:r>
    <w:r w:rsidRPr="00381CB7">
      <w:rPr>
        <w:rFonts w:ascii="C39T30Lfz" w:hAnsi="C39T30Lfz"/>
        <w:sz w:val="56"/>
      </w:rPr>
      <w:t></w:t>
    </w:r>
    <w:r w:rsidRPr="00381CB7">
      <w:rPr>
        <w:rFonts w:ascii="C39T30Lfz" w:hAnsi="C39T30Lfz"/>
        <w:sz w:val="56"/>
      </w:rPr>
      <w:t></w:t>
    </w:r>
    <w:r w:rsidRPr="00381CB7">
      <w:rPr>
        <w:rFonts w:ascii="C39T30Lfz" w:hAnsi="C39T30Lfz"/>
        <w:sz w:val="56"/>
      </w:rPr>
      <w:t></w:t>
    </w:r>
    <w:r w:rsidRPr="00381CB7">
      <w:rPr>
        <w:rFonts w:ascii="C39T30Lfz" w:hAnsi="C39T30Lfz"/>
        <w:sz w:val="56"/>
      </w:rPr>
      <w:t></w:t>
    </w:r>
    <w:r w:rsidRPr="00381CB7">
      <w:rPr>
        <w:rFonts w:ascii="C39T30Lfz" w:hAnsi="C39T30Lfz"/>
        <w:sz w:val="56"/>
      </w:rPr>
      <w:t></w:t>
    </w:r>
    <w:r w:rsidRPr="00381CB7">
      <w:rPr>
        <w:rFonts w:ascii="C39T30Lfz" w:hAnsi="C39T30Lfz"/>
        <w:sz w:val="56"/>
      </w:rPr>
      <w:t></w:t>
    </w:r>
    <w:r w:rsidRPr="00381CB7">
      <w:rPr>
        <w:rFonts w:ascii="C39T30Lfz" w:hAnsi="C39T30Lfz"/>
        <w:sz w:val="56"/>
      </w:rPr>
      <w:t></w:t>
    </w:r>
    <w:r>
      <w:rPr>
        <w:noProof/>
        <w:sz w:val="20"/>
      </w:rPr>
      <w:drawing>
        <wp:anchor distT="0" distB="0" distL="114300" distR="114300" simplePos="0" relativeHeight="25165926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7E" w:rsidRPr="00BF42CB" w:rsidRDefault="00E87502" w:rsidP="00BF42CB">
    <w:pPr>
      <w:pStyle w:val="Footer"/>
    </w:pPr>
    <w:r>
      <w:rPr>
        <w:noProof/>
        <w:lang w:val="fr-FR" w:eastAsia="fr-FR"/>
      </w:rPr>
      <mc:AlternateContent>
        <mc:Choice Requires="wps">
          <w:drawing>
            <wp:anchor distT="0" distB="0" distL="114300" distR="114300" simplePos="0" relativeHeight="251667456" behindDoc="0" locked="0" layoutInCell="1" allowOverlap="1" wp14:anchorId="0B247FBF" wp14:editId="1245812E">
              <wp:simplePos x="0" y="0"/>
              <wp:positionH relativeFrom="margin">
                <wp:posOffset>-431800</wp:posOffset>
              </wp:positionH>
              <wp:positionV relativeFrom="margin">
                <wp:posOffset>0</wp:posOffset>
              </wp:positionV>
              <wp:extent cx="219075" cy="6124575"/>
              <wp:effectExtent l="0" t="0" r="952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C527E" w:rsidRDefault="00E87502" w:rsidP="009E7975">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sidR="009E7975" w:rsidRPr="009E7975">
                            <w:t xml:space="preserve"> </w:t>
                          </w:r>
                          <w:r w:rsidR="009E7975">
                            <w:tab/>
                            <w:t>GE.20-08081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247FBF" id="_x0000_t202" coordsize="21600,21600" o:spt="202" path="m,l,21600r21600,l21600,xe">
              <v:stroke joinstyle="miter"/>
              <v:path gradientshapeok="t" o:connecttype="rect"/>
            </v:shapetype>
            <v:shape id="Text Box 3" o:spid="_x0000_s1028" type="#_x0000_t202" style="position:absolute;margin-left:-34pt;margin-top:0;width:17.25pt;height:48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EkpMk8UCAAALBgAADgAAAAAAAAAAAAAAAAAuAgAAZHJzL2Uyb0RvYy54bWxQSwEC&#10;LQAUAAYACAAAACEA252/eOEAAAAIAQAADwAAAAAAAAAAAAAAAAAfBQAAZHJzL2Rvd25yZXYueG1s&#10;UEsFBgAAAAAEAAQA8wAAAC0GAAAAAA==&#10;" filled="f" stroked="f">
              <v:stroke joinstyle="round"/>
              <v:textbox style="layout-flow:vertical" inset="0,0,0,0">
                <w:txbxContent>
                  <w:p w:rsidR="009C527E" w:rsidRDefault="00E87502" w:rsidP="009E7975">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sidR="009E7975" w:rsidRPr="009E7975">
                      <w:t xml:space="preserve"> </w:t>
                    </w:r>
                    <w:r w:rsidR="009E7975">
                      <w:tab/>
                      <w:t>GE.20-08081</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7E" w:rsidRPr="00BF42CB" w:rsidRDefault="00E87502" w:rsidP="00BF42CB">
    <w:pPr>
      <w:pStyle w:val="Footer"/>
    </w:pPr>
    <w:r>
      <w:rPr>
        <w:noProof/>
        <w:lang w:val="fr-FR" w:eastAsia="fr-FR"/>
      </w:rPr>
      <mc:AlternateContent>
        <mc:Choice Requires="wps">
          <w:drawing>
            <wp:anchor distT="0" distB="0" distL="114300" distR="114300" simplePos="0" relativeHeight="251669504" behindDoc="0" locked="0" layoutInCell="1" allowOverlap="1" wp14:anchorId="0F797D6F" wp14:editId="42CDB5E2">
              <wp:simplePos x="0" y="0"/>
              <wp:positionH relativeFrom="margin">
                <wp:posOffset>-431800</wp:posOffset>
              </wp:positionH>
              <wp:positionV relativeFrom="margin">
                <wp:posOffset>0</wp:posOffset>
              </wp:positionV>
              <wp:extent cx="219075" cy="6124575"/>
              <wp:effectExtent l="0" t="0" r="952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C527E" w:rsidRDefault="009E7975" w:rsidP="009E7975">
                          <w:pPr>
                            <w:pStyle w:val="Footer"/>
                            <w:tabs>
                              <w:tab w:val="right" w:pos="9638"/>
                            </w:tabs>
                          </w:pPr>
                          <w:r>
                            <w:t>GE.20-08081</w:t>
                          </w:r>
                          <w:r>
                            <w:tab/>
                          </w:r>
                          <w:r w:rsidRPr="00381CB7">
                            <w:rPr>
                              <w:b/>
                              <w:sz w:val="18"/>
                            </w:rPr>
                            <w:fldChar w:fldCharType="begin"/>
                          </w:r>
                          <w:r w:rsidRPr="00381CB7">
                            <w:rPr>
                              <w:b/>
                              <w:sz w:val="18"/>
                            </w:rPr>
                            <w:instrText xml:space="preserve"> PAGE  \* MERGEFORMAT </w:instrText>
                          </w:r>
                          <w:r w:rsidRPr="00381CB7">
                            <w:rPr>
                              <w:b/>
                              <w:sz w:val="18"/>
                            </w:rPr>
                            <w:fldChar w:fldCharType="separate"/>
                          </w:r>
                          <w:r>
                            <w:rPr>
                              <w:b/>
                              <w:sz w:val="18"/>
                            </w:rPr>
                            <w:t>2</w:t>
                          </w:r>
                          <w:r w:rsidRPr="00381CB7">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797D6F" id="_x0000_t202" coordsize="21600,21600" o:spt="202" path="m,l,21600r21600,l21600,xe">
              <v:stroke joinstyle="miter"/>
              <v:path gradientshapeok="t" o:connecttype="rect"/>
            </v:shapetype>
            <v:shape id="Text Box 5" o:spid="_x0000_s1029" type="#_x0000_t202" style="position:absolute;margin-left:-34pt;margin-top:0;width:17.25pt;height:48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rzxQIAAAs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biS688UCAAALBgAADgAAAAAAAAAAAAAAAAAuAgAAZHJzL2Uyb0RvYy54bWxQSwEC&#10;LQAUAAYACAAAACEA252/eOEAAAAIAQAADwAAAAAAAAAAAAAAAAAfBQAAZHJzL2Rvd25yZXYueG1s&#10;UEsFBgAAAAAEAAQA8wAAAC0GAAAAAA==&#10;" filled="f" stroked="f">
              <v:stroke joinstyle="round"/>
              <v:textbox style="layout-flow:vertical" inset="0,0,0,0">
                <w:txbxContent>
                  <w:p w:rsidR="009C527E" w:rsidRDefault="009E7975" w:rsidP="009E7975">
                    <w:pPr>
                      <w:pStyle w:val="Footer"/>
                      <w:tabs>
                        <w:tab w:val="right" w:pos="9638"/>
                      </w:tabs>
                    </w:pPr>
                    <w:r>
                      <w:t>GE.20-08081</w:t>
                    </w:r>
                    <w:r>
                      <w:tab/>
                    </w:r>
                    <w:r w:rsidRPr="00381CB7">
                      <w:rPr>
                        <w:b/>
                        <w:sz w:val="18"/>
                      </w:rPr>
                      <w:fldChar w:fldCharType="begin"/>
                    </w:r>
                    <w:r w:rsidRPr="00381CB7">
                      <w:rPr>
                        <w:b/>
                        <w:sz w:val="18"/>
                      </w:rPr>
                      <w:instrText xml:space="preserve"> PAGE  \* MERGEFORMAT </w:instrText>
                    </w:r>
                    <w:r w:rsidRPr="00381CB7">
                      <w:rPr>
                        <w:b/>
                        <w:sz w:val="18"/>
                      </w:rPr>
                      <w:fldChar w:fldCharType="separate"/>
                    </w:r>
                    <w:r>
                      <w:rPr>
                        <w:b/>
                        <w:sz w:val="18"/>
                      </w:rPr>
                      <w:t>2</w:t>
                    </w:r>
                    <w:r w:rsidRPr="00381CB7">
                      <w:rPr>
                        <w:b/>
                        <w:sz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84" w:rsidRPr="00AC3823" w:rsidRDefault="00353884" w:rsidP="00AC3823">
      <w:pPr>
        <w:pStyle w:val="Footer"/>
        <w:tabs>
          <w:tab w:val="right" w:pos="2155"/>
        </w:tabs>
        <w:spacing w:after="80" w:line="240" w:lineRule="atLeast"/>
        <w:ind w:left="680"/>
        <w:rPr>
          <w:u w:val="single"/>
        </w:rPr>
      </w:pPr>
      <w:r>
        <w:rPr>
          <w:u w:val="single"/>
        </w:rPr>
        <w:tab/>
      </w:r>
    </w:p>
  </w:footnote>
  <w:footnote w:type="continuationSeparator" w:id="0">
    <w:p w:rsidR="00353884" w:rsidRPr="00AC3823" w:rsidRDefault="00353884" w:rsidP="00AC3823">
      <w:pPr>
        <w:pStyle w:val="Footer"/>
        <w:tabs>
          <w:tab w:val="right" w:pos="2155"/>
        </w:tabs>
        <w:spacing w:after="80" w:line="240" w:lineRule="atLeast"/>
        <w:ind w:left="680"/>
        <w:rPr>
          <w:u w:val="single"/>
        </w:rPr>
      </w:pPr>
      <w:r>
        <w:rPr>
          <w:u w:val="single"/>
        </w:rPr>
        <w:tab/>
      </w:r>
    </w:p>
  </w:footnote>
  <w:footnote w:type="continuationNotice" w:id="1">
    <w:p w:rsidR="00353884" w:rsidRPr="00AC3823" w:rsidRDefault="00353884">
      <w:pPr>
        <w:spacing w:line="240" w:lineRule="auto"/>
        <w:rPr>
          <w:sz w:val="2"/>
          <w:szCs w:val="2"/>
        </w:rPr>
      </w:pPr>
    </w:p>
  </w:footnote>
  <w:footnote w:id="2">
    <w:p w:rsidR="00381CB7" w:rsidRDefault="00381CB7" w:rsidP="00381CB7">
      <w:pPr>
        <w:pStyle w:val="FootnoteText"/>
        <w:rPr>
          <w:sz w:val="20"/>
        </w:rPr>
      </w:pPr>
      <w:r>
        <w:rPr>
          <w:sz w:val="20"/>
        </w:rPr>
        <w:tab/>
      </w:r>
      <w:r w:rsidRPr="00393A06">
        <w:rPr>
          <w:rStyle w:val="FootnoteReference"/>
          <w:sz w:val="20"/>
          <w:vertAlign w:val="baseline"/>
          <w:lang w:val="fr-FR"/>
        </w:rPr>
        <w:t>*</w:t>
      </w:r>
      <w:r w:rsidRPr="0059255F">
        <w:rPr>
          <w:lang w:val="fr-FR"/>
        </w:rPr>
        <w:tab/>
      </w:r>
      <w:r w:rsidRPr="000628A6">
        <w:rPr>
          <w:lang w:val="fr-FR"/>
        </w:rPr>
        <w:t>Sous-programme 2 du budget-programme pour 2020 (A/74/6 (Sect. 20)) et informations complémentaires</w:t>
      </w:r>
      <w:r w:rsidRPr="0059255F">
        <w:rPr>
          <w:lang w:val="fr-FR"/>
        </w:rPr>
        <w:t>.</w:t>
      </w:r>
    </w:p>
  </w:footnote>
  <w:footnote w:id="3">
    <w:p w:rsidR="00381CB7" w:rsidRDefault="00381CB7" w:rsidP="00381CB7">
      <w:pPr>
        <w:pStyle w:val="FootnoteText"/>
        <w:tabs>
          <w:tab w:val="clear" w:pos="1021"/>
          <w:tab w:val="right" w:pos="993"/>
        </w:tabs>
        <w:rPr>
          <w:sz w:val="20"/>
        </w:rPr>
      </w:pPr>
      <w:r w:rsidRPr="00393A06">
        <w:rPr>
          <w:rStyle w:val="FootnoteReference"/>
          <w:sz w:val="20"/>
          <w:vertAlign w:val="baseline"/>
          <w:lang w:val="fr-FR"/>
        </w:rPr>
        <w:tab/>
        <w:t>**</w:t>
      </w:r>
      <w:r w:rsidRPr="0059255F">
        <w:rPr>
          <w:sz w:val="20"/>
          <w:lang w:val="fr-FR"/>
        </w:rPr>
        <w:tab/>
      </w:r>
      <w:r w:rsidRPr="000628A6">
        <w:rPr>
          <w:lang w:val="fr-FR"/>
        </w:rPr>
        <w:t xml:space="preserve">Diffusée par l’Organisation intergouvernementale pour les transports internationaux ferroviaires sous la cote </w:t>
      </w:r>
      <w:r w:rsidRPr="0059255F">
        <w:rPr>
          <w:lang w:val="fr-FR"/>
        </w:rPr>
        <w:t>OTIF/RID/RC/2020/58.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B7" w:rsidRPr="00381CB7" w:rsidRDefault="00510BA0">
    <w:pPr>
      <w:pStyle w:val="Header"/>
    </w:pPr>
    <w:r>
      <w:fldChar w:fldCharType="begin"/>
    </w:r>
    <w:r>
      <w:instrText xml:space="preserve"> TITLE  \* MERGEFORMAT </w:instrText>
    </w:r>
    <w:r>
      <w:fldChar w:fldCharType="separate"/>
    </w:r>
    <w:r w:rsidR="009E7975">
      <w:t>ECE/TRANS/WP.15/AC.1/2020/58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B7" w:rsidRPr="00381CB7" w:rsidRDefault="00510BA0" w:rsidP="00381CB7">
    <w:pPr>
      <w:pStyle w:val="Header"/>
      <w:jc w:val="right"/>
    </w:pPr>
    <w:r>
      <w:fldChar w:fldCharType="begin"/>
    </w:r>
    <w:r>
      <w:instrText xml:space="preserve"> TITLE  \* MERGEFORMAT </w:instrText>
    </w:r>
    <w:r>
      <w:fldChar w:fldCharType="separate"/>
    </w:r>
    <w:r w:rsidR="009E7975">
      <w:t>ECE/TRANS/WP.15/AC.1/2020/58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7E" w:rsidRPr="00BF42CB" w:rsidRDefault="00E87502" w:rsidP="00BF42CB">
    <w:r>
      <w:rPr>
        <w:noProof/>
        <w:lang w:val="fr-FR" w:eastAsia="fr-FR"/>
      </w:rPr>
      <mc:AlternateContent>
        <mc:Choice Requires="wps">
          <w:drawing>
            <wp:anchor distT="0" distB="0" distL="114300" distR="114300" simplePos="0" relativeHeight="251666432" behindDoc="0" locked="0" layoutInCell="1" allowOverlap="1" wp14:anchorId="58290B63" wp14:editId="39A6ACA2">
              <wp:simplePos x="0" y="0"/>
              <wp:positionH relativeFrom="page">
                <wp:posOffset>9839325</wp:posOffset>
              </wp:positionH>
              <wp:positionV relativeFrom="margin">
                <wp:posOffset>123825</wp:posOffset>
              </wp:positionV>
              <wp:extent cx="219075" cy="612457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C527E" w:rsidRDefault="00E87502" w:rsidP="00DC6572">
                          <w:pPr>
                            <w:pStyle w:val="Header"/>
                          </w:pPr>
                          <w:r>
                            <w:t>ECE/TRANS/WP.15/AC.1/2020/58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290B63"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" filled="f" stroked="f">
              <v:stroke joinstyle="round"/>
              <v:textbox style="layout-flow:vertical" inset="0,0,0,0">
                <w:txbxContent>
                  <w:p w:rsidR="009C527E" w:rsidRDefault="00E87502" w:rsidP="00DC6572">
                    <w:pPr>
                      <w:pStyle w:val="Header"/>
                    </w:pPr>
                    <w:r>
                      <w:t>ECE/TRANS/WP.15/AC.1/2020/58</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7E" w:rsidRPr="00BF42CB" w:rsidRDefault="00E87502" w:rsidP="00BF42CB">
    <w:r>
      <w:rPr>
        <w:noProof/>
        <w:lang w:val="fr-FR" w:eastAsia="fr-FR"/>
      </w:rPr>
      <mc:AlternateContent>
        <mc:Choice Requires="wps">
          <w:drawing>
            <wp:anchor distT="0" distB="0" distL="114300" distR="114300" simplePos="0" relativeHeight="251668480" behindDoc="0" locked="0" layoutInCell="1" allowOverlap="1" wp14:anchorId="4A398A42" wp14:editId="1C79E3CA">
              <wp:simplePos x="0" y="0"/>
              <wp:positionH relativeFrom="page">
                <wp:posOffset>9791700</wp:posOffset>
              </wp:positionH>
              <wp:positionV relativeFrom="margin">
                <wp:posOffset>0</wp:posOffset>
              </wp:positionV>
              <wp:extent cx="219075" cy="6124575"/>
              <wp:effectExtent l="0" t="0" r="952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C527E" w:rsidRPr="009D2A5B" w:rsidRDefault="00E87502" w:rsidP="00BF42CB">
                          <w:pPr>
                            <w:pStyle w:val="Header"/>
                            <w:jc w:val="right"/>
                          </w:pPr>
                          <w:r>
                            <w:t>ECE/TRANS/WP.15/AC.1/2020/58</w:t>
                          </w:r>
                        </w:p>
                        <w:p w:rsidR="009C527E" w:rsidRDefault="00510B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398A42" id="_x0000_t202" coordsize="21600,21600" o:spt="202" path="m,l,21600r21600,l21600,xe">
              <v:stroke joinstyle="miter"/>
              <v:path gradientshapeok="t" o:connecttype="rect"/>
            </v:shapetype>
            <v:shape id="Text Box 4" o:spid="_x0000_s1027" type="#_x0000_t202" style="position:absolute;margin-left:771pt;margin-top:0;width:17.25pt;height:48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YN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" filled="f" stroked="f">
              <v:stroke joinstyle="round"/>
              <v:textbox style="layout-flow:vertical" inset="0,0,0,0">
                <w:txbxContent>
                  <w:p w:rsidR="009C527E" w:rsidRPr="009D2A5B" w:rsidRDefault="00E87502" w:rsidP="00BF42CB">
                    <w:pPr>
                      <w:pStyle w:val="Header"/>
                      <w:jc w:val="right"/>
                    </w:pPr>
                    <w:r>
                      <w:t>ECE/TRANS/WP.15/AC.1/2020/58</w:t>
                    </w:r>
                  </w:p>
                  <w:p w:rsidR="009C527E" w:rsidRDefault="00510BA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27E" w:rsidRDefault="0051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A6673F3"/>
    <w:multiLevelType w:val="hybridMultilevel"/>
    <w:tmpl w:val="B34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2"/>
  </w:num>
  <w:num w:numId="18">
    <w:abstractNumId w:val="1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84"/>
    <w:rsid w:val="00017F94"/>
    <w:rsid w:val="00023842"/>
    <w:rsid w:val="000334F9"/>
    <w:rsid w:val="00045FEB"/>
    <w:rsid w:val="0007796D"/>
    <w:rsid w:val="000B7790"/>
    <w:rsid w:val="00111F2F"/>
    <w:rsid w:val="0013589C"/>
    <w:rsid w:val="0014365E"/>
    <w:rsid w:val="00143C66"/>
    <w:rsid w:val="00176178"/>
    <w:rsid w:val="001F525A"/>
    <w:rsid w:val="00223272"/>
    <w:rsid w:val="0024779E"/>
    <w:rsid w:val="00257168"/>
    <w:rsid w:val="002744B8"/>
    <w:rsid w:val="002832AC"/>
    <w:rsid w:val="002D7C93"/>
    <w:rsid w:val="00305801"/>
    <w:rsid w:val="00353884"/>
    <w:rsid w:val="00381CB7"/>
    <w:rsid w:val="003916DE"/>
    <w:rsid w:val="00393A06"/>
    <w:rsid w:val="004169AC"/>
    <w:rsid w:val="00421996"/>
    <w:rsid w:val="00441C3B"/>
    <w:rsid w:val="00446FE5"/>
    <w:rsid w:val="00452396"/>
    <w:rsid w:val="004750F7"/>
    <w:rsid w:val="004837D8"/>
    <w:rsid w:val="004E2EED"/>
    <w:rsid w:val="004E468C"/>
    <w:rsid w:val="00510BA0"/>
    <w:rsid w:val="005505B7"/>
    <w:rsid w:val="00573BE5"/>
    <w:rsid w:val="00586ED3"/>
    <w:rsid w:val="00596AA9"/>
    <w:rsid w:val="0060376C"/>
    <w:rsid w:val="0071601D"/>
    <w:rsid w:val="007A62E6"/>
    <w:rsid w:val="007B40FC"/>
    <w:rsid w:val="007F20FA"/>
    <w:rsid w:val="0080684C"/>
    <w:rsid w:val="00871C75"/>
    <w:rsid w:val="008776DC"/>
    <w:rsid w:val="009446C0"/>
    <w:rsid w:val="009705C8"/>
    <w:rsid w:val="009C1CF4"/>
    <w:rsid w:val="009E7975"/>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87502"/>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0E8227-5A98-4CB8-BA0F-1AE1DA17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381CB7"/>
    <w:rPr>
      <w:rFonts w:ascii="Times New Roman" w:eastAsiaTheme="minorHAnsi" w:hAnsi="Times New Roman" w:cs="Times New Roman"/>
      <w:b/>
      <w:sz w:val="24"/>
      <w:szCs w:val="20"/>
      <w:lang w:eastAsia="en-US"/>
    </w:rPr>
  </w:style>
  <w:style w:type="character" w:customStyle="1" w:styleId="HChGChar">
    <w:name w:val="_ H _Ch_G Char"/>
    <w:link w:val="HChG"/>
    <w:rsid w:val="00381CB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381CB7"/>
    <w:rPr>
      <w:rFonts w:ascii="Times New Roman" w:eastAsiaTheme="minorHAnsi" w:hAnsi="Times New Roman" w:cs="Times New Roman"/>
      <w:sz w:val="20"/>
      <w:szCs w:val="20"/>
      <w:lang w:eastAsia="en-US"/>
    </w:rPr>
  </w:style>
  <w:style w:type="paragraph" w:customStyle="1" w:styleId="ParaNoG">
    <w:name w:val="_ParaNo._G"/>
    <w:basedOn w:val="SingleTxtG"/>
    <w:rsid w:val="00393A06"/>
    <w:pPr>
      <w:numPr>
        <w:numId w:val="18"/>
      </w:numPr>
      <w:tabs>
        <w:tab w:val="clear" w:pos="1494"/>
      </w:tabs>
      <w:kinsoku/>
      <w:overflowPunct/>
      <w:autoSpaceDE/>
      <w:autoSpaceDN/>
      <w:adjustRightInd/>
      <w:snapToGrid/>
    </w:pPr>
    <w:rPr>
      <w:rFonts w:eastAsia="Times New Roman"/>
      <w:lang w:val="en-GB"/>
    </w:rPr>
  </w:style>
  <w:style w:type="paragraph" w:styleId="Title">
    <w:name w:val="Title"/>
    <w:basedOn w:val="Normal"/>
    <w:link w:val="TitleChar"/>
    <w:qFormat/>
    <w:rsid w:val="00393A06"/>
    <w:pPr>
      <w:kinsoku/>
      <w:overflowPunct/>
      <w:autoSpaceDE/>
      <w:autoSpaceDN/>
      <w:adjustRightInd/>
      <w:snapToGrid/>
      <w:spacing w:before="240" w:after="60"/>
      <w:jc w:val="center"/>
      <w:outlineLvl w:val="0"/>
    </w:pPr>
    <w:rPr>
      <w:rFonts w:ascii="Arial" w:eastAsia="Times New Roman" w:hAnsi="Arial"/>
      <w:b/>
      <w:bCs/>
      <w:kern w:val="28"/>
      <w:sz w:val="32"/>
      <w:szCs w:val="32"/>
      <w:lang w:val="en-GB"/>
    </w:rPr>
  </w:style>
  <w:style w:type="character" w:customStyle="1" w:styleId="TitleChar">
    <w:name w:val="Title Char"/>
    <w:basedOn w:val="DefaultParagraphFont"/>
    <w:link w:val="Title"/>
    <w:rsid w:val="00393A06"/>
    <w:rPr>
      <w:rFonts w:ascii="Arial" w:hAnsi="Arial" w:cs="Times New Roman"/>
      <w:b/>
      <w:bCs/>
      <w:kern w:val="28"/>
      <w:sz w:val="32"/>
      <w:szCs w:val="32"/>
      <w:lang w:val="en-GB" w:eastAsia="en-US"/>
    </w:rPr>
  </w:style>
  <w:style w:type="paragraph" w:customStyle="1" w:styleId="NoteHead">
    <w:name w:val="NoteHead"/>
    <w:basedOn w:val="Normal"/>
    <w:next w:val="Normal"/>
    <w:rsid w:val="00393A06"/>
    <w:pPr>
      <w:suppressAutoHyphens w:val="0"/>
      <w:kinsoku/>
      <w:overflowPunct/>
      <w:autoSpaceDE/>
      <w:autoSpaceDN/>
      <w:adjustRightInd/>
      <w:snapToGrid/>
      <w:spacing w:before="720" w:after="720" w:line="240" w:lineRule="auto"/>
      <w:jc w:val="center"/>
    </w:pPr>
    <w:rPr>
      <w:rFonts w:eastAsia="Times New Roman"/>
      <w:b/>
      <w:smallCaps/>
      <w:sz w:val="24"/>
      <w:lang w:val="en-GB"/>
    </w:rPr>
  </w:style>
  <w:style w:type="paragraph" w:customStyle="1" w:styleId="ISOClause">
    <w:name w:val="ISO_Clause"/>
    <w:basedOn w:val="Normal"/>
    <w:rsid w:val="00393A06"/>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omments">
    <w:name w:val="ISO_Comments"/>
    <w:basedOn w:val="Normal"/>
    <w:rsid w:val="00393A06"/>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Change">
    <w:name w:val="ISO_Change"/>
    <w:basedOn w:val="Normal"/>
    <w:rsid w:val="00393A06"/>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ISOParagraph">
    <w:name w:val="ISO_Paragraph"/>
    <w:basedOn w:val="Normal"/>
    <w:rsid w:val="00393A06"/>
    <w:pPr>
      <w:suppressAutoHyphens w:val="0"/>
      <w:kinsoku/>
      <w:overflowPunct/>
      <w:autoSpaceDE/>
      <w:autoSpaceDN/>
      <w:adjustRightInd/>
      <w:snapToGrid/>
      <w:spacing w:before="210" w:line="210" w:lineRule="exact"/>
    </w:pPr>
    <w:rPr>
      <w:rFonts w:ascii="Arial" w:eastAsia="Times New Roman" w:hAnsi="Arial"/>
      <w:sz w:val="18"/>
      <w:lang w:val="en-GB"/>
    </w:rPr>
  </w:style>
  <w:style w:type="paragraph" w:customStyle="1" w:styleId="Pa0">
    <w:name w:val="Pa0"/>
    <w:basedOn w:val="Normal"/>
    <w:next w:val="Normal"/>
    <w:uiPriority w:val="99"/>
    <w:rsid w:val="00393A06"/>
    <w:pPr>
      <w:suppressAutoHyphens w:val="0"/>
      <w:kinsoku/>
      <w:overflowPunct/>
      <w:snapToGrid/>
      <w:spacing w:line="361" w:lineRule="atLeast"/>
    </w:pPr>
    <w:rPr>
      <w:rFonts w:ascii="Cambria" w:eastAsia="Times New Roman" w:hAnsi="Cambri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arreira@cencenelec.eu"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2153</Words>
  <Characters>12278</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ECE/TRANS/WP.15/AC.1/2020/58</vt:lpstr>
      <vt:lpstr>ECE/TRANS/WP.15/AC.1/2020/58</vt:lpstr>
    </vt:vector>
  </TitlesOfParts>
  <Company>DCM</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ECE/TRANS/WP.15/AC.1/2020/58</dc:title>
  <dc:subject/>
  <dc:creator>Sandrine CLERE</dc:creator>
  <cp:keywords/>
  <cp:lastModifiedBy>Christine Barrio-Champeau</cp:lastModifiedBy>
  <cp:revision>2</cp:revision>
  <cp:lastPrinted>2014-05-14T10:59:00Z</cp:lastPrinted>
  <dcterms:created xsi:type="dcterms:W3CDTF">2020-07-06T07:25:00Z</dcterms:created>
  <dcterms:modified xsi:type="dcterms:W3CDTF">2020-07-06T07:25:00Z</dcterms:modified>
</cp:coreProperties>
</file>