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7802" w:rsidRPr="0007225D" w14:paraId="1235C9D7" w14:textId="77777777">
        <w:trPr>
          <w:trHeight w:hRule="exact" w:val="851"/>
        </w:trPr>
        <w:tc>
          <w:tcPr>
            <w:tcW w:w="1276" w:type="dxa"/>
            <w:tcBorders>
              <w:bottom w:val="single" w:sz="4" w:space="0" w:color="auto"/>
            </w:tcBorders>
          </w:tcPr>
          <w:p w14:paraId="642E1D97" w14:textId="77777777" w:rsidR="00A17802" w:rsidRDefault="00A17802"/>
        </w:tc>
        <w:tc>
          <w:tcPr>
            <w:tcW w:w="2268" w:type="dxa"/>
            <w:tcBorders>
              <w:bottom w:val="single" w:sz="4" w:space="0" w:color="auto"/>
            </w:tcBorders>
            <w:vAlign w:val="bottom"/>
          </w:tcPr>
          <w:p w14:paraId="583207AA" w14:textId="77777777" w:rsidR="00A17802" w:rsidRDefault="00A45F03">
            <w:pPr>
              <w:spacing w:after="80" w:line="300" w:lineRule="exact"/>
              <w:rPr>
                <w:sz w:val="28"/>
              </w:rPr>
            </w:pPr>
            <w:r>
              <w:rPr>
                <w:sz w:val="28"/>
              </w:rPr>
              <w:t>Nations Unies</w:t>
            </w:r>
          </w:p>
        </w:tc>
        <w:tc>
          <w:tcPr>
            <w:tcW w:w="6095" w:type="dxa"/>
            <w:gridSpan w:val="2"/>
            <w:tcBorders>
              <w:bottom w:val="single" w:sz="4" w:space="0" w:color="auto"/>
            </w:tcBorders>
            <w:vAlign w:val="bottom"/>
          </w:tcPr>
          <w:p w14:paraId="125CEE7C" w14:textId="77777777" w:rsidR="00A17802" w:rsidRDefault="00A45F03">
            <w:pPr>
              <w:jc w:val="right"/>
              <w:rPr>
                <w:lang w:val="en-GB"/>
              </w:rPr>
            </w:pPr>
            <w:r>
              <w:rPr>
                <w:sz w:val="40"/>
                <w:lang w:val="en-GB"/>
              </w:rPr>
              <w:t>ECE</w:t>
            </w:r>
            <w:r>
              <w:rPr>
                <w:lang w:val="en-GB"/>
              </w:rPr>
              <w:t>/TRANS/WP.15/AC.1/2020/</w:t>
            </w:r>
            <w:r w:rsidR="00DB4414">
              <w:rPr>
                <w:lang w:val="en-GB"/>
              </w:rPr>
              <w:t>56</w:t>
            </w:r>
          </w:p>
        </w:tc>
      </w:tr>
      <w:tr w:rsidR="00A17802" w14:paraId="49EFFB91" w14:textId="77777777">
        <w:trPr>
          <w:trHeight w:hRule="exact" w:val="2835"/>
        </w:trPr>
        <w:tc>
          <w:tcPr>
            <w:tcW w:w="1276" w:type="dxa"/>
            <w:tcBorders>
              <w:top w:val="single" w:sz="4" w:space="0" w:color="auto"/>
              <w:bottom w:val="single" w:sz="12" w:space="0" w:color="auto"/>
            </w:tcBorders>
          </w:tcPr>
          <w:p w14:paraId="348CF8D3" w14:textId="77777777" w:rsidR="00A17802" w:rsidRDefault="00A45F03">
            <w:pPr>
              <w:spacing w:before="120"/>
              <w:jc w:val="center"/>
            </w:pPr>
            <w:r>
              <w:rPr>
                <w:noProof/>
                <w:lang w:val="en-US" w:eastAsia="en-US"/>
              </w:rPr>
              <w:drawing>
                <wp:inline distT="0" distB="0" distL="0" distR="0" wp14:anchorId="35EA0E80" wp14:editId="6F3B0828">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328794" w14:textId="77777777" w:rsidR="00A17802" w:rsidRDefault="00A45F03">
            <w:pPr>
              <w:spacing w:before="120" w:line="420" w:lineRule="exact"/>
              <w:rPr>
                <w:b/>
                <w:sz w:val="40"/>
                <w:szCs w:val="40"/>
              </w:rPr>
            </w:pPr>
            <w:r>
              <w:rPr>
                <w:b/>
                <w:sz w:val="40"/>
                <w:szCs w:val="40"/>
              </w:rPr>
              <w:t>Conseil économique et social</w:t>
            </w:r>
          </w:p>
        </w:tc>
        <w:tc>
          <w:tcPr>
            <w:tcW w:w="2835" w:type="dxa"/>
            <w:tcBorders>
              <w:top w:val="single" w:sz="4" w:space="0" w:color="auto"/>
              <w:bottom w:val="single" w:sz="12" w:space="0" w:color="auto"/>
            </w:tcBorders>
          </w:tcPr>
          <w:p w14:paraId="7087F2D5" w14:textId="77777777" w:rsidR="00A17802" w:rsidRDefault="00A45F03">
            <w:pPr>
              <w:spacing w:before="240" w:line="240" w:lineRule="exact"/>
            </w:pPr>
            <w:proofErr w:type="spellStart"/>
            <w:r>
              <w:t>Distr</w:t>
            </w:r>
            <w:proofErr w:type="spellEnd"/>
            <w:r>
              <w:t xml:space="preserve">. </w:t>
            </w:r>
            <w:proofErr w:type="gramStart"/>
            <w:r>
              <w:t>générale</w:t>
            </w:r>
            <w:proofErr w:type="gramEnd"/>
          </w:p>
          <w:p w14:paraId="2A7BCCD1" w14:textId="327B9232" w:rsidR="00A17802" w:rsidRDefault="00871CD5">
            <w:pPr>
              <w:spacing w:line="240" w:lineRule="exact"/>
            </w:pPr>
            <w:r>
              <w:t>8</w:t>
            </w:r>
            <w:r w:rsidR="00A45F03">
              <w:t xml:space="preserve"> </w:t>
            </w:r>
            <w:r w:rsidR="00DB4414">
              <w:t>juin</w:t>
            </w:r>
            <w:r w:rsidR="00A45F03">
              <w:t>20</w:t>
            </w:r>
            <w:r w:rsidR="00DB4414">
              <w:t>20</w:t>
            </w:r>
          </w:p>
          <w:p w14:paraId="6A6D3614" w14:textId="77777777" w:rsidR="00A17802" w:rsidRDefault="00A17802">
            <w:pPr>
              <w:spacing w:line="240" w:lineRule="exact"/>
            </w:pPr>
          </w:p>
          <w:p w14:paraId="7AC09A65" w14:textId="77777777" w:rsidR="00A17802" w:rsidRDefault="00A45F03">
            <w:pPr>
              <w:spacing w:line="240" w:lineRule="exact"/>
            </w:pPr>
            <w:r>
              <w:t xml:space="preserve">Original : français </w:t>
            </w:r>
          </w:p>
        </w:tc>
      </w:tr>
    </w:tbl>
    <w:p w14:paraId="115DAAD3" w14:textId="77777777" w:rsidR="00871CD5" w:rsidRDefault="00871CD5" w:rsidP="00871CD5">
      <w:pPr>
        <w:spacing w:before="120"/>
        <w:ind w:right="1134"/>
        <w:rPr>
          <w:b/>
          <w:sz w:val="28"/>
          <w:szCs w:val="28"/>
        </w:rPr>
      </w:pPr>
      <w:r>
        <w:rPr>
          <w:b/>
          <w:sz w:val="28"/>
          <w:szCs w:val="28"/>
        </w:rPr>
        <w:t>Commission économique pour l’Europe</w:t>
      </w:r>
    </w:p>
    <w:p w14:paraId="516F0E0F" w14:textId="77777777" w:rsidR="00871CD5" w:rsidRDefault="00871CD5" w:rsidP="00871CD5">
      <w:pPr>
        <w:spacing w:before="120"/>
        <w:ind w:right="1134"/>
        <w:rPr>
          <w:sz w:val="28"/>
          <w:szCs w:val="28"/>
        </w:rPr>
      </w:pPr>
      <w:r>
        <w:rPr>
          <w:sz w:val="28"/>
          <w:szCs w:val="28"/>
        </w:rPr>
        <w:t>Comité des transports intérieurs</w:t>
      </w:r>
    </w:p>
    <w:p w14:paraId="2C7B3223" w14:textId="77777777" w:rsidR="00871CD5" w:rsidRDefault="00871CD5" w:rsidP="00871CD5">
      <w:pPr>
        <w:spacing w:before="120"/>
        <w:ind w:right="1134"/>
        <w:rPr>
          <w:b/>
          <w:sz w:val="24"/>
          <w:szCs w:val="24"/>
        </w:rPr>
      </w:pPr>
      <w:r>
        <w:rPr>
          <w:b/>
          <w:sz w:val="24"/>
          <w:szCs w:val="24"/>
        </w:rPr>
        <w:t>Groupe de travail des transports de marchandises dangereuses</w:t>
      </w:r>
    </w:p>
    <w:p w14:paraId="0D3F36A5" w14:textId="77777777" w:rsidR="00871CD5" w:rsidRDefault="00871CD5" w:rsidP="00871CD5">
      <w:pPr>
        <w:spacing w:before="120"/>
        <w:ind w:right="1134"/>
        <w:rPr>
          <w:b/>
        </w:rPr>
      </w:pPr>
      <w:r>
        <w:rPr>
          <w:b/>
        </w:rPr>
        <w:t>Réunion commune de la Commission d’experts du RID et</w:t>
      </w:r>
      <w:r>
        <w:rPr>
          <w:b/>
        </w:rPr>
        <w:br/>
        <w:t>du Groupe de travail des transports de marchandises dangereuses</w:t>
      </w:r>
    </w:p>
    <w:p w14:paraId="6839FA00" w14:textId="37D550A4" w:rsidR="00DB4414" w:rsidRDefault="00DB4414" w:rsidP="00DB4414">
      <w:r>
        <w:rPr>
          <w:lang w:val="en-US"/>
        </w:rPr>
        <w:t xml:space="preserve">Berne, 10-11 </w:t>
      </w:r>
      <w:proofErr w:type="spellStart"/>
      <w:r>
        <w:rPr>
          <w:lang w:val="en-US"/>
        </w:rPr>
        <w:t>septemb</w:t>
      </w:r>
      <w:r w:rsidR="0036409C">
        <w:rPr>
          <w:lang w:val="en-US"/>
        </w:rPr>
        <w:t>re</w:t>
      </w:r>
      <w:proofErr w:type="spellEnd"/>
      <w:r>
        <w:rPr>
          <w:lang w:val="en-US"/>
        </w:rPr>
        <w:t xml:space="preserve"> 2020 et Genève, 14-18 </w:t>
      </w:r>
      <w:proofErr w:type="spellStart"/>
      <w:r>
        <w:rPr>
          <w:lang w:val="en-US"/>
        </w:rPr>
        <w:t>septembre</w:t>
      </w:r>
      <w:proofErr w:type="spellEnd"/>
    </w:p>
    <w:p w14:paraId="1338B150" w14:textId="77777777" w:rsidR="00A17802" w:rsidRDefault="00A45F03">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b) de l’ordre du jour provisoire</w:t>
      </w:r>
    </w:p>
    <w:p w14:paraId="00F6FF57" w14:textId="7B0CA821" w:rsidR="00A17802" w:rsidRDefault="00A45F03">
      <w:pPr>
        <w:rPr>
          <w:b/>
          <w:bCs/>
        </w:rPr>
      </w:pPr>
      <w:r>
        <w:rPr>
          <w:b/>
          <w:bCs/>
        </w:rPr>
        <w:t>Propositions d’amendements au RID/ADR/</w:t>
      </w:r>
      <w:proofErr w:type="gramStart"/>
      <w:r>
        <w:rPr>
          <w:b/>
          <w:bCs/>
        </w:rPr>
        <w:t>ADN:</w:t>
      </w:r>
      <w:proofErr w:type="gramEnd"/>
      <w:r>
        <w:rPr>
          <w:b/>
          <w:bCs/>
        </w:rPr>
        <w:t xml:space="preserve"> </w:t>
      </w:r>
      <w:r>
        <w:rPr>
          <w:b/>
          <w:bCs/>
        </w:rPr>
        <w:br/>
        <w:t>nouvelles propositions</w:t>
      </w:r>
      <w:bookmarkStart w:id="0" w:name="_GoBack"/>
      <w:bookmarkEnd w:id="0"/>
    </w:p>
    <w:p w14:paraId="1EAE65B4" w14:textId="77777777" w:rsidR="00A17802" w:rsidRDefault="00A45F03">
      <w:pPr>
        <w:pStyle w:val="HChG"/>
      </w:pPr>
      <w:r>
        <w:tab/>
      </w:r>
      <w:r>
        <w:tab/>
        <w:t xml:space="preserve">Disposition spéciale 363 </w:t>
      </w:r>
    </w:p>
    <w:p w14:paraId="23806D9B" w14:textId="77777777" w:rsidR="00A17802" w:rsidRDefault="00A45F03">
      <w:pPr>
        <w:pStyle w:val="HChG"/>
        <w:rPr>
          <w:rFonts w:eastAsia="Arial"/>
          <w:b w:val="0"/>
          <w:bCs/>
          <w:sz w:val="24"/>
          <w:vertAlign w:val="superscript"/>
        </w:rPr>
      </w:pPr>
      <w:r>
        <w:rPr>
          <w:rFonts w:eastAsia="Arial"/>
          <w:lang w:val="fr-FR"/>
        </w:rPr>
        <w:tab/>
      </w:r>
      <w:r>
        <w:rPr>
          <w:rFonts w:eastAsia="Arial"/>
          <w:lang w:val="fr-FR"/>
        </w:rPr>
        <w:tab/>
      </w:r>
      <w:r>
        <w:rPr>
          <w:rFonts w:eastAsia="Arial"/>
          <w:sz w:val="24"/>
          <w:lang w:val="fr-FR"/>
        </w:rPr>
        <w:t>Communication du Gouvernement de la Suisse</w:t>
      </w:r>
      <w:r>
        <w:rPr>
          <w:rStyle w:val="FootnoteReference"/>
          <w:sz w:val="20"/>
        </w:rPr>
        <w:footnoteReference w:customMarkFollows="1" w:id="2"/>
        <w:t>*</w:t>
      </w:r>
      <w:r>
        <w:rPr>
          <w:b w:val="0"/>
          <w:bCs/>
          <w:position w:val="6"/>
          <w:sz w:val="20"/>
        </w:rPr>
        <w:t>,</w:t>
      </w:r>
      <w:r>
        <w:rPr>
          <w:sz w:val="20"/>
        </w:rPr>
        <w:t xml:space="preserve"> </w:t>
      </w:r>
      <w:r>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A17802" w14:paraId="51093F5E" w14:textId="77777777">
        <w:trPr>
          <w:jc w:val="center"/>
        </w:trPr>
        <w:tc>
          <w:tcPr>
            <w:tcW w:w="9628" w:type="dxa"/>
            <w:shd w:val="clear" w:color="auto" w:fill="auto"/>
          </w:tcPr>
          <w:p w14:paraId="10F98FAB" w14:textId="77777777" w:rsidR="00A17802" w:rsidRDefault="00A45F03">
            <w:pPr>
              <w:spacing w:before="240" w:after="120"/>
              <w:ind w:left="255"/>
              <w:rPr>
                <w:i/>
              </w:rPr>
            </w:pPr>
            <w:r>
              <w:rPr>
                <w:i/>
              </w:rPr>
              <w:t>Résumé</w:t>
            </w:r>
          </w:p>
        </w:tc>
      </w:tr>
      <w:tr w:rsidR="00A17802" w14:paraId="66D80584" w14:textId="77777777">
        <w:trPr>
          <w:jc w:val="center"/>
        </w:trPr>
        <w:tc>
          <w:tcPr>
            <w:tcW w:w="9628" w:type="dxa"/>
            <w:shd w:val="clear" w:color="auto" w:fill="auto"/>
          </w:tcPr>
          <w:p w14:paraId="6AD0C9BB" w14:textId="77777777" w:rsidR="00A17802" w:rsidRDefault="00A45F03" w:rsidP="0007225D">
            <w:pPr>
              <w:pStyle w:val="SingleTxtG"/>
              <w:tabs>
                <w:tab w:val="left" w:pos="3686"/>
              </w:tabs>
              <w:ind w:left="3686" w:hanging="2552"/>
            </w:pPr>
            <w:r>
              <w:rPr>
                <w:b/>
              </w:rPr>
              <w:t xml:space="preserve">Résumé </w:t>
            </w:r>
            <w:proofErr w:type="gramStart"/>
            <w:r>
              <w:rPr>
                <w:b/>
              </w:rPr>
              <w:t>analytique:</w:t>
            </w:r>
            <w:proofErr w:type="gramEnd"/>
            <w:r>
              <w:rPr>
                <w:b/>
              </w:rPr>
              <w:tab/>
            </w:r>
            <w:r>
              <w:t xml:space="preserve">Il s’agit de permettre le maintien du marquage dans le cas des machines et moteurs </w:t>
            </w:r>
            <w:r>
              <w:rPr>
                <w:bCs/>
              </w:rPr>
              <w:t xml:space="preserve">de capacité supérieures à </w:t>
            </w:r>
            <w:r w:rsidR="0007225D">
              <w:rPr>
                <w:bCs/>
              </w:rPr>
              <w:t xml:space="preserve">450 </w:t>
            </w:r>
            <w:r w:rsidRPr="00871CD5">
              <w:rPr>
                <w:bCs/>
                <w:i/>
                <w:iCs/>
              </w:rPr>
              <w:t>l</w:t>
            </w:r>
            <w:r>
              <w:rPr>
                <w:bCs/>
              </w:rPr>
              <w:t xml:space="preserve"> mais contenant une quantité de combustible liquide ne dépassant pas 60 </w:t>
            </w:r>
            <w:r w:rsidRPr="00871CD5">
              <w:rPr>
                <w:bCs/>
                <w:i/>
                <w:iCs/>
              </w:rPr>
              <w:t>l</w:t>
            </w:r>
            <w:r>
              <w:rPr>
                <w:bCs/>
              </w:rPr>
              <w:t>.</w:t>
            </w:r>
          </w:p>
        </w:tc>
      </w:tr>
      <w:tr w:rsidR="00A17802" w14:paraId="452A1C8E" w14:textId="77777777">
        <w:trPr>
          <w:jc w:val="center"/>
        </w:trPr>
        <w:tc>
          <w:tcPr>
            <w:tcW w:w="9628" w:type="dxa"/>
            <w:shd w:val="clear" w:color="auto" w:fill="auto"/>
          </w:tcPr>
          <w:p w14:paraId="08587917" w14:textId="77777777" w:rsidR="00A17802" w:rsidRDefault="00A45F03">
            <w:pPr>
              <w:pStyle w:val="SingleTxtG"/>
              <w:tabs>
                <w:tab w:val="left" w:pos="3686"/>
              </w:tabs>
              <w:ind w:left="3686" w:hanging="2552"/>
            </w:pPr>
            <w:r>
              <w:rPr>
                <w:b/>
              </w:rPr>
              <w:t xml:space="preserve">Mesures à </w:t>
            </w:r>
            <w:proofErr w:type="gramStart"/>
            <w:r>
              <w:rPr>
                <w:b/>
              </w:rPr>
              <w:t>prendre:</w:t>
            </w:r>
            <w:proofErr w:type="gramEnd"/>
            <w:r>
              <w:rPr>
                <w:b/>
              </w:rPr>
              <w:tab/>
            </w:r>
            <w:r>
              <w:t>Modifier le texte de la lettre j) de la disposition spéciale 363 du chapitre 3.3</w:t>
            </w:r>
          </w:p>
        </w:tc>
      </w:tr>
      <w:tr w:rsidR="00A17802" w14:paraId="4FF16299" w14:textId="77777777">
        <w:trPr>
          <w:jc w:val="center"/>
        </w:trPr>
        <w:tc>
          <w:tcPr>
            <w:tcW w:w="9628" w:type="dxa"/>
            <w:shd w:val="clear" w:color="auto" w:fill="auto"/>
          </w:tcPr>
          <w:p w14:paraId="7B964C13" w14:textId="77777777" w:rsidR="00A17802" w:rsidRDefault="00A45F03">
            <w:pPr>
              <w:pStyle w:val="SingleTxtG"/>
              <w:tabs>
                <w:tab w:val="left" w:pos="3686"/>
              </w:tabs>
              <w:ind w:left="3686" w:hanging="2552"/>
              <w:jc w:val="left"/>
              <w:rPr>
                <w:b/>
              </w:rPr>
            </w:pPr>
            <w:r>
              <w:rPr>
                <w:b/>
              </w:rPr>
              <w:t>Documents</w:t>
            </w:r>
            <w:r>
              <w:rPr>
                <w:b/>
                <w:bCs/>
                <w:lang w:val="fr-FR"/>
              </w:rPr>
              <w:t xml:space="preserve"> connexes :</w:t>
            </w:r>
            <w:r>
              <w:rPr>
                <w:b/>
                <w:bCs/>
                <w:lang w:val="fr-FR"/>
              </w:rPr>
              <w:tab/>
            </w:r>
            <w:r>
              <w:rPr>
                <w:lang w:val="fr-FR"/>
              </w:rPr>
              <w:t>ST/SG/AC.10/C.3/2019/29, ST/SG/AC.10/C.3/110 para. 42</w:t>
            </w:r>
          </w:p>
        </w:tc>
      </w:tr>
      <w:tr w:rsidR="00A17802" w14:paraId="5E134314" w14:textId="77777777">
        <w:trPr>
          <w:jc w:val="center"/>
        </w:trPr>
        <w:tc>
          <w:tcPr>
            <w:tcW w:w="9628" w:type="dxa"/>
            <w:shd w:val="clear" w:color="auto" w:fill="auto"/>
          </w:tcPr>
          <w:p w14:paraId="7A605E6C" w14:textId="77777777" w:rsidR="00A17802" w:rsidRDefault="00A17802">
            <w:pPr>
              <w:pStyle w:val="SingleTxtG"/>
              <w:tabs>
                <w:tab w:val="left" w:pos="3260"/>
              </w:tabs>
              <w:ind w:left="0"/>
            </w:pPr>
          </w:p>
        </w:tc>
      </w:tr>
    </w:tbl>
    <w:p w14:paraId="24013B32" w14:textId="77777777" w:rsidR="00A17802" w:rsidRDefault="00A45F03">
      <w:pPr>
        <w:pStyle w:val="HChG"/>
        <w:ind w:right="850"/>
        <w:rPr>
          <w:lang w:val="fr-FR"/>
        </w:rPr>
      </w:pPr>
      <w:r>
        <w:tab/>
      </w:r>
      <w:r>
        <w:rPr>
          <w:lang w:val="fr-FR"/>
        </w:rPr>
        <w:tab/>
      </w:r>
      <w:r>
        <w:rPr>
          <w:lang w:val="fr-FR"/>
        </w:rPr>
        <w:tab/>
        <w:t>Introduction</w:t>
      </w:r>
    </w:p>
    <w:p w14:paraId="5E48BA57" w14:textId="1E1307F2" w:rsidR="00A17802" w:rsidRDefault="00A45F03">
      <w:pPr>
        <w:pStyle w:val="SingleTxtG"/>
      </w:pPr>
      <w:r>
        <w:rPr>
          <w:lang w:val="fr-FR"/>
        </w:rPr>
        <w:t>1.</w:t>
      </w:r>
      <w:r>
        <w:rPr>
          <w:lang w:val="fr-FR"/>
        </w:rPr>
        <w:tab/>
        <w:t xml:space="preserve">À sa </w:t>
      </w:r>
      <w:r w:rsidR="00871CD5">
        <w:rPr>
          <w:lang w:val="fr-FR"/>
        </w:rPr>
        <w:t>cinquante-cinquième</w:t>
      </w:r>
      <w:r>
        <w:rPr>
          <w:lang w:val="fr-FR"/>
        </w:rPr>
        <w:t xml:space="preserve"> session, le Sous-Comité d</w:t>
      </w:r>
      <w:r w:rsidR="00871CD5">
        <w:rPr>
          <w:lang w:val="fr-FR"/>
        </w:rPr>
        <w:t>’</w:t>
      </w:r>
      <w:r>
        <w:rPr>
          <w:lang w:val="fr-FR"/>
        </w:rPr>
        <w:t>experts du transport de</w:t>
      </w:r>
      <w:r w:rsidR="00871CD5">
        <w:rPr>
          <w:lang w:val="fr-FR"/>
        </w:rPr>
        <w:t>s</w:t>
      </w:r>
      <w:r>
        <w:rPr>
          <w:lang w:val="fr-FR"/>
        </w:rPr>
        <w:t xml:space="preserve"> marchandises dangereuses a discuté de l’</w:t>
      </w:r>
      <w:r>
        <w:t xml:space="preserve">application de la lettre j) de la disposition spéciale 363 sur la base du document </w:t>
      </w:r>
      <w:r>
        <w:rPr>
          <w:lang w:val="fr-FR"/>
        </w:rPr>
        <w:t>ST/SG/AC.10/C.3/2019/29 de la Suisse. La plupart des experts ont estimé que la lettre j), telle qu’elle était rédigée, n’interdisait pas l’étiquetage ou le placardage des moteurs et machines contenant moins de 60 </w:t>
      </w:r>
      <w:r w:rsidRPr="00871CD5">
        <w:rPr>
          <w:i/>
          <w:iCs/>
          <w:lang w:val="fr-FR"/>
        </w:rPr>
        <w:t>l</w:t>
      </w:r>
      <w:r>
        <w:rPr>
          <w:lang w:val="fr-FR"/>
        </w:rPr>
        <w:t xml:space="preserve"> de combustible liquide. Le Sous-Comité a préféré ne pas modifier le Règlement type et recommandé qu’une solution soit </w:t>
      </w:r>
      <w:r>
        <w:rPr>
          <w:lang w:val="fr-FR"/>
        </w:rPr>
        <w:lastRenderedPageBreak/>
        <w:t>trouvée au niveau des régions (ST/SG/AC.10/C.3/110 para. 42). La Suisse soumet la proposition pour examen par la Réunion commune.</w:t>
      </w:r>
    </w:p>
    <w:p w14:paraId="272178E5" w14:textId="77777777" w:rsidR="00A17802" w:rsidRDefault="00A45F03">
      <w:pPr>
        <w:pStyle w:val="SingleTxtG"/>
        <w:kinsoku/>
        <w:overflowPunct/>
        <w:autoSpaceDE/>
        <w:autoSpaceDN/>
        <w:adjustRightInd/>
        <w:snapToGrid/>
      </w:pPr>
      <w:r>
        <w:t>2.</w:t>
      </w:r>
      <w:r>
        <w:tab/>
        <w:t xml:space="preserve">Les utilisateurs de l’exemption de la disposition spéciale 363 nous ont communiqué des difficultés d’application de la lettre j). </w:t>
      </w:r>
      <w:r w:rsidR="0007225D">
        <w:t>Pour une quantité de combustible supérieure à 60 </w:t>
      </w:r>
      <w:r w:rsidR="0007225D" w:rsidRPr="00871CD5">
        <w:rPr>
          <w:i/>
          <w:iCs/>
        </w:rPr>
        <w:t>l</w:t>
      </w:r>
      <w:r w:rsidR="0007225D">
        <w:t>, c</w:t>
      </w:r>
      <w:r>
        <w:t xml:space="preserve">ette disposition spéciale exige </w:t>
      </w:r>
      <w:r w:rsidR="00B77FB6">
        <w:t>la présence d’une étiquette</w:t>
      </w:r>
      <w:r w:rsidR="0007225D">
        <w:t xml:space="preserve"> pour une capacité supérieure à 450 </w:t>
      </w:r>
      <w:r w:rsidR="0007225D" w:rsidRPr="00871CD5">
        <w:rPr>
          <w:i/>
          <w:iCs/>
        </w:rPr>
        <w:t>l</w:t>
      </w:r>
      <w:r w:rsidR="0007225D">
        <w:t xml:space="preserve"> mais ne dépassant pas 3 000 </w:t>
      </w:r>
      <w:r w:rsidR="0007225D" w:rsidRPr="00871CD5">
        <w:rPr>
          <w:i/>
          <w:iCs/>
        </w:rPr>
        <w:t>l</w:t>
      </w:r>
      <w:r w:rsidR="0007225D">
        <w:t xml:space="preserve"> et </w:t>
      </w:r>
      <w:r>
        <w:t xml:space="preserve">la signalisation avec une plaque-étiquette de la matière contenue pour les moteurs et machines </w:t>
      </w:r>
      <w:proofErr w:type="spellStart"/>
      <w:r>
        <w:t>des</w:t>
      </w:r>
      <w:proofErr w:type="spellEnd"/>
      <w:r>
        <w:t xml:space="preserve"> Nos ONU 3528 et 3530 pour une capacité supérieure à 3000 </w:t>
      </w:r>
      <w:proofErr w:type="gramStart"/>
      <w:r w:rsidRPr="00871CD5">
        <w:rPr>
          <w:i/>
          <w:iCs/>
        </w:rPr>
        <w:t>l</w:t>
      </w:r>
      <w:r>
        <w:t xml:space="preserve"> .</w:t>
      </w:r>
      <w:proofErr w:type="gramEnd"/>
      <w:r>
        <w:t xml:space="preserve"> </w:t>
      </w:r>
    </w:p>
    <w:p w14:paraId="4A27A223" w14:textId="77777777" w:rsidR="00A17802" w:rsidRDefault="00A45F03">
      <w:pPr>
        <w:pStyle w:val="SingleTxtG"/>
        <w:kinsoku/>
        <w:overflowPunct/>
        <w:autoSpaceDE/>
        <w:autoSpaceDN/>
        <w:adjustRightInd/>
        <w:snapToGrid/>
      </w:pPr>
      <w:r>
        <w:t>3.</w:t>
      </w:r>
      <w:r>
        <w:tab/>
        <w:t xml:space="preserve">La difficulté des utilisateurs provient du fait qu’ils ne savent pas ce qu’ils doivent faire lorsqu’après utilisation de la machine ou du moteur le contenu en combustible ne dépasse pas les 60 </w:t>
      </w:r>
      <w:r w:rsidRPr="00871CD5">
        <w:rPr>
          <w:i/>
          <w:iCs/>
        </w:rPr>
        <w:t>l</w:t>
      </w:r>
      <w:r>
        <w:t xml:space="preserve">. </w:t>
      </w:r>
      <w:proofErr w:type="gramStart"/>
      <w:r>
        <w:t>La paragraphe</w:t>
      </w:r>
      <w:proofErr w:type="gramEnd"/>
      <w:r>
        <w:t xml:space="preserve"> d’introduction de la disposition spéciale 363 précise que la rubrique peut être utilisée uniquement lorsque les conditions de la disposition spéciale 363 sont remplies et ajoute que les autres dispositions du RID/ADR/ADN ne sont pas applicables. </w:t>
      </w:r>
      <w:r w:rsidR="00124503">
        <w:t>Contrairement au cas du placardage des citernes du 5.3.1.6.1 RID/ADR qui oblige à conserver le placardage pour les réservoirs vides non nettoyées, dans la disposition spéciale 363 il n’est pas prévu qu’un placardage soit présent pour un</w:t>
      </w:r>
      <w:r>
        <w:t xml:space="preserve"> contenu de moins de 60 </w:t>
      </w:r>
      <w:r w:rsidRPr="00871CD5">
        <w:rPr>
          <w:i/>
          <w:iCs/>
        </w:rPr>
        <w:t>l</w:t>
      </w:r>
      <w:r>
        <w:t xml:space="preserve">. Ceci obligerait les utilisateurs à enlever les plaques-étiquettes après utilisation de la machine lors du trajet de retour lorsque le réservoir contient moins de 60 </w:t>
      </w:r>
      <w:r w:rsidRPr="00871CD5">
        <w:rPr>
          <w:i/>
          <w:iCs/>
        </w:rPr>
        <w:t>l</w:t>
      </w:r>
      <w:r>
        <w:t xml:space="preserve">. Cette manière de faire est loin d’être praticable. </w:t>
      </w:r>
    </w:p>
    <w:p w14:paraId="6D83F45A" w14:textId="77777777" w:rsidR="00A17802" w:rsidRDefault="00A45F03" w:rsidP="00B77FB6">
      <w:pPr>
        <w:pStyle w:val="SingleTxtG"/>
        <w:kinsoku/>
        <w:overflowPunct/>
        <w:autoSpaceDE/>
        <w:autoSpaceDN/>
        <w:adjustRightInd/>
        <w:snapToGrid/>
      </w:pPr>
      <w:r>
        <w:t>4.</w:t>
      </w:r>
      <w:r>
        <w:tab/>
      </w:r>
      <w:r w:rsidR="00B77FB6">
        <w:t>P</w:t>
      </w:r>
      <w:r>
        <w:t>our éviter des modifications du marquage en fonction de l’évolution au cours du temps du contenu des réservoirs</w:t>
      </w:r>
      <w:r w:rsidR="00B77FB6">
        <w:t>,</w:t>
      </w:r>
      <w:r>
        <w:t xml:space="preserve"> il faut introduire une possibilité dans la disposition spéciale 363 de maintenir le marquage même lorsque la quantité de 60 </w:t>
      </w:r>
      <w:r w:rsidRPr="00871CD5">
        <w:rPr>
          <w:i/>
          <w:iCs/>
        </w:rPr>
        <w:t>l</w:t>
      </w:r>
      <w:r>
        <w:t xml:space="preserve"> n’est plus atteinte. Ceci sans que le marquage soit obligatoire pour des volumes inférieurs à 60 </w:t>
      </w:r>
      <w:r w:rsidRPr="00871CD5">
        <w:rPr>
          <w:i/>
          <w:iCs/>
        </w:rPr>
        <w:t>l</w:t>
      </w:r>
      <w:r>
        <w:t>.</w:t>
      </w:r>
    </w:p>
    <w:p w14:paraId="7A420027" w14:textId="77777777" w:rsidR="00A17802" w:rsidRDefault="00A45F03">
      <w:pPr>
        <w:pStyle w:val="HChG"/>
        <w:rPr>
          <w:lang w:val="fr-FR"/>
        </w:rPr>
      </w:pPr>
      <w:r>
        <w:rPr>
          <w:lang w:val="fr-FR"/>
        </w:rPr>
        <w:tab/>
      </w:r>
      <w:r>
        <w:rPr>
          <w:lang w:val="fr-FR"/>
        </w:rPr>
        <w:tab/>
        <w:t>Proposition</w:t>
      </w:r>
    </w:p>
    <w:p w14:paraId="510CC1E4" w14:textId="77777777" w:rsidR="00A17802" w:rsidRDefault="00DB4414">
      <w:pPr>
        <w:pStyle w:val="SingleTxtG"/>
        <w:kinsoku/>
        <w:overflowPunct/>
        <w:autoSpaceDE/>
        <w:autoSpaceDN/>
        <w:adjustRightInd/>
        <w:snapToGrid/>
      </w:pPr>
      <w:r>
        <w:rPr>
          <w:lang w:val="fr-FR" w:eastAsia="fr-FR"/>
        </w:rPr>
        <w:t>5</w:t>
      </w:r>
      <w:r w:rsidR="00A45F03">
        <w:rPr>
          <w:lang w:val="fr-FR" w:eastAsia="fr-FR"/>
        </w:rPr>
        <w:t>.</w:t>
      </w:r>
      <w:r w:rsidR="00A45F03">
        <w:rPr>
          <w:lang w:val="fr-FR" w:eastAsia="fr-FR"/>
        </w:rPr>
        <w:tab/>
      </w:r>
      <w:r w:rsidR="00A45F03">
        <w:t xml:space="preserve">Modifier le texte de la lettre j) de dispositions spéciale 363 du chapitre 3.3 comme suit (nouveau texte </w:t>
      </w:r>
      <w:r w:rsidR="00A45F03">
        <w:rPr>
          <w:b/>
          <w:bCs/>
          <w:u w:val="single"/>
        </w:rPr>
        <w:t xml:space="preserve">souligné en </w:t>
      </w:r>
      <w:proofErr w:type="gramStart"/>
      <w:r w:rsidR="00A45F03">
        <w:rPr>
          <w:b/>
          <w:bCs/>
          <w:u w:val="single"/>
        </w:rPr>
        <w:t>gras</w:t>
      </w:r>
      <w:r w:rsidR="00A45F03">
        <w:t> )</w:t>
      </w:r>
      <w:proofErr w:type="gramEnd"/>
    </w:p>
    <w:p w14:paraId="71772D0E" w14:textId="77777777" w:rsidR="00A17802" w:rsidRDefault="00A45F03">
      <w:pPr>
        <w:tabs>
          <w:tab w:val="left" w:pos="2268"/>
        </w:tabs>
        <w:spacing w:after="200"/>
        <w:ind w:left="3119" w:hanging="1418"/>
      </w:pPr>
      <w:r>
        <w:t>« </w:t>
      </w:r>
      <w:proofErr w:type="gramStart"/>
      <w:r>
        <w:t>j</w:t>
      </w:r>
      <w:proofErr w:type="gramEnd"/>
      <w:r>
        <w:t>)</w:t>
      </w:r>
      <w:r>
        <w:tab/>
        <w:t>Pour les Nos ONU 3528 et 3530:</w:t>
      </w:r>
    </w:p>
    <w:p w14:paraId="04085B24" w14:textId="66731EBA" w:rsidR="00A17802" w:rsidRDefault="00A45F03">
      <w:pPr>
        <w:pStyle w:val="SingleTxtG"/>
        <w:ind w:left="2268"/>
      </w:pPr>
      <w:r>
        <w:tab/>
        <w:t xml:space="preserve">Si le moteur ou la machine contient une quantité de combustible liquide supérieure à 60 </w:t>
      </w:r>
      <w:r w:rsidR="00871CD5" w:rsidRPr="00871CD5">
        <w:rPr>
          <w:i/>
          <w:iCs/>
        </w:rPr>
        <w:t>l</w:t>
      </w:r>
      <w:r>
        <w:t xml:space="preserve"> pour une capacité supérieure à 450 </w:t>
      </w:r>
      <w:r w:rsidR="00871CD5" w:rsidRPr="00871CD5">
        <w:rPr>
          <w:i/>
          <w:iCs/>
        </w:rPr>
        <w:t>l</w:t>
      </w:r>
      <w:r>
        <w:t xml:space="preserve"> mais ne dépassant pas 3000 </w:t>
      </w:r>
      <w:r w:rsidR="00871CD5" w:rsidRPr="00871CD5">
        <w:rPr>
          <w:i/>
          <w:iCs/>
        </w:rPr>
        <w:t>l</w:t>
      </w:r>
      <w:r>
        <w:t>, une étiquette doit y être apposée sur deux côtés opposés conformément au 5.2.2 ;</w:t>
      </w:r>
    </w:p>
    <w:p w14:paraId="4F9D1AAA" w14:textId="1A7C4EEC" w:rsidR="00A17802" w:rsidRDefault="00A45F03">
      <w:pPr>
        <w:pStyle w:val="SingleTxtG"/>
        <w:ind w:left="2268"/>
      </w:pPr>
      <w:r>
        <w:tab/>
        <w:t xml:space="preserve">Si le moteur ou la machine contient une quantité de combustible liquide supérieure à 60 </w:t>
      </w:r>
      <w:r w:rsidR="00871CD5" w:rsidRPr="00871CD5">
        <w:rPr>
          <w:i/>
          <w:iCs/>
        </w:rPr>
        <w:t>l</w:t>
      </w:r>
      <w:r>
        <w:t xml:space="preserve"> pour une capacité supérieure à 3000 </w:t>
      </w:r>
      <w:r w:rsidR="00871CD5" w:rsidRPr="00871CD5">
        <w:rPr>
          <w:i/>
          <w:iCs/>
        </w:rPr>
        <w:t>l</w:t>
      </w:r>
      <w:r>
        <w:t xml:space="preserve">, une plaque-étiquette doit y être apposée sur deux côtés opposés. Les plaques-étiquettes doivent correspondre aux étiquettes prescrites dans la colonne (5) du tableau A du chapitre 3.2 et être conformes aux spécifications du 5.3.1.7. Les plaques-étiquettes doivent être appliquées sur un fond de couleur contrastante, ou être entourées d’une bordure en trait continu ou </w:t>
      </w:r>
      <w:proofErr w:type="gramStart"/>
      <w:r>
        <w:t>discontinu;</w:t>
      </w:r>
      <w:proofErr w:type="gramEnd"/>
      <w:r>
        <w:t xml:space="preserve"> </w:t>
      </w:r>
    </w:p>
    <w:p w14:paraId="5914DA80" w14:textId="56576456" w:rsidR="00A17802" w:rsidRPr="00871CD5" w:rsidRDefault="00A45F03">
      <w:pPr>
        <w:pStyle w:val="SingleTxtG"/>
        <w:ind w:left="2268"/>
        <w:rPr>
          <w:b/>
          <w:bCs/>
          <w:u w:val="single"/>
        </w:rPr>
      </w:pPr>
      <w:r w:rsidRPr="00DB4414">
        <w:rPr>
          <w:b/>
          <w:bCs/>
          <w:u w:val="single"/>
        </w:rPr>
        <w:t xml:space="preserve">L’étiquetage et </w:t>
      </w:r>
      <w:r w:rsidRPr="00DB4414">
        <w:rPr>
          <w:b/>
          <w:u w:val="single"/>
        </w:rPr>
        <w:t>le</w:t>
      </w:r>
      <w:r w:rsidRPr="00DB4414">
        <w:rPr>
          <w:b/>
          <w:bCs/>
          <w:u w:val="single"/>
        </w:rPr>
        <w:t xml:space="preserve"> placardage conforme aux présentes dispositions des </w:t>
      </w:r>
      <w:r w:rsidRPr="00871CD5">
        <w:rPr>
          <w:b/>
          <w:bCs/>
          <w:u w:val="single"/>
        </w:rPr>
        <w:t xml:space="preserve">moteurs et machines de capacité supérieures à 450 </w:t>
      </w:r>
      <w:r w:rsidR="00871CD5" w:rsidRPr="00871CD5">
        <w:rPr>
          <w:b/>
          <w:bCs/>
          <w:i/>
          <w:iCs/>
          <w:u w:val="single"/>
        </w:rPr>
        <w:t>l</w:t>
      </w:r>
      <w:r w:rsidRPr="00871CD5">
        <w:rPr>
          <w:b/>
          <w:bCs/>
          <w:u w:val="single"/>
        </w:rPr>
        <w:t xml:space="preserve"> mais contenant une quantité de combustible liquide ne dépassant pas 60 </w:t>
      </w:r>
      <w:r w:rsidR="00871CD5" w:rsidRPr="00871CD5">
        <w:rPr>
          <w:b/>
          <w:bCs/>
          <w:i/>
          <w:iCs/>
          <w:u w:val="single"/>
        </w:rPr>
        <w:t>l</w:t>
      </w:r>
      <w:r w:rsidRPr="00871CD5">
        <w:rPr>
          <w:b/>
          <w:bCs/>
          <w:u w:val="single"/>
        </w:rPr>
        <w:t xml:space="preserve"> est autorisé. ».</w:t>
      </w:r>
    </w:p>
    <w:p w14:paraId="100F4C2D" w14:textId="77777777" w:rsidR="00A17802" w:rsidRDefault="00A45F03">
      <w:pPr>
        <w:spacing w:before="240"/>
        <w:jc w:val="center"/>
        <w:rPr>
          <w:u w:val="single"/>
        </w:rPr>
      </w:pPr>
      <w:r>
        <w:rPr>
          <w:u w:val="single"/>
        </w:rPr>
        <w:tab/>
      </w:r>
      <w:r>
        <w:rPr>
          <w:u w:val="single"/>
        </w:rPr>
        <w:tab/>
      </w:r>
      <w:r>
        <w:rPr>
          <w:u w:val="single"/>
        </w:rPr>
        <w:tab/>
      </w:r>
    </w:p>
    <w:sectPr w:rsidR="00A17802" w:rsidSect="00537DA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98203" w14:textId="77777777" w:rsidR="00A17802" w:rsidRDefault="00A17802">
      <w:pPr>
        <w:spacing w:line="240" w:lineRule="auto"/>
      </w:pPr>
    </w:p>
  </w:endnote>
  <w:endnote w:type="continuationSeparator" w:id="0">
    <w:p w14:paraId="2C9891A7" w14:textId="77777777" w:rsidR="00A17802" w:rsidRDefault="00A17802">
      <w:pPr>
        <w:pStyle w:val="Footer"/>
      </w:pPr>
    </w:p>
  </w:endnote>
  <w:endnote w:type="continuationNotice" w:id="1">
    <w:p w14:paraId="697B8E1E" w14:textId="77777777" w:rsidR="00A17802" w:rsidRDefault="00A178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E31B" w14:textId="77777777" w:rsidR="00A17802" w:rsidRDefault="00A45F0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B77FB6">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D13F" w14:textId="77777777" w:rsidR="00A17802" w:rsidRDefault="00A45F0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0CA1" w14:textId="77777777" w:rsidR="00A17802" w:rsidRDefault="00A17802">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4E78F" w14:textId="77777777" w:rsidR="00A17802" w:rsidRDefault="00A45F03">
      <w:pPr>
        <w:pStyle w:val="Footer"/>
        <w:tabs>
          <w:tab w:val="right" w:pos="2155"/>
        </w:tabs>
        <w:spacing w:after="80" w:line="240" w:lineRule="atLeast"/>
        <w:ind w:left="680"/>
        <w:rPr>
          <w:u w:val="single"/>
        </w:rPr>
      </w:pPr>
      <w:r>
        <w:rPr>
          <w:u w:val="single"/>
        </w:rPr>
        <w:tab/>
      </w:r>
    </w:p>
  </w:footnote>
  <w:footnote w:type="continuationSeparator" w:id="0">
    <w:p w14:paraId="7786CF05" w14:textId="77777777" w:rsidR="00A17802" w:rsidRDefault="00A45F03">
      <w:pPr>
        <w:pStyle w:val="Footer"/>
        <w:tabs>
          <w:tab w:val="right" w:pos="2155"/>
        </w:tabs>
        <w:spacing w:after="80" w:line="240" w:lineRule="atLeast"/>
        <w:ind w:left="680"/>
        <w:rPr>
          <w:u w:val="single"/>
        </w:rPr>
      </w:pPr>
      <w:r>
        <w:rPr>
          <w:u w:val="single"/>
        </w:rPr>
        <w:tab/>
      </w:r>
    </w:p>
  </w:footnote>
  <w:footnote w:type="continuationNotice" w:id="1">
    <w:p w14:paraId="47DC33B9" w14:textId="77777777" w:rsidR="00A17802" w:rsidRDefault="00A17802">
      <w:pPr>
        <w:spacing w:line="240" w:lineRule="auto"/>
        <w:rPr>
          <w:sz w:val="2"/>
          <w:szCs w:val="2"/>
        </w:rPr>
      </w:pPr>
    </w:p>
  </w:footnote>
  <w:footnote w:id="2">
    <w:p w14:paraId="12DF1D85" w14:textId="77777777" w:rsidR="00A17802" w:rsidRDefault="00A45F03">
      <w:pPr>
        <w:pStyle w:val="FootnoteText"/>
      </w:pPr>
      <w:r>
        <w:rPr>
          <w:rStyle w:val="FootnoteReference"/>
        </w:rPr>
        <w:tab/>
      </w:r>
      <w:r>
        <w:rPr>
          <w:rStyle w:val="FootnoteReference"/>
          <w:sz w:val="20"/>
        </w:rPr>
        <w:t>*</w:t>
      </w:r>
      <w:r>
        <w:rPr>
          <w:rStyle w:val="FootnoteReference"/>
          <w:sz w:val="20"/>
        </w:rPr>
        <w:tab/>
      </w:r>
      <w:r w:rsidR="00DB4414" w:rsidRPr="00DB4414">
        <w:t>Sous-programme 2 du budget-programme pour 2020 (A/74/6 (Sect.20) et informations complémentaires)</w:t>
      </w:r>
      <w:r w:rsidR="00DB4414">
        <w:t>.</w:t>
      </w:r>
    </w:p>
  </w:footnote>
  <w:footnote w:id="3">
    <w:p w14:paraId="147C3B5B" w14:textId="77777777" w:rsidR="00A17802" w:rsidRDefault="00A45F03">
      <w:pPr>
        <w:pStyle w:val="FootnoteText"/>
      </w:pPr>
      <w:r>
        <w:rPr>
          <w:rStyle w:val="FootnoteReference"/>
        </w:rPr>
        <w:tab/>
      </w:r>
      <w:r>
        <w:rPr>
          <w:rStyle w:val="FootnoteReference"/>
          <w:sz w:val="20"/>
        </w:rPr>
        <w:t>**</w:t>
      </w:r>
      <w:r>
        <w:rPr>
          <w:rStyle w:val="FootnoteReference"/>
          <w:sz w:val="20"/>
        </w:rPr>
        <w:tab/>
      </w:r>
      <w:r>
        <w:t>Diffusée par l’Organisation intergouvernementale pour les transports internationaux ferroviaires sous la cote OTIF/RID/RC/2020/</w:t>
      </w:r>
      <w:r w:rsidR="00DB4414">
        <w:t>56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FFF4" w14:textId="77777777" w:rsidR="00A17802" w:rsidRDefault="00DB4414">
    <w:pPr>
      <w:pStyle w:val="Header"/>
    </w:pPr>
    <w:r>
      <w:t>ECE/TRANS/WP.15/AC.1/2020/56</w:t>
    </w:r>
    <w:r w:rsidR="00A45F03">
      <w:fldChar w:fldCharType="begin"/>
    </w:r>
    <w:r w:rsidR="00A45F03">
      <w:instrText xml:space="preserve"> TITLE  \* MERGEFORMAT </w:instrText>
    </w:r>
    <w:r w:rsidR="00A45F0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76A9" w14:textId="77777777" w:rsidR="00A17802" w:rsidRDefault="00A45F03">
    <w:pPr>
      <w:pStyle w:val="Header"/>
      <w:jc w:val="right"/>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75715BE"/>
    <w:multiLevelType w:val="hybridMultilevel"/>
    <w:tmpl w:val="C9B81B54"/>
    <w:lvl w:ilvl="0" w:tplc="DF1600E6">
      <w:start w:val="1"/>
      <w:numFmt w:val="decimal"/>
      <w:lvlText w:val="%1."/>
      <w:lvlJc w:val="left"/>
      <w:pPr>
        <w:ind w:left="1704" w:hanging="57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15:restartNumberingAfterBreak="0">
    <w:nsid w:val="1FCE6890"/>
    <w:multiLevelType w:val="hybridMultilevel"/>
    <w:tmpl w:val="588677BE"/>
    <w:lvl w:ilvl="0" w:tplc="FC5260B4">
      <w:start w:val="1"/>
      <w:numFmt w:val="decimal"/>
      <w:lvlText w:val="%1."/>
      <w:lvlJc w:val="left"/>
      <w:pPr>
        <w:ind w:left="1704" w:hanging="570"/>
      </w:pPr>
      <w:rPr>
        <w:rFonts w:hint="default"/>
      </w:rPr>
    </w:lvl>
    <w:lvl w:ilvl="1" w:tplc="04090019">
      <w:start w:val="1"/>
      <w:numFmt w:val="lowerLetter"/>
      <w:lvlText w:val="%2."/>
      <w:lvlJc w:val="left"/>
      <w:pPr>
        <w:ind w:left="305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7E143BA"/>
    <w:multiLevelType w:val="hybridMultilevel"/>
    <w:tmpl w:val="F76C97DC"/>
    <w:lvl w:ilvl="0" w:tplc="38047884">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15:restartNumberingAfterBreak="0">
    <w:nsid w:val="7F4D7317"/>
    <w:multiLevelType w:val="hybridMultilevel"/>
    <w:tmpl w:val="588677BE"/>
    <w:lvl w:ilvl="0" w:tplc="FC5260B4">
      <w:start w:val="1"/>
      <w:numFmt w:val="decimal"/>
      <w:lvlText w:val="%1."/>
      <w:lvlJc w:val="left"/>
      <w:pPr>
        <w:ind w:left="1704" w:hanging="570"/>
      </w:pPr>
      <w:rPr>
        <w:rFonts w:hint="default"/>
      </w:rPr>
    </w:lvl>
    <w:lvl w:ilvl="1" w:tplc="04090019">
      <w:start w:val="1"/>
      <w:numFmt w:val="lowerLetter"/>
      <w:lvlText w:val="%2."/>
      <w:lvlJc w:val="left"/>
      <w:pPr>
        <w:ind w:left="305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5"/>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567"/>
  <w:hyphenationZone w:val="425"/>
  <w:evenAndOddHeaders/>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2324AE-7E1B-46E0-BE39-6171A5137F5D}"/>
    <w:docVar w:name="dgnword-eventsink" w:val="646185176"/>
  </w:docVars>
  <w:rsids>
    <w:rsidRoot w:val="00A17802"/>
    <w:rsid w:val="0007225D"/>
    <w:rsid w:val="00124503"/>
    <w:rsid w:val="0036409C"/>
    <w:rsid w:val="00537DAB"/>
    <w:rsid w:val="00871CD5"/>
    <w:rsid w:val="00A17802"/>
    <w:rsid w:val="00A45F03"/>
    <w:rsid w:val="00B77FB6"/>
    <w:rsid w:val="00DB44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3AE686"/>
  <w15:docId w15:val="{B96611B4-101C-4EC2-990F-D0E34C78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outlineLvl w:val="1"/>
    </w:pPr>
  </w:style>
  <w:style w:type="paragraph" w:styleId="Heading3">
    <w:name w:val="heading 3"/>
    <w:basedOn w:val="Normal"/>
    <w:next w:val="Normal"/>
    <w:link w:val="Heading3Char"/>
    <w:semiHidden/>
    <w:qFormat/>
    <w:pPr>
      <w:outlineLvl w:val="2"/>
    </w:pPr>
  </w:style>
  <w:style w:type="paragraph" w:styleId="Heading4">
    <w:name w:val="heading 4"/>
    <w:basedOn w:val="Normal"/>
    <w:next w:val="Normal"/>
    <w:link w:val="Heading4Char"/>
    <w:semiHidden/>
    <w:qFormat/>
    <w:pPr>
      <w:outlineLvl w:val="3"/>
    </w:pPr>
  </w:style>
  <w:style w:type="paragraph" w:styleId="Heading5">
    <w:name w:val="heading 5"/>
    <w:basedOn w:val="Normal"/>
    <w:next w:val="Normal"/>
    <w:link w:val="Heading5Char"/>
    <w:semiHidden/>
    <w:qFormat/>
    <w:pPr>
      <w:outlineLvl w:val="4"/>
    </w:pPr>
  </w:style>
  <w:style w:type="paragraph" w:styleId="Heading6">
    <w:name w:val="heading 6"/>
    <w:basedOn w:val="Normal"/>
    <w:next w:val="Normal"/>
    <w:link w:val="Heading6Char"/>
    <w:semiHidden/>
    <w:qFormat/>
    <w:pPr>
      <w:outlineLvl w:val="5"/>
    </w:pPr>
  </w:style>
  <w:style w:type="paragraph" w:styleId="Heading7">
    <w:name w:val="heading 7"/>
    <w:basedOn w:val="Normal"/>
    <w:next w:val="Normal"/>
    <w:link w:val="Heading7Char"/>
    <w:semiHidden/>
    <w:qFormat/>
    <w:pPr>
      <w:outlineLvl w:val="6"/>
    </w:pPr>
  </w:style>
  <w:style w:type="paragraph" w:styleId="Heading8">
    <w:name w:val="heading 8"/>
    <w:basedOn w:val="Normal"/>
    <w:next w:val="Normal"/>
    <w:link w:val="Heading8Char"/>
    <w:semiHidden/>
    <w:qFormat/>
    <w:pPr>
      <w:outlineLvl w:val="7"/>
    </w:pPr>
  </w:style>
  <w:style w:type="paragraph" w:styleId="Heading9">
    <w:name w:val="heading 9"/>
    <w:basedOn w:val="Normal"/>
    <w:next w:val="Normal"/>
    <w:link w:val="Heading9Char"/>
    <w:semiHidden/>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pPr>
      <w:spacing w:line="240" w:lineRule="auto"/>
    </w:pPr>
    <w:rPr>
      <w:sz w:val="16"/>
    </w:rPr>
  </w:style>
  <w:style w:type="character" w:customStyle="1" w:styleId="FooterChar">
    <w:name w:val="Footer Char"/>
    <w:aliases w:val="3_G Char"/>
    <w:basedOn w:val="DefaultParagraphFont"/>
    <w:link w:val="Footer"/>
    <w:rPr>
      <w:rFonts w:ascii="Times New Roman" w:eastAsia="Times New Roman" w:hAnsi="Times New Roman" w:cs="Times New Roman"/>
      <w:sz w:val="16"/>
      <w:szCs w:val="20"/>
      <w:lang w:eastAsia="en-US"/>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customStyle="1" w:styleId="Bullet2G">
    <w:name w:val="_Bullet 2_G"/>
    <w:basedOn w:val="Normal"/>
    <w:qFormat/>
    <w:pPr>
      <w:numPr>
        <w:numId w:val="2"/>
      </w:numPr>
      <w:spacing w:after="120"/>
      <w:ind w:right="1134"/>
      <w:jc w:val="both"/>
    </w:pPr>
  </w:style>
  <w:style w:type="paragraph" w:customStyle="1" w:styleId="ParNoG">
    <w:name w:val="_ParNo_G"/>
    <w:basedOn w:val="Normal"/>
    <w:qFormat/>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Pr>
      <w:rFonts w:ascii="Times New Roman" w:hAnsi="Times New Roman"/>
      <w:sz w:val="18"/>
      <w:vertAlign w:val="superscript"/>
      <w:lang w:val="fr-CH"/>
    </w:rPr>
  </w:style>
  <w:style w:type="character" w:styleId="EndnoteReference">
    <w:name w:val="endnote reference"/>
    <w:aliases w:val="1_G"/>
    <w:basedOn w:val="FootnoteReference"/>
    <w:qFormat/>
    <w:rPr>
      <w:rFonts w:ascii="Times New Roman" w:hAnsi="Times New Roman"/>
      <w:sz w:val="18"/>
      <w:vertAlign w:val="superscript"/>
      <w:lang w:val="fr-CH"/>
    </w:rPr>
  </w:style>
  <w:style w:type="table" w:styleId="TableGrid">
    <w:name w:val="Table Grid"/>
    <w:basedOn w:val="TableNormal"/>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Pr>
      <w:color w:val="0000FF"/>
      <w:u w:val="none"/>
    </w:rPr>
  </w:style>
  <w:style w:type="character" w:styleId="FollowedHyperlink">
    <w:name w:val="FollowedHyperlink"/>
    <w:basedOn w:val="DefaultParagraphFont"/>
    <w:unhideWhenUsed/>
    <w:rPr>
      <w:color w:val="0000FF"/>
      <w:u w:val="none"/>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Pr>
      <w:rFonts w:ascii="Times New Roman" w:hAnsi="Times New Roman"/>
      <w:b/>
      <w:sz w:val="18"/>
      <w:lang w:val="fr-CH"/>
    </w:rPr>
  </w:style>
  <w:style w:type="character" w:customStyle="1" w:styleId="Heading1Char">
    <w:name w:val="Heading 1 Char"/>
    <w:aliases w:val="Table_G Char"/>
    <w:basedOn w:val="DefaultParagraphFont"/>
    <w:link w:val="Heading1"/>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SingleTxtGChar">
    <w:name w:val="_ Single Txt_G Char"/>
    <w:link w:val="SingleTxtG"/>
    <w:qFormat/>
    <w:rPr>
      <w:rFonts w:ascii="Times New Roman" w:hAnsi="Times New Roman" w:cs="Times New Roman"/>
      <w:sz w:val="20"/>
      <w:szCs w:val="20"/>
      <w:lang w:eastAsia="en-US"/>
    </w:rPr>
  </w:style>
  <w:style w:type="character" w:customStyle="1" w:styleId="HChGChar">
    <w:name w:val="_ H _Ch_G Char"/>
    <w:link w:val="HChG"/>
    <w:rPr>
      <w:rFonts w:ascii="Times New Roman" w:hAnsi="Times New Roman" w:cs="Times New Roman"/>
      <w:b/>
      <w:sz w:val="28"/>
      <w:szCs w:val="20"/>
      <w:lang w:eastAsia="en-US"/>
    </w:rPr>
  </w:style>
  <w:style w:type="character" w:customStyle="1" w:styleId="H1GCar">
    <w:name w:val="_ H_1_G Car"/>
    <w:link w:val="H1G"/>
    <w:locked/>
    <w:rPr>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4610">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7658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698</Words>
  <Characters>3899</Characters>
  <Application>Microsoft Office Word</Application>
  <DocSecurity>0</DocSecurity>
  <Lines>72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Gilabert David ASTRA</dc:creator>
  <cp:keywords/>
  <dc:description/>
  <cp:lastModifiedBy>Christine Barrio-Champeau</cp:lastModifiedBy>
  <cp:revision>5</cp:revision>
  <cp:lastPrinted>2020-04-28T14:00:00Z</cp:lastPrinted>
  <dcterms:created xsi:type="dcterms:W3CDTF">2020-06-08T11:35:00Z</dcterms:created>
  <dcterms:modified xsi:type="dcterms:W3CDTF">2020-06-08T13:23:00Z</dcterms:modified>
</cp:coreProperties>
</file>