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1DFF4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A4E8AC" w14:textId="77777777" w:rsidR="002D5AAC" w:rsidRDefault="002D5AAC" w:rsidP="00B603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7F091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8BB14F" w14:textId="77777777" w:rsidR="002D5AAC" w:rsidRDefault="00B603C6" w:rsidP="00B603C6">
            <w:pPr>
              <w:jc w:val="right"/>
            </w:pPr>
            <w:r w:rsidRPr="00B603C6">
              <w:rPr>
                <w:sz w:val="40"/>
              </w:rPr>
              <w:t>ECE</w:t>
            </w:r>
            <w:r>
              <w:t>/TRANS/WP.15/AC.1/2020/55</w:t>
            </w:r>
          </w:p>
        </w:tc>
      </w:tr>
      <w:tr w:rsidR="002D5AAC" w:rsidRPr="00B603C6" w14:paraId="590C18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D685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814B0E" wp14:editId="082950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D903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7033F6" w14:textId="77777777" w:rsidR="002D5AAC" w:rsidRDefault="00B603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E862BD9" w14:textId="77777777" w:rsidR="00B603C6" w:rsidRDefault="00B603C6" w:rsidP="00B603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June 2020</w:t>
            </w:r>
          </w:p>
          <w:p w14:paraId="0C4D089D" w14:textId="77777777" w:rsidR="00B603C6" w:rsidRDefault="00B603C6" w:rsidP="00B603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502E47" w14:textId="77777777" w:rsidR="00B603C6" w:rsidRPr="008D53B6" w:rsidRDefault="00B603C6" w:rsidP="00B603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0264D91" w14:textId="77777777" w:rsidR="00B603C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7A8700" w14:textId="77777777" w:rsidR="002C21DA" w:rsidRPr="004F71DC" w:rsidRDefault="002C21DA" w:rsidP="002C21DA">
      <w:pPr>
        <w:spacing w:before="120"/>
        <w:rPr>
          <w:sz w:val="28"/>
          <w:szCs w:val="28"/>
        </w:rPr>
      </w:pPr>
      <w:r w:rsidRPr="004F71DC">
        <w:rPr>
          <w:sz w:val="28"/>
          <w:szCs w:val="28"/>
        </w:rPr>
        <w:t>Комитет по внутреннему транспорту</w:t>
      </w:r>
    </w:p>
    <w:p w14:paraId="2F99BDE1" w14:textId="77777777" w:rsidR="002C21DA" w:rsidRPr="004F71DC" w:rsidRDefault="002C21DA" w:rsidP="002C21DA">
      <w:pPr>
        <w:spacing w:before="120" w:after="120"/>
        <w:rPr>
          <w:b/>
          <w:sz w:val="24"/>
          <w:szCs w:val="24"/>
        </w:rPr>
      </w:pPr>
      <w:r w:rsidRPr="004F71DC">
        <w:rPr>
          <w:b/>
          <w:bCs/>
          <w:sz w:val="24"/>
          <w:szCs w:val="24"/>
        </w:rPr>
        <w:t>Рабочая группа по перевозкам опасных грузов</w:t>
      </w:r>
    </w:p>
    <w:p w14:paraId="38162107" w14:textId="77777777" w:rsidR="002C21DA" w:rsidRPr="004F71DC" w:rsidRDefault="002C21DA" w:rsidP="002C21DA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210204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3FDDD8A" w14:textId="77777777" w:rsidR="002C21DA" w:rsidRPr="004F71DC" w:rsidRDefault="002C21DA" w:rsidP="002C21DA">
      <w:r>
        <w:t>Берн, 10–11 сентября, и Женева, 14–18 сентября 2020 года</w:t>
      </w:r>
    </w:p>
    <w:p w14:paraId="7D28C25B" w14:textId="77777777" w:rsidR="002C21DA" w:rsidRPr="004F71DC" w:rsidRDefault="002C21DA" w:rsidP="002C21DA">
      <w:r>
        <w:t>Пункт 7 предварительной повестки дня</w:t>
      </w:r>
    </w:p>
    <w:p w14:paraId="1FB52B5A" w14:textId="77777777" w:rsidR="002C21DA" w:rsidRPr="004F71DC" w:rsidRDefault="002C21DA" w:rsidP="002C21DA">
      <w:pPr>
        <w:rPr>
          <w:b/>
          <w:bCs/>
        </w:rPr>
      </w:pPr>
      <w:r>
        <w:rPr>
          <w:b/>
          <w:bCs/>
        </w:rPr>
        <w:t>Аварии и управление рисками</w:t>
      </w:r>
    </w:p>
    <w:p w14:paraId="044CCCC7" w14:textId="77777777" w:rsidR="002C21DA" w:rsidRPr="004F71DC" w:rsidRDefault="002C21DA" w:rsidP="002C21DA">
      <w:pPr>
        <w:pStyle w:val="HChG"/>
      </w:pPr>
      <w:r>
        <w:tab/>
      </w:r>
      <w:r>
        <w:tab/>
      </w:r>
      <w:r>
        <w:rPr>
          <w:bCs/>
        </w:rPr>
        <w:t>Информация о неофициальной рабочей группе по</w:t>
      </w:r>
      <w:r w:rsidR="00210204">
        <w:rPr>
          <w:bCs/>
          <w:lang w:val="en-US"/>
        </w:rPr>
        <w:t> </w:t>
      </w:r>
      <w:r>
        <w:rPr>
          <w:bCs/>
        </w:rPr>
        <w:t>совершенствованию отчета о происшествиях</w:t>
      </w:r>
    </w:p>
    <w:p w14:paraId="1158A0CC" w14:textId="77777777" w:rsidR="002C21DA" w:rsidRDefault="002C21DA" w:rsidP="002C21DA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 от имени неофициальной рабочей группы</w:t>
      </w:r>
      <w:r w:rsidRPr="0095638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56383">
        <w:rPr>
          <w:rStyle w:val="FootnoteReference"/>
          <w:sz w:val="28"/>
          <w:szCs w:val="28"/>
          <w:vertAlign w:val="baseline"/>
        </w:rPr>
        <w:t xml:space="preserve"> </w:t>
      </w:r>
      <w:r w:rsidRPr="0095638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56383" w:rsidRPr="00956383" w14:paraId="5541A0F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01D75EC" w14:textId="77777777" w:rsidR="00956383" w:rsidRPr="00956383" w:rsidRDefault="0095638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56383">
              <w:rPr>
                <w:rFonts w:cs="Times New Roman"/>
              </w:rPr>
              <w:tab/>
            </w:r>
            <w:r w:rsidRPr="0095638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56383" w:rsidRPr="00956383" w14:paraId="2FBBB3B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1C939D0" w14:textId="77777777" w:rsidR="00956383" w:rsidRPr="00956383" w:rsidRDefault="00956383" w:rsidP="00210204">
            <w:pPr>
              <w:pStyle w:val="SingleTxtG"/>
              <w:tabs>
                <w:tab w:val="left" w:pos="3582"/>
              </w:tabs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 w:rsidRPr="00956383">
              <w:t>Информация о проводимой работе.</w:t>
            </w:r>
          </w:p>
        </w:tc>
      </w:tr>
      <w:tr w:rsidR="00956383" w:rsidRPr="00956383" w14:paraId="2836227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EEAFE99" w14:textId="77777777" w:rsidR="00956383" w:rsidRPr="00956383" w:rsidRDefault="00956383" w:rsidP="00210204">
            <w:pPr>
              <w:pStyle w:val="SingleTxtG"/>
              <w:tabs>
                <w:tab w:val="left" w:pos="3582"/>
              </w:tabs>
            </w:pPr>
            <w:r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t>Решения, касающиеся будущей работы.</w:t>
            </w:r>
          </w:p>
        </w:tc>
      </w:tr>
      <w:tr w:rsidR="00956383" w:rsidRPr="00956383" w14:paraId="7B0C0DF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FD57591" w14:textId="77777777" w:rsidR="00956383" w:rsidRPr="00956383" w:rsidRDefault="00956383" w:rsidP="00850215">
            <w:pPr>
              <w:rPr>
                <w:rFonts w:cs="Times New Roman"/>
              </w:rPr>
            </w:pPr>
          </w:p>
        </w:tc>
      </w:tr>
    </w:tbl>
    <w:p w14:paraId="187FE7B1" w14:textId="77777777" w:rsidR="002C21DA" w:rsidRPr="004F71DC" w:rsidRDefault="002C21DA" w:rsidP="002C21DA">
      <w:pPr>
        <w:pStyle w:val="HChG"/>
      </w:pPr>
      <w:r>
        <w:tab/>
      </w:r>
      <w:r w:rsidR="00956383">
        <w:tab/>
      </w:r>
      <w:r>
        <w:rPr>
          <w:bCs/>
        </w:rPr>
        <w:t>Введение</w:t>
      </w:r>
    </w:p>
    <w:p w14:paraId="7DE81EA1" w14:textId="77777777" w:rsidR="002C21DA" w:rsidRPr="004F71DC" w:rsidRDefault="002C21DA" w:rsidP="002C21DA">
      <w:pPr>
        <w:pStyle w:val="SingleTxtG"/>
      </w:pPr>
      <w:r>
        <w:t>1.</w:t>
      </w:r>
      <w:r>
        <w:tab/>
        <w:t xml:space="preserve">В соответствии с решениями, принятыми на предыдущих сессиях Совместного совещания, неофициальная рабочая группа провела совещание в Париже </w:t>
      </w:r>
      <w:r w:rsidR="00956383">
        <w:br/>
      </w:r>
      <w:r>
        <w:t xml:space="preserve">17–19 февраля 2020 года. В ходе этого совещания было решено подготовить краткий доклад для мартовской сессии Совместного совещания и вновь собраться в июне, с тем чтобы подготовить более полные документы для сентябрьской сессии Совместного совещания. Из-за кризиса, вызванного COVID-19, эта цель не была достигнута. Совещание не удалось организовать в соответствии с принятым решением. Однако неофициальная рабочая группа продолжит работу по переписке, с тем чтобы представить усовершенствованные документы Совместному совещанию в сентябре. </w:t>
      </w:r>
    </w:p>
    <w:p w14:paraId="4CEC0292" w14:textId="77777777" w:rsidR="002C21DA" w:rsidRPr="004F71DC" w:rsidRDefault="002C21DA" w:rsidP="002C21DA">
      <w:pPr>
        <w:pStyle w:val="SingleTxtG"/>
      </w:pPr>
      <w:r>
        <w:t>2.</w:t>
      </w:r>
      <w:r>
        <w:tab/>
        <w:t xml:space="preserve">Цель настоящего документа заключается в том, чтобы кратко проинформировать Совместное совещание о результатах совещания неофициальной рабочей группы, состоявшегося в феврале в Париже, а также представить </w:t>
      </w:r>
      <w:r>
        <w:lastRenderedPageBreak/>
        <w:t>Совместному совещанию обновленную информацию о текущей и будущей работе. Более подробные предложения будут изложены в неофициальных документах, упомянутых в пункте 1.</w:t>
      </w:r>
    </w:p>
    <w:p w14:paraId="152B6D17" w14:textId="77777777" w:rsidR="002C21DA" w:rsidRPr="00E6005A" w:rsidRDefault="002C21DA" w:rsidP="002C21DA">
      <w:pPr>
        <w:pStyle w:val="SingleTxtG"/>
        <w:rPr>
          <w:color w:val="000000" w:themeColor="text1"/>
        </w:rPr>
      </w:pPr>
      <w:r w:rsidRPr="00E6005A">
        <w:rPr>
          <w:color w:val="000000" w:themeColor="text1"/>
        </w:rPr>
        <w:t>3.</w:t>
      </w:r>
      <w:r w:rsidRPr="00E6005A">
        <w:rPr>
          <w:color w:val="000000" w:themeColor="text1"/>
        </w:rPr>
        <w:tab/>
        <w:t>В совещании, состоявшемся 17–19 февраля в здании Международного союза железных дорог (МСЖД) в Париже, участвовали представители из Бельгии, Испании, Нидерландов, Соединенного Королевства, Франции, Швейцарии, Европейского совета химической промышленности (ЕСФХП), Европейского союза (Европейской комиссии и Европейского железнодорожного агентства (ЕЖДА)), Европейской ассоциации сжиженного газа, МСЖД и «Фьюэлз-Юроп».</w:t>
      </w:r>
    </w:p>
    <w:p w14:paraId="3E04BADC" w14:textId="77777777" w:rsidR="002C21DA" w:rsidRPr="004F71DC" w:rsidRDefault="002C21DA" w:rsidP="002C21DA">
      <w:pPr>
        <w:pStyle w:val="SingleTxtG"/>
        <w:rPr>
          <w:rFonts w:asciiTheme="majorBidi" w:hAnsiTheme="majorBidi" w:cstheme="majorBidi"/>
        </w:rPr>
      </w:pPr>
      <w:r>
        <w:t>4.</w:t>
      </w:r>
      <w:r>
        <w:tab/>
        <w:t xml:space="preserve">Совещание проходило под председательством представителя Франции </w:t>
      </w:r>
      <w:r w:rsidR="003A62B6">
        <w:br/>
      </w:r>
      <w:r>
        <w:t>г-на Пфоваделя.</w:t>
      </w:r>
    </w:p>
    <w:p w14:paraId="568169E7" w14:textId="77777777" w:rsidR="002C21DA" w:rsidRPr="004F71DC" w:rsidRDefault="002C21DA" w:rsidP="002C21DA">
      <w:pPr>
        <w:pStyle w:val="SingleTxtG"/>
        <w:rPr>
          <w:rFonts w:asciiTheme="majorBidi" w:hAnsiTheme="majorBidi" w:cstheme="majorBidi"/>
        </w:rPr>
      </w:pPr>
      <w:r>
        <w:t>5.</w:t>
      </w:r>
      <w:r>
        <w:tab/>
        <w:t xml:space="preserve">Рабочая группа утвердила повестку дня. Франция напомнила о ходе работы неофициальной рабочей группы и о предыдущих совещаниях (Схевенинген, июнь 2019 года; Брюссель, 3 октября и 17 декабря 2019 года). </w:t>
      </w:r>
    </w:p>
    <w:p w14:paraId="3DC8B6E8" w14:textId="77777777" w:rsidR="002C21DA" w:rsidRPr="004F71DC" w:rsidRDefault="002C21DA" w:rsidP="002C21DA">
      <w:pPr>
        <w:pStyle w:val="SingleTxtG"/>
        <w:rPr>
          <w:rFonts w:asciiTheme="majorBidi" w:hAnsiTheme="majorBidi" w:cstheme="majorBidi"/>
        </w:rPr>
      </w:pPr>
      <w:r>
        <w:t>6.</w:t>
      </w:r>
      <w:r>
        <w:tab/>
        <w:t>Рабочая группа рассмотрела следующие документы в качестве основы для обсуждения:</w:t>
      </w:r>
    </w:p>
    <w:p w14:paraId="581DC303" w14:textId="77777777" w:rsidR="002C21DA" w:rsidRPr="004F71DC" w:rsidRDefault="002C21DA" w:rsidP="002C21DA">
      <w:pPr>
        <w:pStyle w:val="SingleTxtG"/>
        <w:snapToGrid w:val="0"/>
        <w:spacing w:before="120" w:line="240" w:lineRule="auto"/>
        <w:rPr>
          <w:rFonts w:asciiTheme="majorBidi" w:hAnsiTheme="majorBidi" w:cstheme="majorBidi"/>
        </w:rPr>
      </w:pPr>
      <w:r>
        <w:tab/>
      </w:r>
      <w:r>
        <w:tab/>
      </w:r>
      <w:r w:rsidR="003A62B6" w:rsidRPr="003A62B6">
        <w:t>–</w:t>
      </w:r>
      <w:r>
        <w:tab/>
        <w:t>неофициальный документ INF.11 осенней сессии Совместного совещания 2019 года;</w:t>
      </w:r>
    </w:p>
    <w:p w14:paraId="08CF370A" w14:textId="77777777" w:rsidR="002C21DA" w:rsidRPr="004F71DC" w:rsidRDefault="002C21DA" w:rsidP="002C21DA">
      <w:pPr>
        <w:pStyle w:val="SingleTxtG"/>
        <w:snapToGrid w:val="0"/>
        <w:spacing w:before="120" w:line="240" w:lineRule="auto"/>
        <w:rPr>
          <w:rFonts w:asciiTheme="majorBidi" w:hAnsiTheme="majorBidi" w:cstheme="majorBidi"/>
        </w:rPr>
      </w:pPr>
      <w:r>
        <w:tab/>
      </w:r>
      <w:r>
        <w:tab/>
      </w:r>
      <w:r w:rsidR="003A62B6" w:rsidRPr="003A62B6">
        <w:t>–</w:t>
      </w:r>
      <w:r>
        <w:tab/>
        <w:t>документ Нидерландов (дискуссионный документ по пунктам a), b), e) и</w:t>
      </w:r>
      <w:r w:rsidR="00956383">
        <w:rPr>
          <w:lang w:val="en-US"/>
        </w:rPr>
        <w:t> </w:t>
      </w:r>
      <w:r>
        <w:t>h) круга ведения);</w:t>
      </w:r>
    </w:p>
    <w:p w14:paraId="107F3228" w14:textId="77777777" w:rsidR="002C21DA" w:rsidRPr="004F71DC" w:rsidRDefault="002C21DA" w:rsidP="002C21DA">
      <w:pPr>
        <w:pStyle w:val="SingleTxtG"/>
        <w:snapToGrid w:val="0"/>
        <w:spacing w:before="120" w:line="240" w:lineRule="auto"/>
        <w:rPr>
          <w:rFonts w:asciiTheme="majorBidi" w:hAnsiTheme="majorBidi" w:cstheme="majorBidi"/>
        </w:rPr>
      </w:pPr>
      <w:r>
        <w:tab/>
      </w:r>
      <w:r>
        <w:tab/>
      </w:r>
      <w:r w:rsidR="003A62B6" w:rsidRPr="003A62B6">
        <w:t>–</w:t>
      </w:r>
      <w:r>
        <w:tab/>
        <w:t>документ Франции (дискуссионный документ по пунктам a), b), e) и h) круга ведения);</w:t>
      </w:r>
    </w:p>
    <w:p w14:paraId="7AB3F2DB" w14:textId="77777777" w:rsidR="002C21DA" w:rsidRPr="004F71DC" w:rsidRDefault="002C21DA" w:rsidP="002C21DA">
      <w:pPr>
        <w:pStyle w:val="SingleTxtG"/>
        <w:snapToGrid w:val="0"/>
        <w:spacing w:before="120" w:line="240" w:lineRule="auto"/>
        <w:rPr>
          <w:rFonts w:asciiTheme="majorBidi" w:hAnsiTheme="majorBidi" w:cstheme="majorBidi"/>
        </w:rPr>
      </w:pPr>
      <w:r>
        <w:tab/>
      </w:r>
      <w:r>
        <w:tab/>
      </w:r>
      <w:r w:rsidR="003A62B6" w:rsidRPr="003A62B6">
        <w:t>–</w:t>
      </w:r>
      <w:r>
        <w:tab/>
        <w:t>доклад о работе совещания по общему методу обеспечения безопасности, касающемуся оценки уровня безопасности и показателей безопасности операторов на национальном уровне и на уровне Союза (CSM ASLP), которое состоялось в Брюсселе (17 декабря 2019 года); презентация ЕЖДА.</w:t>
      </w:r>
    </w:p>
    <w:p w14:paraId="6478C2F4" w14:textId="77777777" w:rsidR="002C21DA" w:rsidRPr="004F71DC" w:rsidRDefault="002C21DA" w:rsidP="002C21DA">
      <w:pPr>
        <w:pStyle w:val="SingleTxtG"/>
        <w:snapToGrid w:val="0"/>
        <w:spacing w:before="120" w:line="240" w:lineRule="auto"/>
        <w:rPr>
          <w:rFonts w:asciiTheme="majorBidi" w:hAnsiTheme="majorBidi" w:cstheme="majorBidi"/>
        </w:rPr>
      </w:pPr>
      <w:r>
        <w:tab/>
        <w:t>Последние три документа представлены в неофициальных документах INF.40, INF.41 и INF.42.</w:t>
      </w:r>
    </w:p>
    <w:p w14:paraId="07DBED2D" w14:textId="77777777" w:rsidR="002C21DA" w:rsidRPr="004F71DC" w:rsidRDefault="002C21DA" w:rsidP="002C21DA">
      <w:pPr>
        <w:pStyle w:val="SingleTxtG"/>
        <w:snapToGrid w:val="0"/>
        <w:spacing w:before="120" w:line="240" w:lineRule="auto"/>
        <w:rPr>
          <w:rFonts w:asciiTheme="majorBidi" w:hAnsiTheme="majorBidi" w:cstheme="majorBidi"/>
        </w:rPr>
      </w:pPr>
      <w:r>
        <w:t>7.</w:t>
      </w:r>
      <w:r>
        <w:tab/>
        <w:t>Неофициальной рабочей группе были представлены три проекта стандартизированного отчета (ДОПОГ, МПОГ, ВОПОГ):</w:t>
      </w:r>
    </w:p>
    <w:p w14:paraId="1B26855B" w14:textId="77777777" w:rsidR="002C21DA" w:rsidRPr="00391D8E" w:rsidRDefault="002C21DA" w:rsidP="002C21DA">
      <w:pPr>
        <w:pStyle w:val="SingleTxtG"/>
        <w:ind w:firstLine="567"/>
        <w:rPr>
          <w:rStyle w:val="Accentuation1"/>
          <w:rFonts w:asciiTheme="majorBidi" w:hAnsiTheme="majorBidi" w:cstheme="majorBidi"/>
          <w:iCs w:val="0"/>
        </w:rPr>
      </w:pPr>
      <w:r>
        <w:t>–</w:t>
      </w:r>
      <w:r w:rsidR="003A62B6">
        <w:tab/>
      </w:r>
      <w:r w:rsidRPr="00391D8E">
        <w:t xml:space="preserve">отчеты, предусмотренные в ДОПОГ и МПОГ, были усовершенствованы с учетом всех замечаний, полученных после совещания, проведенного в июне в </w:t>
      </w:r>
      <w:r w:rsidRPr="00391D8E">
        <w:rPr>
          <w:i/>
          <w:iCs/>
        </w:rPr>
        <w:t>Схевенингене;</w:t>
      </w:r>
    </w:p>
    <w:p w14:paraId="2FD6BBC4" w14:textId="77777777" w:rsidR="002C21DA" w:rsidRPr="00391D8E" w:rsidRDefault="002C21DA" w:rsidP="002C21DA">
      <w:pPr>
        <w:pStyle w:val="SingleTxtG"/>
        <w:ind w:firstLine="567"/>
        <w:rPr>
          <w:rFonts w:asciiTheme="majorBidi" w:hAnsiTheme="majorBidi" w:cstheme="majorBidi"/>
        </w:rPr>
      </w:pPr>
      <w:r>
        <w:t>–</w:t>
      </w:r>
      <w:r w:rsidR="003A62B6">
        <w:tab/>
      </w:r>
      <w:r w:rsidRPr="00391D8E">
        <w:t>в дополнение к отчету для МПОГ и ДОПОГ, уже представленному Совместному совещанию, работа, проделанная группой экспертов по ВОПОГ 3</w:t>
      </w:r>
      <w:r w:rsidR="00956383">
        <w:rPr>
          <w:lang w:val="en-US"/>
        </w:rPr>
        <w:t> </w:t>
      </w:r>
      <w:r w:rsidRPr="00391D8E">
        <w:t>октября 2019 года, позволила подготовить проект отчета об аварии конкретно для ВОПОГ;</w:t>
      </w:r>
    </w:p>
    <w:p w14:paraId="5BEE2186" w14:textId="77777777" w:rsidR="002C21DA" w:rsidRPr="00391D8E" w:rsidRDefault="002C21DA" w:rsidP="002C21DA">
      <w:pPr>
        <w:pStyle w:val="SingleTxtG"/>
        <w:ind w:firstLine="567"/>
      </w:pPr>
      <w:r>
        <w:t>–</w:t>
      </w:r>
      <w:r w:rsidR="003A62B6">
        <w:tab/>
      </w:r>
      <w:r w:rsidRPr="00391D8E">
        <w:t>в целях совершенствования отчетов, предусмотренных в МПОГ и ДОПОГ, были рассмотрены некоторые идеи, отраженные в отчете об аварии, предусмотренном в ВОПОГ: данные, касающиеся транспортных средств и грузов, были представлены в том же формате таблицы, который использован в отчете, предусмотренном в ВОПОГ.</w:t>
      </w:r>
    </w:p>
    <w:p w14:paraId="5988EAEB" w14:textId="77777777" w:rsidR="002C21DA" w:rsidRPr="004F71DC" w:rsidRDefault="002C21DA" w:rsidP="002C21DA">
      <w:pPr>
        <w:pStyle w:val="H1G"/>
      </w:pPr>
      <w:r>
        <w:tab/>
      </w:r>
      <w:r>
        <w:tab/>
      </w:r>
      <w:r>
        <w:rPr>
          <w:bCs/>
        </w:rPr>
        <w:t>Презентация ЕЖДА ведущейся работы над методом CSM ASLP</w:t>
      </w:r>
    </w:p>
    <w:p w14:paraId="74A92005" w14:textId="77777777" w:rsidR="002C21DA" w:rsidRPr="004F71DC" w:rsidRDefault="002C21DA" w:rsidP="002C21DA">
      <w:pPr>
        <w:pStyle w:val="SingleTxtG"/>
        <w:rPr>
          <w:sz w:val="24"/>
          <w:szCs w:val="24"/>
        </w:rPr>
      </w:pPr>
      <w:r>
        <w:t>8.</w:t>
      </w:r>
      <w:r>
        <w:tab/>
        <w:t>ЕЖДА объяснило следующие моменты:</w:t>
      </w:r>
    </w:p>
    <w:p w14:paraId="173E5A2D" w14:textId="77777777" w:rsidR="002C21DA" w:rsidRPr="004F71DC" w:rsidRDefault="002C21DA" w:rsidP="002C21DA">
      <w:pPr>
        <w:pStyle w:val="SingleTxtG"/>
        <w:snapToGrid w:val="0"/>
        <w:spacing w:before="120" w:line="240" w:lineRule="auto"/>
      </w:pPr>
      <w:r>
        <w:tab/>
      </w:r>
      <w:r>
        <w:tab/>
      </w:r>
      <w:r w:rsidR="00920623" w:rsidRPr="00920623">
        <w:t>–</w:t>
      </w:r>
      <w:r>
        <w:tab/>
        <w:t>перечень элементов, которые были разработаны вначале, не был специфичным для перевозки опасных грузов, но по мере продвижения работы рассматриваются элементы, являющиеся более специфичными для перевозки опасных грузов;</w:t>
      </w:r>
    </w:p>
    <w:p w14:paraId="4E163BA6" w14:textId="77777777" w:rsidR="002C21DA" w:rsidRPr="004F71DC" w:rsidRDefault="002C21DA" w:rsidP="002C21DA">
      <w:pPr>
        <w:pStyle w:val="SingleTxtG"/>
        <w:snapToGrid w:val="0"/>
        <w:spacing w:before="120" w:line="240" w:lineRule="auto"/>
      </w:pPr>
      <w:bookmarkStart w:id="0" w:name="_GoBack"/>
      <w:bookmarkEnd w:id="0"/>
      <w:r>
        <w:lastRenderedPageBreak/>
        <w:tab/>
      </w:r>
      <w:r>
        <w:tab/>
      </w:r>
      <w:r w:rsidR="00920623" w:rsidRPr="00920623">
        <w:t>–</w:t>
      </w:r>
      <w:r>
        <w:tab/>
        <w:t>различие между предложением по общей системе отчетности о происшествиях и методом CSM ASLP заключается в том, что метод CSM ASLP требует наличия определенной конкретной перспективы;</w:t>
      </w:r>
    </w:p>
    <w:p w14:paraId="45FB3E33" w14:textId="77777777" w:rsidR="002C21DA" w:rsidRPr="004F71DC" w:rsidRDefault="002C21DA" w:rsidP="002C21DA">
      <w:pPr>
        <w:pStyle w:val="SingleTxtG"/>
        <w:snapToGrid w:val="0"/>
        <w:spacing w:before="120" w:line="240" w:lineRule="auto"/>
      </w:pPr>
      <w:r>
        <w:tab/>
      </w:r>
      <w:r>
        <w:tab/>
      </w:r>
      <w:r w:rsidR="00920623" w:rsidRPr="00920623">
        <w:t>–</w:t>
      </w:r>
      <w:r>
        <w:tab/>
        <w:t>метод CSM ASLP охватывает мониторинг процесса от сбора данных о единичном происшествии до передачи информации, оценки данных и обмена информацией между сторонами.</w:t>
      </w:r>
    </w:p>
    <w:p w14:paraId="528DFDC6" w14:textId="77777777" w:rsidR="002C21DA" w:rsidRPr="004F71DC" w:rsidRDefault="002C21DA" w:rsidP="002C21DA">
      <w:pPr>
        <w:pStyle w:val="H1G"/>
      </w:pPr>
      <w:r>
        <w:tab/>
      </w:r>
      <w:r>
        <w:tab/>
      </w:r>
      <w:r>
        <w:rPr>
          <w:bCs/>
        </w:rPr>
        <w:t>Документы, подготовленные Нидерландами и Францией</w:t>
      </w:r>
    </w:p>
    <w:p w14:paraId="2C4D6734" w14:textId="77777777" w:rsidR="002C21DA" w:rsidRPr="004F71DC" w:rsidRDefault="002C21DA" w:rsidP="002C21DA">
      <w:pPr>
        <w:pStyle w:val="SingleTxtG"/>
      </w:pPr>
      <w:r>
        <w:t>9.</w:t>
      </w:r>
      <w:r>
        <w:tab/>
        <w:t>Эти документы позволили начать дискуссию по пунктам a), b), e) и h) круга ведения.</w:t>
      </w:r>
    </w:p>
    <w:p w14:paraId="307CFA4D" w14:textId="77777777" w:rsidR="002C21DA" w:rsidRPr="004F71DC" w:rsidRDefault="002C21DA" w:rsidP="002C21DA">
      <w:pPr>
        <w:pStyle w:val="H23G"/>
        <w:rPr>
          <w:sz w:val="24"/>
          <w:szCs w:val="24"/>
        </w:rPr>
      </w:pPr>
      <w:r>
        <w:tab/>
      </w:r>
      <w:r>
        <w:tab/>
      </w:r>
      <w:r>
        <w:rPr>
          <w:bCs/>
        </w:rPr>
        <w:t>Пункт а) – Уточнить цель представления информации об аварии и указать на</w:t>
      </w:r>
      <w:r w:rsidR="00920623">
        <w:rPr>
          <w:bCs/>
          <w:lang w:val="en-US"/>
        </w:rPr>
        <w:t> </w:t>
      </w:r>
      <w:r>
        <w:rPr>
          <w:bCs/>
        </w:rPr>
        <w:t>использование представленной информации</w:t>
      </w:r>
    </w:p>
    <w:p w14:paraId="459B2F98" w14:textId="77777777" w:rsidR="002C21DA" w:rsidRPr="004F71DC" w:rsidRDefault="002C21DA" w:rsidP="002C21DA">
      <w:pPr>
        <w:pStyle w:val="SingleTxtG"/>
      </w:pPr>
      <w:r>
        <w:t>10.</w:t>
      </w:r>
      <w:r>
        <w:tab/>
        <w:t>Неофициальная рабочая группа в целом согласилась с тем, что информация, указанная в проектах, подготовленных неофициальной рабочей группой, содержит все данные, необходимые для понимания произошедшей аварии даже в рамках исследования единственного случая. Кроме того, эти данные могут быть использованы для достижения целей, связанных с неоднократными происшествиями и оценкой рисков. Было отмечено, что отчет должен быть простым, однако переход от трехстраничного к шестистраничному отчету, по мнению неофициальной рабочей группы, не является большой проблемой.</w:t>
      </w:r>
    </w:p>
    <w:p w14:paraId="6D7DA8F7" w14:textId="77777777" w:rsidR="002C21DA" w:rsidRPr="004F71DC" w:rsidRDefault="002C21DA" w:rsidP="002C21DA">
      <w:pPr>
        <w:pStyle w:val="SingleTxtG"/>
        <w:rPr>
          <w:sz w:val="24"/>
          <w:szCs w:val="24"/>
        </w:rPr>
      </w:pPr>
      <w:r>
        <w:t>11.</w:t>
      </w:r>
      <w:r>
        <w:tab/>
        <w:t>Вместе с тем, необходимо будет прояснить некоторые моменты:</w:t>
      </w:r>
    </w:p>
    <w:p w14:paraId="08C80844" w14:textId="77777777" w:rsidR="002C21DA" w:rsidRPr="00920623" w:rsidRDefault="002C21DA" w:rsidP="00920623">
      <w:pPr>
        <w:pStyle w:val="Bullet1G"/>
      </w:pPr>
      <w:r w:rsidRPr="00920623">
        <w:tab/>
        <w:t>операторам, ответственным за представление отчета, сложно получить всю информацию в короткий срок, такой как, например, одномесячный срок, указанный в разделе 1.8.5;</w:t>
      </w:r>
    </w:p>
    <w:p w14:paraId="7CF1C7FB" w14:textId="77777777" w:rsidR="002C21DA" w:rsidRPr="00920623" w:rsidRDefault="002C21DA" w:rsidP="00920623">
      <w:pPr>
        <w:pStyle w:val="Bullet1G"/>
      </w:pPr>
      <w:r w:rsidRPr="00920623">
        <w:tab/>
        <w:t xml:space="preserve">было предложено проверить каждый из видов информации, перечисленных в проектах стандартизированных отчетов, с учетом вопроса о сроках и разграничить их в проекте типового отчета, который будет представлен на будущих сессиях; </w:t>
      </w:r>
    </w:p>
    <w:p w14:paraId="6291D9A0" w14:textId="77777777" w:rsidR="002C21DA" w:rsidRPr="00920623" w:rsidRDefault="002C21DA" w:rsidP="00920623">
      <w:pPr>
        <w:pStyle w:val="Bullet1G"/>
      </w:pPr>
      <w:r w:rsidRPr="00920623">
        <w:tab/>
        <w:t>это позволило бы соответствующим образом пересмотреть сроки направления информации, содержащейся в отчетах, а также определить, кто будет передавать информацию первым и в каких случаях, а кто будет передавать дополнительную информацию;</w:t>
      </w:r>
    </w:p>
    <w:p w14:paraId="1056A944" w14:textId="77777777" w:rsidR="002C21DA" w:rsidRPr="00920623" w:rsidRDefault="002C21DA" w:rsidP="00920623">
      <w:pPr>
        <w:pStyle w:val="Bullet1G"/>
      </w:pPr>
      <w:r w:rsidRPr="00920623">
        <w:tab/>
        <w:t>необходимо провести различие между теми, кто должен просто отвечать на некоторые задаваемые им вопросы, и лицом, ответственным за отчет.</w:t>
      </w:r>
    </w:p>
    <w:p w14:paraId="67A85CE2" w14:textId="77777777" w:rsidR="002C21DA" w:rsidRPr="004F71DC" w:rsidRDefault="002C21DA" w:rsidP="002C21DA">
      <w:pPr>
        <w:pStyle w:val="H23G"/>
      </w:pPr>
      <w:r>
        <w:tab/>
      </w:r>
      <w:r>
        <w:tab/>
      </w:r>
      <w:r>
        <w:tab/>
      </w:r>
      <w:r>
        <w:rPr>
          <w:bCs/>
        </w:rPr>
        <w:t xml:space="preserve">Пункт b) – Уточнить участников, ответственных за направление отчета </w:t>
      </w:r>
      <w:r w:rsidR="00956383">
        <w:rPr>
          <w:bCs/>
        </w:rPr>
        <w:br/>
      </w:r>
      <w:r>
        <w:rPr>
          <w:bCs/>
        </w:rPr>
        <w:t>и/или дополнительной информации</w:t>
      </w:r>
    </w:p>
    <w:p w14:paraId="4100395F" w14:textId="77777777" w:rsidR="002C21DA" w:rsidRPr="004F71DC" w:rsidRDefault="002C21DA" w:rsidP="002C21DA">
      <w:pPr>
        <w:pStyle w:val="SingleTxtG"/>
      </w:pPr>
      <w:r>
        <w:t>12.</w:t>
      </w:r>
      <w:r>
        <w:tab/>
        <w:t>Не было высказано каких-либо серьезных возражений против идей, выдвинутых Нидерландами и Францией.</w:t>
      </w:r>
    </w:p>
    <w:p w14:paraId="40A5C13C" w14:textId="77777777" w:rsidR="002C21DA" w:rsidRPr="004F71DC" w:rsidRDefault="002C21DA" w:rsidP="002C21DA">
      <w:pPr>
        <w:pStyle w:val="H23G"/>
      </w:pPr>
      <w:r>
        <w:tab/>
      </w:r>
      <w:r>
        <w:tab/>
      </w:r>
      <w:r>
        <w:rPr>
          <w:bCs/>
        </w:rPr>
        <w:t>Пункт е) – Предложить меры для облегчения сбора отчетов компетентными органами и передачи соответствующей информации в секретариаты ЕЭК и</w:t>
      </w:r>
      <w:r w:rsidR="00956383">
        <w:rPr>
          <w:bCs/>
          <w:lang w:val="en-US"/>
        </w:rPr>
        <w:t> </w:t>
      </w:r>
      <w:r>
        <w:rPr>
          <w:bCs/>
        </w:rPr>
        <w:t>ОТИФ; и пункт h) – Учесть соответствующие ИТ-инструменты, включая координацию с разработкой общей системы отчетности о происшествиях (ОСП)</w:t>
      </w:r>
    </w:p>
    <w:p w14:paraId="31F2FED4" w14:textId="77777777" w:rsidR="002C21DA" w:rsidRPr="004F71DC" w:rsidRDefault="002C21DA" w:rsidP="002C21DA">
      <w:pPr>
        <w:pStyle w:val="SingleTxtG"/>
      </w:pPr>
      <w:r>
        <w:t>13.</w:t>
      </w:r>
      <w:r>
        <w:tab/>
        <w:t>Был поднят вопрос об автоматизированной системе. Нидерланды упомянули свою цифровую систему. У их компетентного органа есть своя собственная платформа, где они хранят данные в формате PDF. Нидерланды уточнили, что они собирают данные, а не</w:t>
      </w:r>
      <w:r w:rsidRPr="00E02C6C">
        <w:t xml:space="preserve"> </w:t>
      </w:r>
      <w:r>
        <w:t>являются их владельцем.</w:t>
      </w:r>
    </w:p>
    <w:p w14:paraId="5226D14C" w14:textId="77777777" w:rsidR="002C21DA" w:rsidRPr="004F71DC" w:rsidRDefault="002C21DA" w:rsidP="002C21DA">
      <w:pPr>
        <w:pStyle w:val="SingleTxtG"/>
      </w:pPr>
      <w:r>
        <w:t>14.</w:t>
      </w:r>
      <w:r>
        <w:tab/>
        <w:t>В связи с этим был задан вопрос о том, должна ли такая база данных содержать только описание аварии или же в ней должны быть также указаны ее причины и меры, которые необходимо принять.</w:t>
      </w:r>
    </w:p>
    <w:p w14:paraId="363838FC" w14:textId="77777777" w:rsidR="002C21DA" w:rsidRPr="004F71DC" w:rsidRDefault="002C21DA" w:rsidP="002C21DA">
      <w:pPr>
        <w:pStyle w:val="SingleTxtG"/>
      </w:pPr>
      <w:r>
        <w:lastRenderedPageBreak/>
        <w:t>15.</w:t>
      </w:r>
      <w:r>
        <w:tab/>
        <w:t>ЕЖДА заявило, что каждый участник может использовать национальную систему, а затем передавать информацию в центральную систему. Учитывая стоимость этой системы, мы не можем просить небольших операторов и страны, которые не располагают такой системой, иметь ее.</w:t>
      </w:r>
    </w:p>
    <w:p w14:paraId="25EEF65D" w14:textId="77777777" w:rsidR="002C21DA" w:rsidRPr="004F71DC" w:rsidRDefault="002C21DA" w:rsidP="002C21DA">
      <w:pPr>
        <w:pStyle w:val="SingleTxtG"/>
      </w:pPr>
      <w:r>
        <w:t>16.</w:t>
      </w:r>
      <w:r>
        <w:tab/>
        <w:t>Было высказано мнение, что использование ИТ-инструментов при условии, что они обеспечат надлежащую защиту данных, в значительной степени помогло бы сбору информации об авариях.</w:t>
      </w:r>
    </w:p>
    <w:p w14:paraId="5B6E06F4" w14:textId="77777777" w:rsidR="002C21DA" w:rsidRPr="004F71DC" w:rsidRDefault="002C21DA" w:rsidP="002C21DA">
      <w:pPr>
        <w:pStyle w:val="SingleTxtG"/>
      </w:pPr>
      <w:r>
        <w:t>17.</w:t>
      </w:r>
      <w:r>
        <w:tab/>
        <w:t>Председатель напомнил о предложении ЕЭК Совместному совещанию относительно такого инструмента (см. документ ECE/TRANS/WP15/AC1/2014/52).</w:t>
      </w:r>
    </w:p>
    <w:p w14:paraId="270DAF2F" w14:textId="77777777" w:rsidR="002C21DA" w:rsidRPr="004F71DC" w:rsidRDefault="002C21DA" w:rsidP="002C21DA">
      <w:pPr>
        <w:pStyle w:val="H1G"/>
      </w:pPr>
      <w:r>
        <w:tab/>
      </w:r>
      <w:r>
        <w:tab/>
      </w:r>
      <w:r>
        <w:rPr>
          <w:bCs/>
        </w:rPr>
        <w:t>Будущая работа и следующие совещания</w:t>
      </w:r>
    </w:p>
    <w:p w14:paraId="5306712B" w14:textId="77777777" w:rsidR="002C21DA" w:rsidRPr="004F71DC" w:rsidRDefault="002C21DA" w:rsidP="002C21DA">
      <w:pPr>
        <w:pStyle w:val="SingleTxtG"/>
      </w:pPr>
      <w:r>
        <w:t>18.</w:t>
      </w:r>
      <w:r>
        <w:tab/>
        <w:t>Что касается данного совещания неофициальной рабочей группы, то было решено представить Совместному совещанию лишь краткое резюме обсуждения.</w:t>
      </w:r>
    </w:p>
    <w:p w14:paraId="39306952" w14:textId="77777777" w:rsidR="002C21DA" w:rsidRPr="004F71DC" w:rsidRDefault="002C21DA" w:rsidP="002C21DA">
      <w:pPr>
        <w:pStyle w:val="SingleTxtG"/>
      </w:pPr>
      <w:r>
        <w:t>19.</w:t>
      </w:r>
      <w:r>
        <w:tab/>
        <w:t xml:space="preserve">Необходимо проделать определенную дополнительную работу для подготовки проекта текста, который мог бы стать руководящим материалом и/или вводным примечанием к разделу 1.8.5, содержащим принципы, обсуждавшиеся в ходе данной сессии неофициальной рабочей группы. </w:t>
      </w:r>
    </w:p>
    <w:p w14:paraId="11453B72" w14:textId="77777777" w:rsidR="002C21DA" w:rsidRPr="004F71DC" w:rsidRDefault="002C21DA" w:rsidP="002C21DA">
      <w:pPr>
        <w:pStyle w:val="SingleTxtG"/>
      </w:pPr>
      <w:r>
        <w:t>20.</w:t>
      </w:r>
      <w:r>
        <w:tab/>
        <w:t>Кроме того, Франция</w:t>
      </w:r>
      <w:r w:rsidRPr="0093120A">
        <w:t xml:space="preserve"> </w:t>
      </w:r>
      <w:r>
        <w:t>представит новый чистый вариант проектов стандартизированных отчетов, в котором будут учтены замечания неофициальной рабочей группы.</w:t>
      </w:r>
    </w:p>
    <w:p w14:paraId="280630EC" w14:textId="77777777" w:rsidR="002C21DA" w:rsidRDefault="002C21DA" w:rsidP="002C21DA">
      <w:pPr>
        <w:pStyle w:val="SingleTxtG"/>
      </w:pPr>
      <w:r>
        <w:t>21.</w:t>
      </w:r>
      <w:r>
        <w:tab/>
        <w:t>Участникам предлагается направить свои предложения Франции, которая согласилась собрать их и подготовить сводный проект.</w:t>
      </w:r>
    </w:p>
    <w:p w14:paraId="108FA388" w14:textId="77777777" w:rsidR="00E12C5F" w:rsidRPr="008D53B6" w:rsidRDefault="002C21DA" w:rsidP="002C21DA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B60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575E" w14:textId="77777777" w:rsidR="00DE17EE" w:rsidRPr="00A312BC" w:rsidRDefault="00DE17EE" w:rsidP="00A312BC"/>
  </w:endnote>
  <w:endnote w:type="continuationSeparator" w:id="0">
    <w:p w14:paraId="3656305A" w14:textId="77777777" w:rsidR="00DE17EE" w:rsidRPr="00A312BC" w:rsidRDefault="00DE17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4814" w14:textId="77777777" w:rsidR="00B603C6" w:rsidRPr="00B603C6" w:rsidRDefault="00B603C6">
    <w:pPr>
      <w:pStyle w:val="Footer"/>
    </w:pPr>
    <w:r w:rsidRPr="00B603C6">
      <w:rPr>
        <w:b/>
        <w:sz w:val="18"/>
      </w:rPr>
      <w:fldChar w:fldCharType="begin"/>
    </w:r>
    <w:r w:rsidRPr="00B603C6">
      <w:rPr>
        <w:b/>
        <w:sz w:val="18"/>
      </w:rPr>
      <w:instrText xml:space="preserve"> PAGE  \* MERGEFORMAT </w:instrText>
    </w:r>
    <w:r w:rsidRPr="00B603C6">
      <w:rPr>
        <w:b/>
        <w:sz w:val="18"/>
      </w:rPr>
      <w:fldChar w:fldCharType="separate"/>
    </w:r>
    <w:r w:rsidRPr="00B603C6">
      <w:rPr>
        <w:b/>
        <w:noProof/>
        <w:sz w:val="18"/>
      </w:rPr>
      <w:t>2</w:t>
    </w:r>
    <w:r w:rsidRPr="00B603C6">
      <w:rPr>
        <w:b/>
        <w:sz w:val="18"/>
      </w:rPr>
      <w:fldChar w:fldCharType="end"/>
    </w:r>
    <w:r>
      <w:rPr>
        <w:b/>
        <w:sz w:val="18"/>
      </w:rPr>
      <w:tab/>
    </w:r>
    <w:r>
      <w:t>GE.20-08065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6B2A" w14:textId="77777777" w:rsidR="00B603C6" w:rsidRPr="00B603C6" w:rsidRDefault="00B603C6" w:rsidP="00B603C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GE.20-08065</w:t>
    </w:r>
    <w:r>
      <w:tab/>
    </w:r>
    <w:r w:rsidRPr="00B603C6">
      <w:rPr>
        <w:b/>
        <w:sz w:val="18"/>
      </w:rPr>
      <w:fldChar w:fldCharType="begin"/>
    </w:r>
    <w:r w:rsidRPr="00B603C6">
      <w:rPr>
        <w:b/>
        <w:sz w:val="18"/>
      </w:rPr>
      <w:instrText xml:space="preserve"> PAGE  \* MERGEFORMAT </w:instrText>
    </w:r>
    <w:r w:rsidRPr="00B603C6">
      <w:rPr>
        <w:b/>
        <w:sz w:val="18"/>
      </w:rPr>
      <w:fldChar w:fldCharType="separate"/>
    </w:r>
    <w:r w:rsidRPr="00B603C6">
      <w:rPr>
        <w:b/>
        <w:noProof/>
        <w:sz w:val="18"/>
      </w:rPr>
      <w:t>3</w:t>
    </w:r>
    <w:r w:rsidRPr="00B603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6846" w14:textId="77777777" w:rsidR="00042B72" w:rsidRPr="00B603C6" w:rsidRDefault="00B603C6" w:rsidP="00B603C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E34226" wp14:editId="306D81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20-08065  (R)</w:t>
    </w:r>
    <w:r w:rsidR="002C21DA">
      <w:rPr>
        <w:lang w:val="en-US"/>
      </w:rPr>
      <w:t xml:space="preserve">  240620  250620</w:t>
    </w:r>
    <w:r>
      <w:br/>
    </w:r>
    <w:r w:rsidRPr="00B603C6">
      <w:rPr>
        <w:rFonts w:ascii="C39T30Lfz" w:hAnsi="C39T30Lfz"/>
        <w:kern w:val="14"/>
        <w:sz w:val="56"/>
      </w:rPr>
      <w:t></w:t>
    </w:r>
    <w:r w:rsidRPr="00B603C6">
      <w:rPr>
        <w:rFonts w:ascii="C39T30Lfz" w:hAnsi="C39T30Lfz"/>
        <w:kern w:val="14"/>
        <w:sz w:val="56"/>
      </w:rPr>
      <w:t></w:t>
    </w:r>
    <w:r w:rsidRPr="00B603C6">
      <w:rPr>
        <w:rFonts w:ascii="C39T30Lfz" w:hAnsi="C39T30Lfz"/>
        <w:kern w:val="14"/>
        <w:sz w:val="56"/>
      </w:rPr>
      <w:t></w:t>
    </w:r>
    <w:r w:rsidRPr="00B603C6">
      <w:rPr>
        <w:rFonts w:ascii="C39T30Lfz" w:hAnsi="C39T30Lfz"/>
        <w:kern w:val="14"/>
        <w:sz w:val="56"/>
      </w:rPr>
      <w:t></w:t>
    </w:r>
    <w:r w:rsidRPr="00B603C6">
      <w:rPr>
        <w:rFonts w:ascii="C39T30Lfz" w:hAnsi="C39T30Lfz"/>
        <w:kern w:val="14"/>
        <w:sz w:val="56"/>
      </w:rPr>
      <w:t></w:t>
    </w:r>
    <w:r w:rsidRPr="00B603C6">
      <w:rPr>
        <w:rFonts w:ascii="C39T30Lfz" w:hAnsi="C39T30Lfz"/>
        <w:kern w:val="14"/>
        <w:sz w:val="56"/>
      </w:rPr>
      <w:t></w:t>
    </w:r>
    <w:r w:rsidRPr="00B603C6">
      <w:rPr>
        <w:rFonts w:ascii="C39T30Lfz" w:hAnsi="C39T30Lfz"/>
        <w:kern w:val="14"/>
        <w:sz w:val="56"/>
      </w:rPr>
      <w:t></w:t>
    </w:r>
    <w:r w:rsidRPr="00B603C6">
      <w:rPr>
        <w:rFonts w:ascii="C39T30Lfz" w:hAnsi="C39T30Lfz"/>
        <w:kern w:val="14"/>
        <w:sz w:val="56"/>
      </w:rPr>
      <w:t></w:t>
    </w:r>
    <w:r w:rsidRPr="00B603C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5A6BEB" wp14:editId="21EADF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2AA2" w14:textId="77777777" w:rsidR="00DE17EE" w:rsidRPr="001075E9" w:rsidRDefault="00DE17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ED4F18" w14:textId="77777777" w:rsidR="00DE17EE" w:rsidRDefault="00DE17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98959C" w14:textId="77777777" w:rsidR="002C21DA" w:rsidRPr="004F71DC" w:rsidRDefault="002C21DA" w:rsidP="002C21DA">
      <w:pPr>
        <w:pStyle w:val="FootnoteText"/>
        <w:rPr>
          <w:sz w:val="20"/>
        </w:rPr>
      </w:pPr>
      <w:r>
        <w:tab/>
      </w:r>
      <w:r w:rsidRPr="00956383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5AB06F37" w14:textId="77777777" w:rsidR="002C21DA" w:rsidRPr="004F71DC" w:rsidRDefault="002C21DA" w:rsidP="002C21DA">
      <w:pPr>
        <w:pStyle w:val="FootnoteText"/>
        <w:rPr>
          <w:sz w:val="20"/>
        </w:rPr>
      </w:pPr>
      <w:r>
        <w:tab/>
      </w:r>
      <w:r w:rsidRPr="00956383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D882" w14:textId="754DCA64" w:rsidR="00B603C6" w:rsidRPr="00B603C6" w:rsidRDefault="00110D0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8434C">
      <w:t>ECE/TRANS/WP.15/AC.1/2020/55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C997" w14:textId="5AD50E8C" w:rsidR="00B603C6" w:rsidRPr="00B603C6" w:rsidRDefault="00110D0E" w:rsidP="00B603C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434C">
      <w:t>ECE/TRANS/WP.15/AC.1/2020/55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CED7" w14:textId="77777777" w:rsidR="002C21DA" w:rsidRDefault="002C21DA" w:rsidP="002C21D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EDD4E13"/>
    <w:multiLevelType w:val="multilevel"/>
    <w:tmpl w:val="E5CEC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D0E"/>
    <w:rsid w:val="0014152F"/>
    <w:rsid w:val="00180183"/>
    <w:rsid w:val="0018024D"/>
    <w:rsid w:val="0018649F"/>
    <w:rsid w:val="00196389"/>
    <w:rsid w:val="001B3EF6"/>
    <w:rsid w:val="001C7A89"/>
    <w:rsid w:val="00210204"/>
    <w:rsid w:val="00255343"/>
    <w:rsid w:val="0027151D"/>
    <w:rsid w:val="0028434C"/>
    <w:rsid w:val="002A2EFC"/>
    <w:rsid w:val="002B0106"/>
    <w:rsid w:val="002B74B1"/>
    <w:rsid w:val="002C0E18"/>
    <w:rsid w:val="002C21D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C37"/>
    <w:rsid w:val="003402C2"/>
    <w:rsid w:val="00381C24"/>
    <w:rsid w:val="00387CD4"/>
    <w:rsid w:val="003958D0"/>
    <w:rsid w:val="003A0D43"/>
    <w:rsid w:val="003A48CE"/>
    <w:rsid w:val="003A62B6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623"/>
    <w:rsid w:val="00951972"/>
    <w:rsid w:val="00956383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3C6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460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17EE"/>
    <w:rsid w:val="00DE32CD"/>
    <w:rsid w:val="00DF5767"/>
    <w:rsid w:val="00DF71B9"/>
    <w:rsid w:val="00E12C5F"/>
    <w:rsid w:val="00E6005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56C751"/>
  <w15:docId w15:val="{0B097AC8-0D08-4BEF-AE53-3CEEACFF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C21DA"/>
    <w:rPr>
      <w:lang w:val="ru-RU" w:eastAsia="en-US"/>
    </w:rPr>
  </w:style>
  <w:style w:type="paragraph" w:customStyle="1" w:styleId="ParNoG">
    <w:name w:val="_ParNo_G"/>
    <w:basedOn w:val="SingleTxtG"/>
    <w:qFormat/>
    <w:rsid w:val="002C21DA"/>
    <w:pPr>
      <w:numPr>
        <w:numId w:val="23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locked/>
    <w:rsid w:val="002C21DA"/>
    <w:rPr>
      <w:b/>
      <w:sz w:val="28"/>
      <w:lang w:val="ru-RU" w:eastAsia="ru-RU"/>
    </w:rPr>
  </w:style>
  <w:style w:type="character" w:customStyle="1" w:styleId="Accentuation1">
    <w:name w:val="Accentuation1"/>
    <w:uiPriority w:val="20"/>
    <w:qFormat/>
    <w:rsid w:val="002C2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7261</Characters>
  <Application>Microsoft Office Word</Application>
  <DocSecurity>0</DocSecurity>
  <Lines>137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ECE/TRANS/WP.15/AC.1/2020/55</vt:lpstr>
      <vt:lpstr>ECE/TRANS/WP.15/AC.1/2020/55</vt:lpstr>
      <vt:lpstr>A/</vt:lpstr>
    </vt:vector>
  </TitlesOfParts>
  <Company>DCM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ECE/TRANS/WP.15/AC.1/2020/55</dc:title>
  <dc:subject/>
  <dc:creator>Olga OVTCHINNIKOVA</dc:creator>
  <cp:keywords/>
  <cp:lastModifiedBy>Christine Barrio-Champeau</cp:lastModifiedBy>
  <cp:revision>2</cp:revision>
  <cp:lastPrinted>2020-06-25T11:12:00Z</cp:lastPrinted>
  <dcterms:created xsi:type="dcterms:W3CDTF">2020-07-01T14:00:00Z</dcterms:created>
  <dcterms:modified xsi:type="dcterms:W3CDTF">2020-07-01T14:00:00Z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