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B8A4F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0C4C6F" w14:textId="77777777" w:rsidR="002D5AAC" w:rsidRDefault="002D5AAC" w:rsidP="004C64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DD134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39FD56" w14:textId="77777777" w:rsidR="002D5AAC" w:rsidRDefault="004C6448" w:rsidP="004C6448">
            <w:pPr>
              <w:jc w:val="right"/>
            </w:pPr>
            <w:r w:rsidRPr="004C6448">
              <w:rPr>
                <w:sz w:val="40"/>
              </w:rPr>
              <w:t>ECE</w:t>
            </w:r>
            <w:r>
              <w:t>/TRANS/WP.15/AC.1/2020/50</w:t>
            </w:r>
          </w:p>
        </w:tc>
      </w:tr>
      <w:tr w:rsidR="002D5AAC" w:rsidRPr="0059418F" w14:paraId="4FEB26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9D27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42DFF8" wp14:editId="19971C7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F740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5F2EF9" w14:textId="77777777" w:rsidR="002D5AAC" w:rsidRDefault="004C64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99BA4F" w14:textId="77777777" w:rsidR="004C6448" w:rsidRDefault="004C6448" w:rsidP="004C64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358D36DA" w14:textId="77777777" w:rsidR="004C6448" w:rsidRDefault="004C6448" w:rsidP="004C64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7E0DFC" w14:textId="77777777" w:rsidR="004C6448" w:rsidRPr="008D53B6" w:rsidRDefault="004C6448" w:rsidP="004C64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2878AB" w14:textId="77777777" w:rsidR="004C644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A9E9CD" w14:textId="77777777" w:rsidR="000D5350" w:rsidRPr="002A4474" w:rsidRDefault="000D5350" w:rsidP="000D5350">
      <w:pPr>
        <w:spacing w:before="120"/>
        <w:rPr>
          <w:sz w:val="28"/>
          <w:szCs w:val="28"/>
        </w:rPr>
      </w:pPr>
      <w:r w:rsidRPr="002A4474">
        <w:rPr>
          <w:sz w:val="28"/>
          <w:szCs w:val="28"/>
        </w:rPr>
        <w:t>Комитет по внутреннему транспорту</w:t>
      </w:r>
    </w:p>
    <w:p w14:paraId="537B215B" w14:textId="77777777" w:rsidR="000D5350" w:rsidRPr="002A4474" w:rsidRDefault="000D5350" w:rsidP="000D5350">
      <w:pPr>
        <w:spacing w:before="120" w:after="120"/>
        <w:rPr>
          <w:b/>
          <w:sz w:val="24"/>
          <w:szCs w:val="24"/>
        </w:rPr>
      </w:pPr>
      <w:r w:rsidRPr="002A4474">
        <w:rPr>
          <w:b/>
          <w:bCs/>
          <w:sz w:val="24"/>
          <w:szCs w:val="24"/>
        </w:rPr>
        <w:t>Рабочая группа по перевозкам опасных грузов</w:t>
      </w:r>
    </w:p>
    <w:p w14:paraId="35BB8FA1" w14:textId="77777777" w:rsidR="000D5350" w:rsidRPr="002A4474" w:rsidRDefault="000D5350" w:rsidP="000D5350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1E135A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781D8B8" w14:textId="77777777" w:rsidR="000D5350" w:rsidRPr="002A4474" w:rsidRDefault="000D5350" w:rsidP="000D5350">
      <w:r>
        <w:t>Берн, 10–11 сентября 2020 года, и Женева, 14–18 сентября</w:t>
      </w:r>
    </w:p>
    <w:p w14:paraId="4B6404C0" w14:textId="77777777" w:rsidR="000D5350" w:rsidRPr="001E135A" w:rsidRDefault="000D5350" w:rsidP="000D5350">
      <w:pPr>
        <w:pStyle w:val="Style1"/>
        <w:widowControl/>
        <w:spacing w:line="230" w:lineRule="auto"/>
        <w:rPr>
          <w:rFonts w:eastAsia="Batang"/>
          <w:sz w:val="20"/>
          <w:lang w:val="ru-RU"/>
        </w:rPr>
      </w:pPr>
      <w:r w:rsidRPr="001E135A">
        <w:rPr>
          <w:sz w:val="20"/>
          <w:lang w:val="ru-RU"/>
        </w:rPr>
        <w:t>Пункт 5 b) предварительной повестки дня</w:t>
      </w:r>
    </w:p>
    <w:p w14:paraId="571727F8" w14:textId="77777777" w:rsidR="000D5350" w:rsidRDefault="000D5350" w:rsidP="000D5350">
      <w:pPr>
        <w:tabs>
          <w:tab w:val="left" w:pos="0"/>
          <w:tab w:val="left" w:pos="6361"/>
          <w:tab w:val="left" w:pos="6939"/>
        </w:tabs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2E65365A" w14:textId="77777777" w:rsidR="000D5350" w:rsidRPr="002A4474" w:rsidRDefault="000D5350" w:rsidP="000D5350">
      <w:pPr>
        <w:tabs>
          <w:tab w:val="left" w:pos="0"/>
          <w:tab w:val="left" w:pos="6361"/>
          <w:tab w:val="left" w:pos="6939"/>
        </w:tabs>
        <w:rPr>
          <w:b/>
        </w:rPr>
      </w:pPr>
      <w:r>
        <w:rPr>
          <w:b/>
          <w:bCs/>
        </w:rPr>
        <w:t>новые предложения</w:t>
      </w:r>
    </w:p>
    <w:p w14:paraId="7BE2EBB1" w14:textId="77777777" w:rsidR="000D5350" w:rsidRPr="002A4474" w:rsidRDefault="000D5350" w:rsidP="000D5350">
      <w:pPr>
        <w:pStyle w:val="HChG"/>
        <w:rPr>
          <w:color w:val="000000"/>
        </w:rPr>
      </w:pPr>
      <w:r>
        <w:tab/>
      </w:r>
      <w:r>
        <w:tab/>
      </w:r>
      <w:r>
        <w:rPr>
          <w:bCs/>
        </w:rPr>
        <w:t>Предложения о внесении поправок в</w:t>
      </w:r>
      <w:r w:rsidR="00305536">
        <w:rPr>
          <w:bCs/>
          <w:lang w:val="en-US"/>
        </w:rPr>
        <w:t> </w:t>
      </w:r>
      <w:r>
        <w:rPr>
          <w:bCs/>
        </w:rPr>
        <w:t xml:space="preserve">МПОГ/ДОПОГ/ВОПОГ – Замечания </w:t>
      </w:r>
      <w:r w:rsidR="00305536">
        <w:rPr>
          <w:bCs/>
        </w:rPr>
        <w:br/>
      </w:r>
      <w:r>
        <w:rPr>
          <w:bCs/>
        </w:rPr>
        <w:t>по документу ECE/TRANS/WP.15/AC.1/2020/9</w:t>
      </w:r>
    </w:p>
    <w:p w14:paraId="4B78CCB4" w14:textId="77777777" w:rsidR="000D5350" w:rsidRPr="002A4474" w:rsidRDefault="000D5350" w:rsidP="000D5350">
      <w:pPr>
        <w:pStyle w:val="H1G"/>
      </w:pPr>
      <w:r>
        <w:tab/>
      </w:r>
      <w:r>
        <w:tab/>
      </w:r>
      <w:r>
        <w:rPr>
          <w:bCs/>
        </w:rPr>
        <w:t>Передано Европейской ассоциаци</w:t>
      </w:r>
      <w:r w:rsidR="00305536">
        <w:rPr>
          <w:bCs/>
        </w:rPr>
        <w:t>ей</w:t>
      </w:r>
      <w:r>
        <w:rPr>
          <w:bCs/>
        </w:rPr>
        <w:t xml:space="preserve"> производителей баллонов (ЕАПБ)</w:t>
      </w:r>
      <w:r w:rsidRPr="00FC6A4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C6A44">
        <w:rPr>
          <w:sz w:val="28"/>
          <w:szCs w:val="28"/>
        </w:rPr>
        <w:t xml:space="preserve"> </w:t>
      </w:r>
      <w:r w:rsidRPr="00FC6A4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7451E257" w14:textId="77777777" w:rsidR="000D5350" w:rsidRPr="002A4474" w:rsidRDefault="000D5350" w:rsidP="000D535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465125A" w14:textId="77777777" w:rsidR="000D5350" w:rsidRPr="002A4474" w:rsidRDefault="000D5350" w:rsidP="000D5350">
      <w:pPr>
        <w:pStyle w:val="SingleTxtG"/>
      </w:pPr>
      <w:r>
        <w:t>1.</w:t>
      </w:r>
      <w:r>
        <w:tab/>
        <w:t>В документе ECE/TRANS/WP.15/AC.1/2020/9, представленном Европейской ассоциацией по промышленным газам (ЕАПГ), содержится просьба к Совместному совещанию увеличить с 10 до 15 лет интервалы между периодическими проверками и испытаниями для транспортных средств-батарей и многоэлементных газовых контейнеров (МЭГК), установленные в инструкции по упаковке P200.</w:t>
      </w:r>
    </w:p>
    <w:p w14:paraId="347DCC28" w14:textId="38C30052" w:rsidR="000D5350" w:rsidRPr="002A4474" w:rsidRDefault="000D5350" w:rsidP="000D5350">
      <w:pPr>
        <w:pStyle w:val="SingleTxtG"/>
        <w:rPr>
          <w:rFonts w:cs="Arial"/>
          <w:bCs/>
        </w:rPr>
      </w:pPr>
      <w:r>
        <w:t>2.</w:t>
      </w:r>
      <w:r>
        <w:tab/>
        <w:t>Бесшовные газовые баллоны под давлением, изготовленные из алюминиевого сплава или стали, уже разрешается подвергать испытаниям с интервалами до 15 лет согласно специальным положениям МПОГ/ДОПОГ/ВОПОГ. В газовой промышленности существует убеждение, что, поскольку этот режим, как представляется, доказал свою безопасность, можно внести предложение об увеличении периодичности проведения повторных испытаний транспортных средств-батарей и МЭГК также до 15 лет.</w:t>
      </w:r>
    </w:p>
    <w:p w14:paraId="590DDC9E" w14:textId="77777777" w:rsidR="000D5350" w:rsidRPr="002A4474" w:rsidRDefault="000D5350" w:rsidP="000D5350">
      <w:pPr>
        <w:pStyle w:val="SingleTxtG"/>
      </w:pPr>
      <w:r>
        <w:t>3.</w:t>
      </w:r>
      <w:r>
        <w:tab/>
        <w:t>ЕАПБ не поддерживает такое увеличение периодичности проведения повторных испытаний в настоящий момент и хотела бы обратить внимание Совместного совещания на несколько вопросов, которые следует рассмотреть до принятия решения.</w:t>
      </w:r>
    </w:p>
    <w:p w14:paraId="03D57B2F" w14:textId="77777777" w:rsidR="000D5350" w:rsidRPr="002A4474" w:rsidRDefault="000D5350" w:rsidP="000D5350">
      <w:pPr>
        <w:pStyle w:val="HChG"/>
      </w:pPr>
      <w:r>
        <w:lastRenderedPageBreak/>
        <w:tab/>
      </w:r>
      <w:r>
        <w:tab/>
      </w:r>
      <w:r>
        <w:rPr>
          <w:bCs/>
        </w:rPr>
        <w:t>Аспекты для рассмотрения Совместным</w:t>
      </w:r>
      <w:r w:rsidR="00FC6A44" w:rsidRPr="0059418F">
        <w:rPr>
          <w:bCs/>
        </w:rPr>
        <w:t xml:space="preserve"> </w:t>
      </w:r>
      <w:r>
        <w:rPr>
          <w:bCs/>
        </w:rPr>
        <w:t>совещанием</w:t>
      </w:r>
    </w:p>
    <w:p w14:paraId="2FE36F20" w14:textId="77777777" w:rsidR="000D5350" w:rsidRPr="002A4474" w:rsidRDefault="000D5350" w:rsidP="000D5350">
      <w:pPr>
        <w:pStyle w:val="SingleTxtG"/>
      </w:pPr>
      <w:r>
        <w:t>4.</w:t>
      </w:r>
      <w:r>
        <w:tab/>
        <w:t>Необходимо провести обзор данных, касающихся 15-летней периодичности проведения повторных испытаний, применяемой в случае баллонов и связок баллонов, поскольку во время подготовки предложения, содержащегося в документе ECE/</w:t>
      </w:r>
      <w:r w:rsidR="00F85BD7">
        <w:br/>
      </w:r>
      <w:r>
        <w:t>TRANS/WP.15/AC.1/2013/42, было решено не распространять эту работу на элементы транспортных средств-батарей до тех пор, пока не будет накоплен опыт в сфере испытаний одиночных баллонов и связок баллонов. Поэтому мы предлагаем рассмотреть только показатели отбраковки баллонов и связок баллонов, используемых для веществ под № ООН 1046 и 1049.</w:t>
      </w:r>
    </w:p>
    <w:p w14:paraId="432AE92E" w14:textId="77777777" w:rsidR="000D5350" w:rsidRPr="002A4474" w:rsidRDefault="000D5350" w:rsidP="000D5350">
      <w:pPr>
        <w:pStyle w:val="SingleTxtG"/>
        <w:rPr>
          <w:rFonts w:eastAsia="Calibri"/>
        </w:rPr>
      </w:pPr>
      <w:r>
        <w:t>5.</w:t>
      </w:r>
      <w:r>
        <w:tab/>
        <w:t>Документ, представленный ЕАПГ, должен был содержать убедительное обоснование в поддержку ее просьбы об увеличении периодичности проведения повторных испытаний баллонов/трубок, используемых в транспортных средствах-батареях и МЭГК.</w:t>
      </w:r>
    </w:p>
    <w:p w14:paraId="60405948" w14:textId="77777777" w:rsidR="000D5350" w:rsidRPr="002A4474" w:rsidRDefault="000D5350" w:rsidP="000D5350">
      <w:pPr>
        <w:pStyle w:val="SingleTxtG"/>
        <w:rPr>
          <w:rFonts w:eastAsia="Calibri"/>
        </w:rPr>
      </w:pPr>
      <w:r>
        <w:t>6.</w:t>
      </w:r>
      <w:r>
        <w:tab/>
        <w:t>В предложении ЕАПГ заявлено следующее: «Транспортные средства-батареи подлежат предшествующей наполнению проверке в соответствии со стандартом EN</w:t>
      </w:r>
      <w:r w:rsidR="00F85BD7">
        <w:t> </w:t>
      </w:r>
      <w:r>
        <w:t>13385»:</w:t>
      </w:r>
    </w:p>
    <w:p w14:paraId="1FAE1B9D" w14:textId="77777777" w:rsidR="000D5350" w:rsidRPr="002A4474" w:rsidRDefault="000D5350" w:rsidP="00FC6A44">
      <w:pPr>
        <w:pStyle w:val="Bullet1G"/>
        <w:rPr>
          <w:rFonts w:eastAsia="Calibri"/>
        </w:rPr>
      </w:pPr>
      <w:r>
        <w:t>следует отметить, что</w:t>
      </w:r>
      <w:r w:rsidRPr="00D862B7">
        <w:t xml:space="preserve"> </w:t>
      </w:r>
      <w:r>
        <w:t>в МПОГ/ДОПОГ отсутствует ссылка на стандарт EN</w:t>
      </w:r>
      <w:r w:rsidR="00FC6A44">
        <w:rPr>
          <w:lang w:val="en-US"/>
        </w:rPr>
        <w:t> </w:t>
      </w:r>
      <w:r>
        <w:t>13385;</w:t>
      </w:r>
    </w:p>
    <w:p w14:paraId="7566248F" w14:textId="77777777" w:rsidR="000D5350" w:rsidRPr="002A4474" w:rsidRDefault="000D5350" w:rsidP="00FC6A44">
      <w:pPr>
        <w:pStyle w:val="Bullet1G"/>
        <w:rPr>
          <w:rFonts w:eastAsia="Calibri"/>
        </w:rPr>
      </w:pPr>
      <w:r>
        <w:t xml:space="preserve">кроме того, данный стандарт был опубликован в 2002 году, и с тех пор произошли значительные изменения в сфере перевозки наливных газов; </w:t>
      </w:r>
    </w:p>
    <w:p w14:paraId="6A956993" w14:textId="77777777" w:rsidR="000D5350" w:rsidRPr="002A4474" w:rsidRDefault="000D5350" w:rsidP="00FC6A44">
      <w:pPr>
        <w:pStyle w:val="Bullet1G"/>
        <w:rPr>
          <w:rFonts w:eastAsia="Calibri"/>
        </w:rPr>
      </w:pPr>
      <w:r>
        <w:t>поэтому рекомендуется пересмотреть этот стандарт и представить его для включения в МПОГ/ДОПОГ.</w:t>
      </w:r>
    </w:p>
    <w:p w14:paraId="01000E56" w14:textId="77777777" w:rsidR="000D5350" w:rsidRPr="002A4474" w:rsidRDefault="000D5350" w:rsidP="000D5350">
      <w:pPr>
        <w:pStyle w:val="SingleTxtG"/>
        <w:rPr>
          <w:rFonts w:eastAsia="Calibri"/>
        </w:rPr>
      </w:pPr>
      <w:r>
        <w:t>7.</w:t>
      </w:r>
      <w:r>
        <w:tab/>
        <w:t>Стандарты, касающиеся периодических проверок и испытаний, разработаны для баллонов и связок баллонов. Однако стандартов в отношении повторных испытаний транспортных средств-батарей и/или МЭГК не существует. Такие стандарты, касающиеся повторных испытаний, должны иметься для использования, прежде чем можно будет рассматривать вопрос об увеличении периодичности проведения повторных испытаний.</w:t>
      </w:r>
    </w:p>
    <w:p w14:paraId="7A32BC3A" w14:textId="77777777" w:rsidR="000D5350" w:rsidRPr="002A4474" w:rsidRDefault="000D5350" w:rsidP="000D5350">
      <w:pPr>
        <w:pStyle w:val="SingleTxtG"/>
        <w:rPr>
          <w:rFonts w:eastAsia="Calibri"/>
        </w:rPr>
      </w:pPr>
      <w:r>
        <w:t>8.</w:t>
      </w:r>
      <w:r>
        <w:tab/>
        <w:t>Рекомендуется проводить специальные проверки и регулярные проверки для обеспечения того, чтобы сосуды под давлением, установленные на транспортных средствах, не подвергались внешнему воздействию, причиняющему повреждения, например ударам или истиранию.</w:t>
      </w:r>
    </w:p>
    <w:p w14:paraId="076BE5C0" w14:textId="77777777" w:rsidR="000D5350" w:rsidRPr="002A4474" w:rsidRDefault="000D5350" w:rsidP="000D5350">
      <w:pPr>
        <w:pStyle w:val="SingleTxtG"/>
        <w:rPr>
          <w:rFonts w:eastAsia="Calibri"/>
        </w:rPr>
      </w:pPr>
      <w:r>
        <w:t>9.</w:t>
      </w:r>
      <w:r>
        <w:tab/>
        <w:t>Кроме того, во время перевозки сосуды под давлением постоянно испытывают напряжение, вызываемое кручением в шасси, поломкой транспортного средства, а</w:t>
      </w:r>
      <w:r w:rsidR="00A8294D">
        <w:t> </w:t>
      </w:r>
      <w:r>
        <w:t xml:space="preserve">также другими силами. Такие силы могут приводить к ослаблению удерживающих устройств баллонов/трубок, например ремней. Если при этом баллоны/трубки перемещаются, то это может вызвать абразивные повреждения. </w:t>
      </w:r>
    </w:p>
    <w:p w14:paraId="5159AC53" w14:textId="77777777" w:rsidR="000D5350" w:rsidRPr="002A4474" w:rsidRDefault="000D5350" w:rsidP="000D5350">
      <w:pPr>
        <w:pStyle w:val="SingleTxtG"/>
        <w:rPr>
          <w:rFonts w:eastAsia="Calibri"/>
        </w:rPr>
      </w:pPr>
      <w:r>
        <w:t>10.</w:t>
      </w:r>
      <w:r>
        <w:tab/>
        <w:t>Эти случаи требуют к себе пристального внимания и проведения проверок. Такую информацию</w:t>
      </w:r>
      <w:r w:rsidRPr="00D862B7">
        <w:t xml:space="preserve"> </w:t>
      </w:r>
      <w:r>
        <w:t>рекомендуется регистрировать.</w:t>
      </w:r>
    </w:p>
    <w:p w14:paraId="7834C11E" w14:textId="77777777" w:rsidR="000D5350" w:rsidRPr="002A4474" w:rsidRDefault="000D5350" w:rsidP="000D5350">
      <w:pPr>
        <w:pStyle w:val="HChG"/>
      </w:pPr>
      <w:r>
        <w:tab/>
      </w:r>
      <w:r>
        <w:tab/>
      </w:r>
      <w:r>
        <w:rPr>
          <w:bCs/>
        </w:rPr>
        <w:t>Рекомендация</w:t>
      </w:r>
    </w:p>
    <w:p w14:paraId="1AE19B5B" w14:textId="77777777" w:rsidR="000D5350" w:rsidRPr="002A4474" w:rsidRDefault="000D5350" w:rsidP="000D5350">
      <w:pPr>
        <w:pStyle w:val="SingleTxtG"/>
      </w:pPr>
      <w:r>
        <w:t>11.</w:t>
      </w:r>
      <w:r>
        <w:tab/>
        <w:t>ЕАПБ считает преждевременным увеличивать с 10 до 15 лет интервалы между периодическими проверками и испытаниями для транспортных средств-батарей и многоэлементных газовых контейнеров (МЭГК).</w:t>
      </w:r>
    </w:p>
    <w:p w14:paraId="5C11A47C" w14:textId="77777777" w:rsidR="000D5350" w:rsidRDefault="000D5350" w:rsidP="000D5350">
      <w:pPr>
        <w:pStyle w:val="SingleTxtG"/>
      </w:pPr>
      <w:r>
        <w:t>12.</w:t>
      </w:r>
      <w:r>
        <w:tab/>
        <w:t xml:space="preserve">Если будет принято решение о создании неофициальной рабочей группы для обсуждения положений, в соответствии с которыми увеличение периодичности проведения повторных испытаний для транспортных средств-батарей и МЭГК с 10 до 15 лет может быть в конечном счете принято Совместным совещанием, то ЕАПБ была бы заинтересована в активном участии в деятельности этой рабочей группы. </w:t>
      </w:r>
    </w:p>
    <w:p w14:paraId="2BE00C41" w14:textId="77777777" w:rsidR="00E12C5F" w:rsidRPr="008D53B6" w:rsidRDefault="000D5350" w:rsidP="000D5350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C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3188" w14:textId="77777777" w:rsidR="006F2F38" w:rsidRPr="00A312BC" w:rsidRDefault="006F2F38" w:rsidP="00A312BC"/>
  </w:endnote>
  <w:endnote w:type="continuationSeparator" w:id="0">
    <w:p w14:paraId="64117D70" w14:textId="77777777" w:rsidR="006F2F38" w:rsidRPr="00A312BC" w:rsidRDefault="006F2F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33A6" w14:textId="77777777" w:rsidR="004C6448" w:rsidRPr="004C6448" w:rsidRDefault="004C6448">
    <w:pPr>
      <w:pStyle w:val="Footer"/>
    </w:pPr>
    <w:r w:rsidRPr="004C6448">
      <w:rPr>
        <w:b/>
        <w:sz w:val="18"/>
      </w:rPr>
      <w:fldChar w:fldCharType="begin"/>
    </w:r>
    <w:r w:rsidRPr="004C6448">
      <w:rPr>
        <w:b/>
        <w:sz w:val="18"/>
      </w:rPr>
      <w:instrText xml:space="preserve"> PAGE  \* MERGEFORMAT </w:instrText>
    </w:r>
    <w:r w:rsidRPr="004C6448">
      <w:rPr>
        <w:b/>
        <w:sz w:val="18"/>
      </w:rPr>
      <w:fldChar w:fldCharType="separate"/>
    </w:r>
    <w:r w:rsidRPr="004C6448">
      <w:rPr>
        <w:b/>
        <w:noProof/>
        <w:sz w:val="18"/>
      </w:rPr>
      <w:t>2</w:t>
    </w:r>
    <w:r w:rsidRPr="004C6448">
      <w:rPr>
        <w:b/>
        <w:sz w:val="18"/>
      </w:rPr>
      <w:fldChar w:fldCharType="end"/>
    </w:r>
    <w:r>
      <w:rPr>
        <w:b/>
        <w:sz w:val="18"/>
      </w:rPr>
      <w:tab/>
    </w:r>
    <w:r>
      <w:t>GE.20-07567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43AE" w14:textId="77777777" w:rsidR="004C6448" w:rsidRPr="004C6448" w:rsidRDefault="004C6448" w:rsidP="004C644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GE.20-07567</w:t>
    </w:r>
    <w:r>
      <w:tab/>
    </w:r>
    <w:r w:rsidRPr="004C6448">
      <w:rPr>
        <w:b/>
        <w:sz w:val="18"/>
      </w:rPr>
      <w:fldChar w:fldCharType="begin"/>
    </w:r>
    <w:r w:rsidRPr="004C6448">
      <w:rPr>
        <w:b/>
        <w:sz w:val="18"/>
      </w:rPr>
      <w:instrText xml:space="preserve"> PAGE  \* MERGEFORMAT </w:instrText>
    </w:r>
    <w:r w:rsidRPr="004C6448">
      <w:rPr>
        <w:b/>
        <w:sz w:val="18"/>
      </w:rPr>
      <w:fldChar w:fldCharType="separate"/>
    </w:r>
    <w:r w:rsidRPr="004C6448">
      <w:rPr>
        <w:b/>
        <w:noProof/>
        <w:sz w:val="18"/>
      </w:rPr>
      <w:t>3</w:t>
    </w:r>
    <w:r w:rsidRPr="004C64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8314" w14:textId="350F9A9F" w:rsidR="00042B72" w:rsidRPr="004C6448" w:rsidRDefault="004C6448" w:rsidP="004C644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98F47E" wp14:editId="56E843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20-07567  (R)</w:t>
    </w:r>
    <w:r>
      <w:rPr>
        <w:lang w:val="en-US"/>
      </w:rPr>
      <w:t xml:space="preserve">  160620  1</w:t>
    </w:r>
    <w:r w:rsidR="0059418F">
      <w:rPr>
        <w:lang w:val="en-US"/>
      </w:rPr>
      <w:t>7</w:t>
    </w:r>
    <w:r>
      <w:rPr>
        <w:lang w:val="en-US"/>
      </w:rPr>
      <w:t>0620</w:t>
    </w:r>
    <w:r>
      <w:br/>
    </w:r>
    <w:r w:rsidRPr="004C6448">
      <w:rPr>
        <w:rFonts w:ascii="C39T30Lfz" w:hAnsi="C39T30Lfz"/>
        <w:kern w:val="14"/>
        <w:sz w:val="56"/>
      </w:rPr>
      <w:t></w:t>
    </w:r>
    <w:r w:rsidRPr="004C6448">
      <w:rPr>
        <w:rFonts w:ascii="C39T30Lfz" w:hAnsi="C39T30Lfz"/>
        <w:kern w:val="14"/>
        <w:sz w:val="56"/>
      </w:rPr>
      <w:t></w:t>
    </w:r>
    <w:r w:rsidRPr="004C6448">
      <w:rPr>
        <w:rFonts w:ascii="C39T30Lfz" w:hAnsi="C39T30Lfz"/>
        <w:kern w:val="14"/>
        <w:sz w:val="56"/>
      </w:rPr>
      <w:t></w:t>
    </w:r>
    <w:r w:rsidRPr="004C6448">
      <w:rPr>
        <w:rFonts w:ascii="C39T30Lfz" w:hAnsi="C39T30Lfz"/>
        <w:kern w:val="14"/>
        <w:sz w:val="56"/>
      </w:rPr>
      <w:t></w:t>
    </w:r>
    <w:r w:rsidRPr="004C6448">
      <w:rPr>
        <w:rFonts w:ascii="C39T30Lfz" w:hAnsi="C39T30Lfz"/>
        <w:kern w:val="14"/>
        <w:sz w:val="56"/>
      </w:rPr>
      <w:t></w:t>
    </w:r>
    <w:r w:rsidRPr="004C6448">
      <w:rPr>
        <w:rFonts w:ascii="C39T30Lfz" w:hAnsi="C39T30Lfz"/>
        <w:kern w:val="14"/>
        <w:sz w:val="56"/>
      </w:rPr>
      <w:t></w:t>
    </w:r>
    <w:r w:rsidRPr="004C6448">
      <w:rPr>
        <w:rFonts w:ascii="C39T30Lfz" w:hAnsi="C39T30Lfz"/>
        <w:kern w:val="14"/>
        <w:sz w:val="56"/>
      </w:rPr>
      <w:t></w:t>
    </w:r>
    <w:r w:rsidRPr="004C6448">
      <w:rPr>
        <w:rFonts w:ascii="C39T30Lfz" w:hAnsi="C39T30Lfz"/>
        <w:kern w:val="14"/>
        <w:sz w:val="56"/>
      </w:rPr>
      <w:t></w:t>
    </w:r>
    <w:r w:rsidRPr="004C644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DB147B" wp14:editId="02AD910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9074" w14:textId="77777777" w:rsidR="006F2F38" w:rsidRPr="001075E9" w:rsidRDefault="006F2F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C2AC90" w14:textId="77777777" w:rsidR="006F2F38" w:rsidRDefault="006F2F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A13A97" w14:textId="77777777" w:rsidR="000D5350" w:rsidRPr="002A4474" w:rsidRDefault="000D5350" w:rsidP="000D5350">
      <w:pPr>
        <w:pStyle w:val="FootnoteText"/>
        <w:rPr>
          <w:sz w:val="20"/>
        </w:rPr>
      </w:pPr>
      <w:r>
        <w:tab/>
      </w:r>
      <w:r w:rsidRPr="00FC6A44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5F51A186" w14:textId="77777777" w:rsidR="000D5350" w:rsidRPr="002A4474" w:rsidRDefault="000D5350" w:rsidP="000D5350">
      <w:pPr>
        <w:pStyle w:val="FootnoteText"/>
        <w:tabs>
          <w:tab w:val="clear" w:pos="1021"/>
          <w:tab w:val="right" w:pos="993"/>
        </w:tabs>
        <w:rPr>
          <w:sz w:val="20"/>
        </w:rPr>
      </w:pPr>
      <w:r>
        <w:tab/>
      </w:r>
      <w:r w:rsidRPr="00FC6A44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ED9E" w14:textId="13E077DE" w:rsidR="004C6448" w:rsidRPr="004C6448" w:rsidRDefault="00844F57">
    <w:pPr>
      <w:pStyle w:val="Header"/>
    </w:pPr>
    <w:fldSimple w:instr=" TITLE  \* MERGEFORMAT ">
      <w:r>
        <w:t>ECE/TRANS/WP.15/AC.1/2020/50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1DFF" w14:textId="6B9B8E0D" w:rsidR="004C6448" w:rsidRPr="004C6448" w:rsidRDefault="00844F57" w:rsidP="004C6448">
    <w:pPr>
      <w:pStyle w:val="Header"/>
      <w:jc w:val="right"/>
    </w:pPr>
    <w:fldSimple w:instr=" TITLE  \* MERGEFORMAT ">
      <w:r>
        <w:t>ECE/TRANS/WP.15/AC.1/2020/50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3A65" w14:textId="77777777" w:rsidR="004C6448" w:rsidRDefault="004C6448" w:rsidP="004C64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  <w:lvlOverride w:ilvl="0">
      <w:lvl w:ilvl="0" w:tplc="04070001">
        <w:start w:val="1"/>
        <w:numFmt w:val="bullet"/>
        <w:lvlText w:val=""/>
        <w:lvlJc w:val="left"/>
        <w:pPr>
          <w:ind w:left="1778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38"/>
    <w:rsid w:val="00033EE1"/>
    <w:rsid w:val="00042B72"/>
    <w:rsid w:val="000558BD"/>
    <w:rsid w:val="000B57E7"/>
    <w:rsid w:val="000B6373"/>
    <w:rsid w:val="000D5350"/>
    <w:rsid w:val="000E4E5B"/>
    <w:rsid w:val="000F09DF"/>
    <w:rsid w:val="000F61B2"/>
    <w:rsid w:val="001075E9"/>
    <w:rsid w:val="0013043B"/>
    <w:rsid w:val="0014152F"/>
    <w:rsid w:val="00180183"/>
    <w:rsid w:val="0018024D"/>
    <w:rsid w:val="0018649F"/>
    <w:rsid w:val="00196389"/>
    <w:rsid w:val="001B3EF6"/>
    <w:rsid w:val="001C7A89"/>
    <w:rsid w:val="001E135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536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0715"/>
    <w:rsid w:val="004C6448"/>
    <w:rsid w:val="004E05B7"/>
    <w:rsid w:val="0050108D"/>
    <w:rsid w:val="00513081"/>
    <w:rsid w:val="00517901"/>
    <w:rsid w:val="00526683"/>
    <w:rsid w:val="005639C1"/>
    <w:rsid w:val="005709E0"/>
    <w:rsid w:val="00572E19"/>
    <w:rsid w:val="0059418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2F38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4F5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294D"/>
    <w:rsid w:val="00A84021"/>
    <w:rsid w:val="00A84D35"/>
    <w:rsid w:val="00A917B3"/>
    <w:rsid w:val="00AB4B51"/>
    <w:rsid w:val="00B10CC7"/>
    <w:rsid w:val="00B36DF7"/>
    <w:rsid w:val="00B539E7"/>
    <w:rsid w:val="00B62458"/>
    <w:rsid w:val="00B6755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BD7"/>
    <w:rsid w:val="00F94155"/>
    <w:rsid w:val="00F9783F"/>
    <w:rsid w:val="00FC6A4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B27559"/>
  <w15:docId w15:val="{3C0D04AA-F175-4253-A6E9-FD866646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D5350"/>
    <w:rPr>
      <w:lang w:val="ru-RU" w:eastAsia="en-US"/>
    </w:rPr>
  </w:style>
  <w:style w:type="character" w:customStyle="1" w:styleId="HChGChar">
    <w:name w:val="_ H _Ch_G Char"/>
    <w:link w:val="HChG"/>
    <w:rsid w:val="000D5350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rsid w:val="000D5350"/>
    <w:rPr>
      <w:b/>
      <w:sz w:val="24"/>
      <w:lang w:val="ru-RU" w:eastAsia="ru-RU"/>
    </w:rPr>
  </w:style>
  <w:style w:type="paragraph" w:customStyle="1" w:styleId="Style1">
    <w:name w:val="Style1"/>
    <w:basedOn w:val="Normal"/>
    <w:rsid w:val="000D5350"/>
    <w:pPr>
      <w:widowControl w:val="0"/>
      <w:spacing w:line="100" w:lineRule="atLeast"/>
      <w:jc w:val="both"/>
    </w:pPr>
    <w:rPr>
      <w:rFonts w:eastAsia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4223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ECE/TRANS/WP.15/AC.1/2020/50</vt:lpstr>
      <vt:lpstr>ECE/TRANS/WP.15/AC.1/2020/50</vt:lpstr>
      <vt:lpstr>A/</vt:lpstr>
    </vt:vector>
  </TitlesOfParts>
  <Company>DCM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ECE/TRANS/WP.15/AC.1/2020/50</dc:title>
  <dc:subject/>
  <dc:creator>Olga OVTCHINNIKOVA</dc:creator>
  <cp:keywords/>
  <cp:lastModifiedBy>Christine Barrio-Champeau</cp:lastModifiedBy>
  <cp:revision>2</cp:revision>
  <cp:lastPrinted>2020-06-17T07:19:00Z</cp:lastPrinted>
  <dcterms:created xsi:type="dcterms:W3CDTF">2020-07-02T12:55:00Z</dcterms:created>
  <dcterms:modified xsi:type="dcterms:W3CDTF">2020-07-02T12:55:00Z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