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C6303A" w:rsidP="00C6303A">
            <w:pPr>
              <w:jc w:val="right"/>
            </w:pPr>
            <w:r w:rsidRPr="00C6303A">
              <w:rPr>
                <w:sz w:val="40"/>
              </w:rPr>
              <w:t>ECE</w:t>
            </w:r>
            <w:r>
              <w:t>/TRANS/WP.15/AC.1/2020/4</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C6303A" w:rsidP="00C6303A">
            <w:pPr>
              <w:spacing w:before="240" w:line="240" w:lineRule="exact"/>
            </w:pPr>
            <w:r>
              <w:t>Distr.: General</w:t>
            </w:r>
          </w:p>
          <w:p w:rsidR="00C6303A" w:rsidRDefault="00931C24" w:rsidP="00C6303A">
            <w:pPr>
              <w:spacing w:line="240" w:lineRule="exact"/>
            </w:pPr>
            <w:r>
              <w:t>17</w:t>
            </w:r>
            <w:bookmarkStart w:id="0" w:name="_GoBack"/>
            <w:bookmarkEnd w:id="0"/>
            <w:r w:rsidR="00C6303A">
              <w:t xml:space="preserve"> December 2019</w:t>
            </w:r>
          </w:p>
          <w:p w:rsidR="00C6303A" w:rsidRDefault="00C6303A" w:rsidP="00C6303A">
            <w:pPr>
              <w:spacing w:line="240" w:lineRule="exact"/>
            </w:pPr>
          </w:p>
          <w:p w:rsidR="00C6303A" w:rsidRDefault="00C6303A" w:rsidP="00C6303A">
            <w:pPr>
              <w:spacing w:line="240" w:lineRule="exact"/>
            </w:pPr>
            <w:r>
              <w:t>Original: English</w:t>
            </w:r>
          </w:p>
        </w:tc>
      </w:tr>
    </w:tbl>
    <w:p w:rsidR="00C6303A" w:rsidRDefault="00C6303A" w:rsidP="00C6303A">
      <w:pPr>
        <w:spacing w:before="120"/>
        <w:rPr>
          <w:b/>
          <w:sz w:val="28"/>
          <w:szCs w:val="28"/>
        </w:rPr>
      </w:pPr>
      <w:r>
        <w:rPr>
          <w:b/>
          <w:sz w:val="28"/>
          <w:szCs w:val="28"/>
        </w:rPr>
        <w:t>Economic Commission for Europe</w:t>
      </w:r>
    </w:p>
    <w:p w:rsidR="00C6303A" w:rsidRDefault="00C6303A" w:rsidP="00C6303A">
      <w:pPr>
        <w:spacing w:before="120"/>
        <w:rPr>
          <w:sz w:val="28"/>
          <w:szCs w:val="28"/>
        </w:rPr>
      </w:pPr>
      <w:r>
        <w:rPr>
          <w:sz w:val="28"/>
          <w:szCs w:val="28"/>
        </w:rPr>
        <w:t>Inland Transport Committee</w:t>
      </w:r>
    </w:p>
    <w:p w:rsidR="00C6303A" w:rsidRDefault="00C6303A" w:rsidP="00C6303A">
      <w:pPr>
        <w:spacing w:before="120" w:after="120"/>
        <w:rPr>
          <w:b/>
          <w:sz w:val="24"/>
          <w:szCs w:val="24"/>
        </w:rPr>
      </w:pPr>
      <w:r>
        <w:rPr>
          <w:b/>
          <w:sz w:val="24"/>
          <w:szCs w:val="24"/>
        </w:rPr>
        <w:t>Working Party on the Transport of Dangerous Goods</w:t>
      </w:r>
    </w:p>
    <w:p w:rsidR="00C6303A" w:rsidRPr="007317F4" w:rsidRDefault="00C6303A" w:rsidP="00C6303A">
      <w:pPr>
        <w:rPr>
          <w:b/>
          <w:bCs/>
        </w:rPr>
      </w:pPr>
      <w:r w:rsidRPr="007317F4">
        <w:rPr>
          <w:b/>
          <w:bCs/>
        </w:rPr>
        <w:t>Joint Meeting of the RID Committee of Experts and the</w:t>
      </w:r>
      <w:r w:rsidRPr="007317F4">
        <w:rPr>
          <w:b/>
          <w:bCs/>
        </w:rPr>
        <w:br/>
        <w:t>Working Party on the Transport of Dangerous Goods</w:t>
      </w:r>
    </w:p>
    <w:p w:rsidR="00C6303A" w:rsidRPr="0019746E" w:rsidRDefault="00C6303A" w:rsidP="00C6303A">
      <w:r w:rsidRPr="0019746E">
        <w:t>Bern, 1</w:t>
      </w:r>
      <w:r>
        <w:t>6</w:t>
      </w:r>
      <w:r w:rsidRPr="0019746E">
        <w:t>–2</w:t>
      </w:r>
      <w:r>
        <w:t>0</w:t>
      </w:r>
      <w:r w:rsidRPr="0019746E">
        <w:t xml:space="preserve"> March 20</w:t>
      </w:r>
      <w:r>
        <w:t>20</w:t>
      </w:r>
    </w:p>
    <w:p w:rsidR="00C6303A" w:rsidRPr="0019746E" w:rsidRDefault="00C6303A" w:rsidP="00C6303A">
      <w:r w:rsidRPr="0019746E">
        <w:t>Item 5</w:t>
      </w:r>
      <w:r>
        <w:t xml:space="preserve"> </w:t>
      </w:r>
      <w:r w:rsidRPr="0019746E">
        <w:t>(b) of the provisional agenda</w:t>
      </w:r>
    </w:p>
    <w:p w:rsidR="00C6303A" w:rsidRPr="004A5A17" w:rsidRDefault="00C6303A" w:rsidP="00C6303A">
      <w:pPr>
        <w:rPr>
          <w:b/>
          <w:bCs/>
        </w:rPr>
      </w:pPr>
      <w:r w:rsidRPr="004A5A17">
        <w:rPr>
          <w:b/>
          <w:bCs/>
        </w:rPr>
        <w:t>Proposals for amendments to RID/ADR/ADN</w:t>
      </w:r>
    </w:p>
    <w:p w:rsidR="00C6303A" w:rsidRPr="004A5A17" w:rsidRDefault="00C6303A" w:rsidP="00C6303A">
      <w:pPr>
        <w:rPr>
          <w:b/>
          <w:bCs/>
        </w:rPr>
      </w:pPr>
      <w:r>
        <w:rPr>
          <w:b/>
          <w:bCs/>
        </w:rPr>
        <w:t>n</w:t>
      </w:r>
      <w:r w:rsidRPr="004A5A17">
        <w:rPr>
          <w:b/>
          <w:bCs/>
        </w:rPr>
        <w:t>ew proposals</w:t>
      </w:r>
    </w:p>
    <w:p w:rsidR="00C6303A" w:rsidRPr="00323E91" w:rsidRDefault="00C6303A" w:rsidP="00323E91">
      <w:pPr>
        <w:pStyle w:val="HChG"/>
      </w:pPr>
      <w:r w:rsidRPr="00323E91">
        <w:tab/>
      </w:r>
      <w:r w:rsidRPr="00323E91">
        <w:tab/>
      </w:r>
      <w:r w:rsidR="00323E91" w:rsidRPr="00323E91">
        <w:t>RID/ADR 4.1.6.15 – standards for valve protection devices</w:t>
      </w:r>
    </w:p>
    <w:p w:rsidR="001C6663" w:rsidRDefault="00C6303A" w:rsidP="00C6303A">
      <w:pPr>
        <w:rPr>
          <w:b/>
          <w:bCs/>
        </w:rPr>
      </w:pPr>
      <w:r>
        <w:rPr>
          <w:rStyle w:val="H1GChar"/>
        </w:rPr>
        <w:tab/>
      </w:r>
      <w:r>
        <w:rPr>
          <w:rStyle w:val="H1GChar"/>
        </w:rPr>
        <w:tab/>
      </w:r>
      <w:r w:rsidR="00323E91" w:rsidRPr="00323E91">
        <w:rPr>
          <w:rStyle w:val="H1GChar"/>
        </w:rPr>
        <w:t>Transmitted by the Government of Germany</w:t>
      </w:r>
      <w:r w:rsidR="00323E91" w:rsidRPr="00FF25CB">
        <w:t xml:space="preserve"> </w:t>
      </w:r>
      <w:r w:rsidRPr="00F32A2F">
        <w:rPr>
          <w:rStyle w:val="FootnoteReference"/>
          <w:sz w:val="20"/>
        </w:rPr>
        <w:footnoteReference w:customMarkFollows="1" w:id="2"/>
        <w:t>*</w:t>
      </w:r>
      <w:r w:rsidRPr="00F32A2F">
        <w:rPr>
          <w:vertAlign w:val="superscript"/>
        </w:rPr>
        <w:t>,</w:t>
      </w:r>
      <w:r>
        <w:rPr>
          <w:vertAlign w:val="superscript"/>
        </w:rPr>
        <w:t xml:space="preserve"> </w:t>
      </w:r>
      <w:r w:rsidRPr="00366A60">
        <w:rPr>
          <w:rStyle w:val="FootnoteReference"/>
          <w:b/>
          <w:bCs/>
          <w:sz w:val="20"/>
        </w:rPr>
        <w:footnoteReference w:customMarkFollows="1" w:id="3"/>
        <w:t>**</w:t>
      </w:r>
    </w:p>
    <w:p w:rsidR="00323E91" w:rsidRDefault="00323E91" w:rsidP="00C6303A">
      <w:pPr>
        <w:rPr>
          <w:b/>
          <w:bCs/>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323E91" w:rsidTr="007A1D18">
        <w:trPr>
          <w:jc w:val="center"/>
        </w:trPr>
        <w:tc>
          <w:tcPr>
            <w:tcW w:w="9082" w:type="dxa"/>
            <w:tcBorders>
              <w:top w:val="single" w:sz="4" w:space="0" w:color="auto"/>
              <w:left w:val="single" w:sz="4" w:space="0" w:color="auto"/>
              <w:bottom w:val="nil"/>
              <w:right w:val="single" w:sz="4" w:space="0" w:color="auto"/>
            </w:tcBorders>
            <w:hideMark/>
          </w:tcPr>
          <w:p w:rsidR="00323E91" w:rsidRDefault="00323E91" w:rsidP="007A1D18">
            <w:pPr>
              <w:spacing w:before="240" w:after="120"/>
              <w:ind w:left="255"/>
              <w:rPr>
                <w:i/>
                <w:lang w:val="fr-FR"/>
              </w:rPr>
            </w:pPr>
            <w:proofErr w:type="spellStart"/>
            <w:r>
              <w:rPr>
                <w:i/>
                <w:lang w:val="fr-FR"/>
              </w:rPr>
              <w:t>Summary</w:t>
            </w:r>
            <w:proofErr w:type="spellEnd"/>
          </w:p>
        </w:tc>
      </w:tr>
      <w:tr w:rsidR="00323E91" w:rsidTr="007A1D18">
        <w:trPr>
          <w:jc w:val="center"/>
        </w:trPr>
        <w:tc>
          <w:tcPr>
            <w:tcW w:w="9082" w:type="dxa"/>
            <w:tcBorders>
              <w:top w:val="nil"/>
              <w:left w:val="single" w:sz="4" w:space="0" w:color="auto"/>
              <w:bottom w:val="nil"/>
              <w:right w:val="single" w:sz="4" w:space="0" w:color="auto"/>
            </w:tcBorders>
            <w:hideMark/>
          </w:tcPr>
          <w:p w:rsidR="00323E91" w:rsidRDefault="00323E91" w:rsidP="00FB3759">
            <w:pPr>
              <w:tabs>
                <w:tab w:val="left" w:pos="3260"/>
              </w:tabs>
              <w:spacing w:after="120"/>
              <w:ind w:left="3260" w:right="715" w:hanging="2409"/>
              <w:jc w:val="both"/>
              <w:rPr>
                <w:lang w:val="fr-FR"/>
              </w:rPr>
            </w:pPr>
            <w:proofErr w:type="spellStart"/>
            <w:r>
              <w:rPr>
                <w:b/>
                <w:lang w:val="fr-FR"/>
              </w:rPr>
              <w:t>Executive</w:t>
            </w:r>
            <w:proofErr w:type="spellEnd"/>
            <w:r>
              <w:rPr>
                <w:b/>
                <w:lang w:val="fr-FR"/>
              </w:rPr>
              <w:t xml:space="preserve"> </w:t>
            </w:r>
            <w:proofErr w:type="spellStart"/>
            <w:proofErr w:type="gramStart"/>
            <w:r>
              <w:rPr>
                <w:b/>
                <w:lang w:val="fr-FR"/>
              </w:rPr>
              <w:t>summary</w:t>
            </w:r>
            <w:proofErr w:type="spellEnd"/>
            <w:r>
              <w:rPr>
                <w:b/>
                <w:lang w:val="fr-FR"/>
              </w:rPr>
              <w:t>:</w:t>
            </w:r>
            <w:proofErr w:type="gramEnd"/>
            <w:r>
              <w:rPr>
                <w:b/>
                <w:lang w:val="fr-FR"/>
              </w:rPr>
              <w:t xml:space="preserve"> </w:t>
            </w:r>
            <w:r>
              <w:rPr>
                <w:lang w:val="fr-FR"/>
              </w:rPr>
              <w:tab/>
            </w:r>
            <w:r>
              <w:t>The aim of this proposal is to clarify which standards may be used for valve protection devices that are new on the market.</w:t>
            </w:r>
          </w:p>
        </w:tc>
      </w:tr>
      <w:tr w:rsidR="00323E91" w:rsidTr="007A1D18">
        <w:trPr>
          <w:jc w:val="center"/>
        </w:trPr>
        <w:tc>
          <w:tcPr>
            <w:tcW w:w="9082" w:type="dxa"/>
            <w:tcBorders>
              <w:top w:val="nil"/>
              <w:left w:val="single" w:sz="4" w:space="0" w:color="auto"/>
              <w:bottom w:val="nil"/>
              <w:right w:val="single" w:sz="4" w:space="0" w:color="auto"/>
            </w:tcBorders>
            <w:hideMark/>
          </w:tcPr>
          <w:p w:rsidR="00323E91" w:rsidRDefault="00323E91" w:rsidP="00FB3759">
            <w:pPr>
              <w:tabs>
                <w:tab w:val="left" w:pos="3260"/>
              </w:tabs>
              <w:spacing w:after="120"/>
              <w:ind w:left="3260" w:right="715" w:hanging="2409"/>
              <w:jc w:val="both"/>
              <w:rPr>
                <w:lang w:val="fr-FR"/>
              </w:rPr>
            </w:pPr>
            <w:r>
              <w:rPr>
                <w:b/>
                <w:lang w:val="fr-FR"/>
              </w:rPr>
              <w:t xml:space="preserve">Action to </w:t>
            </w:r>
            <w:proofErr w:type="spellStart"/>
            <w:r>
              <w:rPr>
                <w:b/>
                <w:lang w:val="fr-FR"/>
              </w:rPr>
              <w:t>be</w:t>
            </w:r>
            <w:proofErr w:type="spellEnd"/>
            <w:r>
              <w:rPr>
                <w:b/>
                <w:lang w:val="fr-FR"/>
              </w:rPr>
              <w:t xml:space="preserve"> </w:t>
            </w:r>
            <w:proofErr w:type="spellStart"/>
            <w:proofErr w:type="gramStart"/>
            <w:r>
              <w:rPr>
                <w:b/>
                <w:lang w:val="fr-FR"/>
              </w:rPr>
              <w:t>taken</w:t>
            </w:r>
            <w:proofErr w:type="spellEnd"/>
            <w:r>
              <w:rPr>
                <w:b/>
                <w:lang w:val="fr-FR"/>
              </w:rPr>
              <w:t>:</w:t>
            </w:r>
            <w:proofErr w:type="gramEnd"/>
            <w:r>
              <w:rPr>
                <w:b/>
                <w:lang w:val="fr-FR"/>
              </w:rPr>
              <w:tab/>
            </w:r>
            <w:r>
              <w:t>Supplement the table in RID/ADR 4.1.6.15</w:t>
            </w:r>
          </w:p>
        </w:tc>
      </w:tr>
      <w:tr w:rsidR="00323E91" w:rsidTr="007A1D18">
        <w:trPr>
          <w:jc w:val="center"/>
        </w:trPr>
        <w:tc>
          <w:tcPr>
            <w:tcW w:w="9082" w:type="dxa"/>
            <w:tcBorders>
              <w:top w:val="nil"/>
              <w:left w:val="single" w:sz="4" w:space="0" w:color="auto"/>
              <w:bottom w:val="nil"/>
              <w:right w:val="single" w:sz="4" w:space="0" w:color="auto"/>
            </w:tcBorders>
            <w:hideMark/>
          </w:tcPr>
          <w:p w:rsidR="00323E91" w:rsidRDefault="00323E91" w:rsidP="007A1D18">
            <w:pPr>
              <w:tabs>
                <w:tab w:val="left" w:pos="3260"/>
              </w:tabs>
              <w:ind w:left="3260" w:right="1134" w:hanging="2126"/>
              <w:rPr>
                <w:b/>
                <w:lang w:val="en-US"/>
              </w:rPr>
            </w:pPr>
          </w:p>
        </w:tc>
      </w:tr>
      <w:tr w:rsidR="00323E91" w:rsidTr="007A1D18">
        <w:trPr>
          <w:jc w:val="center"/>
        </w:trPr>
        <w:tc>
          <w:tcPr>
            <w:tcW w:w="9082" w:type="dxa"/>
            <w:tcBorders>
              <w:top w:val="nil"/>
              <w:left w:val="single" w:sz="4" w:space="0" w:color="auto"/>
              <w:bottom w:val="single" w:sz="4" w:space="0" w:color="auto"/>
              <w:right w:val="single" w:sz="4" w:space="0" w:color="auto"/>
            </w:tcBorders>
          </w:tcPr>
          <w:p w:rsidR="00323E91" w:rsidRDefault="00323E91" w:rsidP="007A1D18">
            <w:pPr>
              <w:rPr>
                <w:lang w:val="en-US"/>
              </w:rPr>
            </w:pPr>
          </w:p>
        </w:tc>
      </w:tr>
    </w:tbl>
    <w:p w:rsidR="00C6303A" w:rsidRDefault="00323E91" w:rsidP="00323E91">
      <w:pPr>
        <w:pStyle w:val="HChG"/>
      </w:pPr>
      <w:r>
        <w:tab/>
      </w:r>
      <w:r>
        <w:tab/>
      </w:r>
      <w:r w:rsidR="00C6303A">
        <w:t>Introduction</w:t>
      </w:r>
    </w:p>
    <w:p w:rsidR="00C6303A" w:rsidRDefault="00C6303A" w:rsidP="00323E91">
      <w:pPr>
        <w:pStyle w:val="SingleTxtG"/>
      </w:pPr>
      <w:r>
        <w:t>1.</w:t>
      </w:r>
      <w:r>
        <w:tab/>
        <w:t xml:space="preserve">RID/ADR 4.1.6.15 lists standards for valve protection devices that </w:t>
      </w:r>
      <w:proofErr w:type="gramStart"/>
      <w:r>
        <w:t>have to</w:t>
      </w:r>
      <w:proofErr w:type="gramEnd"/>
      <w:r>
        <w:t xml:space="preserve"> be used for UN pressure receptacles to comply with the requirements of RID/ADR 4.1.6.8 (b) and (c). For other pressure receptacles, the provisions of RID/ADR 4.1.6 are deemed to be met if the standards relevant in each case from the table in RID/ADR 4.1.6.15 are used.</w:t>
      </w:r>
    </w:p>
    <w:p w:rsidR="00C6303A" w:rsidRDefault="00C6303A" w:rsidP="00323E91">
      <w:pPr>
        <w:pStyle w:val="SingleTxtG"/>
      </w:pPr>
      <w:r>
        <w:t>2.</w:t>
      </w:r>
      <w:r>
        <w:tab/>
        <w:t>Some of the standards for valve protection devices listed in the table in RID/ADR 4.1.6.15 are old standards that have been withdrawn. This is to enable the continued use of valve protection devices placed on the market in accordance with these standards in the past.</w:t>
      </w:r>
    </w:p>
    <w:p w:rsidR="00C6303A" w:rsidRPr="00D07078" w:rsidRDefault="00C6303A" w:rsidP="00323E91">
      <w:pPr>
        <w:pStyle w:val="SingleTxtG"/>
      </w:pPr>
      <w:r>
        <w:t>3.</w:t>
      </w:r>
      <w:r>
        <w:tab/>
        <w:t xml:space="preserve">However, this makes it possible for new valve protection devices for non-UN pressure receptacles not </w:t>
      </w:r>
      <w:r w:rsidR="00FB3759">
        <w:t xml:space="preserve">only </w:t>
      </w:r>
      <w:r>
        <w:t xml:space="preserve">to continue in use, but also means </w:t>
      </w:r>
      <w:r w:rsidR="00FB3759">
        <w:t xml:space="preserve">that </w:t>
      </w:r>
      <w:r>
        <w:t xml:space="preserve">they might continue to be manufactured and placed on the market in accordance with the old standards listed in RID/ADR 4.1.6.15. As a result, it is currently legal to manufacture and market valve protection devices in accordance with standard EN 962:1996 + A2:2000, even though this </w:t>
      </w:r>
      <w:r>
        <w:lastRenderedPageBreak/>
        <w:t>standard has been withdrawn and it does not (yet) require any relevant additional testing steps in accordance with standard EN ISO 11117:2008 + Cor. 1:2009.</w:t>
      </w:r>
    </w:p>
    <w:p w:rsidR="00C6303A" w:rsidRDefault="00C6303A" w:rsidP="00323E91">
      <w:pPr>
        <w:pStyle w:val="SingleTxtG"/>
      </w:pPr>
      <w:r>
        <w:t>4.</w:t>
      </w:r>
      <w:r>
        <w:tab/>
        <w:t>This problem does not exist for UN pressure receptacles, as in this case RID/ADR 6.2.2.3 makes it mandatory to apply the current standard ISO 11117:2008 + A1:2009. However, RID/ADR 6.2.4.1 does not list any standard for valve protection devices.</w:t>
      </w:r>
    </w:p>
    <w:p w:rsidR="00C6303A" w:rsidRDefault="00C6303A" w:rsidP="00323E91">
      <w:pPr>
        <w:pStyle w:val="SingleTxtG"/>
      </w:pPr>
      <w:r>
        <w:t>5.</w:t>
      </w:r>
      <w:r>
        <w:tab/>
        <w:t xml:space="preserve">This problem does not exist for shut-off valves according to the first paragraph of RID/ADR 4.1.6.8 and for valves covered by standard ISO 16111:2008, because for the design type approval, it must be ensured that the applicable standard in accordance with RID/ADR 6.2.4.1 or RID/ADR 6.2.2.3 is </w:t>
      </w:r>
      <w:r w:rsidR="00FB3759">
        <w:t>followed</w:t>
      </w:r>
      <w:r>
        <w:t>.</w:t>
      </w:r>
    </w:p>
    <w:p w:rsidR="00C6303A" w:rsidRDefault="00323E91" w:rsidP="00323E91">
      <w:pPr>
        <w:pStyle w:val="HChG"/>
      </w:pPr>
      <w:r>
        <w:tab/>
      </w:r>
      <w:r>
        <w:tab/>
      </w:r>
      <w:r w:rsidR="00C6303A">
        <w:t>Proposal</w:t>
      </w:r>
    </w:p>
    <w:p w:rsidR="00C6303A" w:rsidRDefault="00C6303A" w:rsidP="00323E91">
      <w:pPr>
        <w:pStyle w:val="SingleTxtG"/>
      </w:pPr>
      <w:r>
        <w:t>6.</w:t>
      </w:r>
      <w:r>
        <w:tab/>
        <w:t>It is proposed that a column corresponding to the right-hand column of the tables in RID/ADR 6.2.2.1 be added to the table in RID/ADR 4.1.6.15.</w:t>
      </w:r>
    </w:p>
    <w:p w:rsidR="00C6303A" w:rsidRDefault="00C6303A" w:rsidP="00323E91">
      <w:pPr>
        <w:pStyle w:val="SingleTxtG"/>
      </w:pPr>
      <w:r>
        <w:t>7.</w:t>
      </w:r>
      <w:r>
        <w:tab/>
        <w:t>It is also proposed that for the standards applicable to valves with inherent protection, the reference to the applicable paragraph of the standard should be corrected (replace the currently referenced annex on the impact test with the actual requirement with the acceptance criterion in the standard which, in some standards</w:t>
      </w:r>
      <w:r w:rsidR="00FB3759">
        <w:t>,</w:t>
      </w:r>
      <w:r>
        <w:t xml:space="preserve"> refers to an annex on carrying out the test), or should be indicated for the first time.</w:t>
      </w:r>
    </w:p>
    <w:p w:rsidR="00C6303A" w:rsidRDefault="00C6303A" w:rsidP="00323E91">
      <w:pPr>
        <w:pStyle w:val="SingleTxtG"/>
      </w:pPr>
      <w:r>
        <w:t>8.</w:t>
      </w:r>
      <w:r>
        <w:tab/>
        <w:t>The table in RID/ADR 4.1.6.15 would then read as follows:</w:t>
      </w:r>
    </w:p>
    <w:p w:rsidR="00C6303A" w:rsidRDefault="00C6303A" w:rsidP="00323E91">
      <w:pPr>
        <w:tabs>
          <w:tab w:val="left" w:pos="1418"/>
          <w:tab w:val="left" w:pos="2977"/>
          <w:tab w:val="left" w:pos="4395"/>
        </w:tabs>
        <w:ind w:left="1134" w:right="1134" w:firstLine="1"/>
        <w:jc w:val="both"/>
        <w:rPr>
          <w:i/>
        </w:rPr>
      </w:pPr>
      <w:r>
        <w:rPr>
          <w:i/>
        </w:rPr>
        <w:t xml:space="preserve">Comments: The amendments to RID/ADR 4.1.6.15 planned for the 2021 revision of RID/ADR have already been </w:t>
      </w:r>
      <w:proofErr w:type="gramStart"/>
      <w:r>
        <w:rPr>
          <w:i/>
        </w:rPr>
        <w:t>taken into account</w:t>
      </w:r>
      <w:proofErr w:type="gramEnd"/>
      <w:r>
        <w:rPr>
          <w:i/>
        </w:rPr>
        <w:t>.</w:t>
      </w:r>
    </w:p>
    <w:p w:rsidR="00C6303A" w:rsidRDefault="00C6303A" w:rsidP="00323E91">
      <w:pPr>
        <w:tabs>
          <w:tab w:val="left" w:pos="1418"/>
          <w:tab w:val="left" w:pos="2977"/>
          <w:tab w:val="left" w:pos="4395"/>
        </w:tabs>
        <w:ind w:left="1134" w:right="1134" w:firstLine="1"/>
        <w:jc w:val="both"/>
        <w:rPr>
          <w:i/>
        </w:rPr>
      </w:pPr>
      <w:r>
        <w:rPr>
          <w:i/>
        </w:rPr>
        <w:t xml:space="preserve">Amended and new texts are shown in </w:t>
      </w:r>
      <w:r>
        <w:rPr>
          <w:i/>
          <w:color w:val="FF0000"/>
        </w:rPr>
        <w:t xml:space="preserve">red </w:t>
      </w:r>
      <w:r>
        <w:rPr>
          <w:i/>
        </w:rPr>
        <w:t xml:space="preserve">and are </w:t>
      </w:r>
      <w:r>
        <w:rPr>
          <w:i/>
          <w:u w:val="single"/>
        </w:rPr>
        <w:t>underlined</w:t>
      </w:r>
      <w:r>
        <w:rPr>
          <w:i/>
        </w:rPr>
        <w:t>.</w:t>
      </w:r>
    </w:p>
    <w:p w:rsidR="00323E91" w:rsidRDefault="00323E91" w:rsidP="00323E91">
      <w:pPr>
        <w:tabs>
          <w:tab w:val="left" w:pos="1418"/>
          <w:tab w:val="left" w:pos="2977"/>
          <w:tab w:val="left" w:pos="4395"/>
        </w:tabs>
        <w:ind w:left="1134" w:right="1134" w:firstLine="1"/>
        <w:jc w:val="both"/>
        <w:rPr>
          <w:i/>
        </w:rPr>
      </w:pPr>
    </w:p>
    <w:p w:rsidR="00323E91" w:rsidRPr="005F77A3" w:rsidRDefault="00323E91" w:rsidP="00323E91">
      <w:pPr>
        <w:tabs>
          <w:tab w:val="left" w:pos="1418"/>
          <w:tab w:val="left" w:pos="2977"/>
          <w:tab w:val="left" w:pos="4395"/>
        </w:tabs>
        <w:ind w:left="1134" w:right="1134" w:firstLine="1"/>
        <w:jc w:val="both"/>
        <w:rPr>
          <w:i/>
        </w:rPr>
      </w:pPr>
    </w:p>
    <w:p w:rsidR="00323E91" w:rsidRDefault="00323E91">
      <w:pPr>
        <w:suppressAutoHyphens w:val="0"/>
        <w:spacing w:line="240" w:lineRule="auto"/>
        <w:rPr>
          <w:i/>
        </w:rPr>
      </w:pPr>
      <w:r>
        <w:rPr>
          <w:i/>
        </w:rPr>
        <w:br w:type="page"/>
      </w:r>
    </w:p>
    <w:tbl>
      <w:tblPr>
        <w:tblW w:w="943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631"/>
        <w:gridCol w:w="5125"/>
        <w:gridCol w:w="1552"/>
      </w:tblGrid>
      <w:tr w:rsidR="00C6303A" w:rsidTr="00323E91">
        <w:tc>
          <w:tcPr>
            <w:tcW w:w="1123" w:type="dxa"/>
            <w:shd w:val="clear" w:color="auto" w:fill="auto"/>
          </w:tcPr>
          <w:p w:rsidR="00C6303A" w:rsidRPr="00DD3C5E" w:rsidRDefault="00C6303A" w:rsidP="007A1D18">
            <w:pPr>
              <w:autoSpaceDE w:val="0"/>
              <w:autoSpaceDN w:val="0"/>
              <w:adjustRightInd w:val="0"/>
              <w:rPr>
                <w:rFonts w:cs="Arial"/>
                <w:sz w:val="18"/>
                <w:szCs w:val="18"/>
              </w:rPr>
            </w:pPr>
            <w:r>
              <w:rPr>
                <w:b/>
                <w:bCs/>
                <w:sz w:val="18"/>
                <w:szCs w:val="18"/>
              </w:rPr>
              <w:lastRenderedPageBreak/>
              <w:t>Applicable paragraphs</w:t>
            </w:r>
          </w:p>
        </w:tc>
        <w:tc>
          <w:tcPr>
            <w:tcW w:w="1631" w:type="dxa"/>
            <w:shd w:val="clear" w:color="auto" w:fill="auto"/>
          </w:tcPr>
          <w:p w:rsidR="00C6303A" w:rsidRPr="00DD3C5E" w:rsidRDefault="00C6303A" w:rsidP="007A1D18">
            <w:pPr>
              <w:tabs>
                <w:tab w:val="left" w:pos="1418"/>
                <w:tab w:val="left" w:pos="2977"/>
                <w:tab w:val="left" w:pos="4395"/>
              </w:tabs>
              <w:rPr>
                <w:rFonts w:cs="Arial"/>
                <w:sz w:val="18"/>
                <w:szCs w:val="18"/>
              </w:rPr>
            </w:pPr>
            <w:r>
              <w:rPr>
                <w:b/>
                <w:bCs/>
                <w:sz w:val="18"/>
                <w:szCs w:val="18"/>
              </w:rPr>
              <w:t>Reference</w:t>
            </w:r>
          </w:p>
        </w:tc>
        <w:tc>
          <w:tcPr>
            <w:tcW w:w="5125" w:type="dxa"/>
            <w:shd w:val="clear" w:color="auto" w:fill="auto"/>
          </w:tcPr>
          <w:p w:rsidR="00C6303A" w:rsidRPr="00DD3C5E" w:rsidRDefault="00C6303A" w:rsidP="007A1D18">
            <w:pPr>
              <w:tabs>
                <w:tab w:val="left" w:pos="1418"/>
                <w:tab w:val="left" w:pos="2977"/>
                <w:tab w:val="left" w:pos="4395"/>
              </w:tabs>
              <w:rPr>
                <w:rFonts w:cs="Arial"/>
                <w:sz w:val="18"/>
                <w:szCs w:val="18"/>
              </w:rPr>
            </w:pPr>
            <w:r>
              <w:rPr>
                <w:b/>
                <w:bCs/>
                <w:sz w:val="18"/>
                <w:szCs w:val="18"/>
              </w:rPr>
              <w:t>Document title</w:t>
            </w:r>
          </w:p>
        </w:tc>
        <w:tc>
          <w:tcPr>
            <w:tcW w:w="1552" w:type="dxa"/>
            <w:shd w:val="clear" w:color="auto" w:fill="auto"/>
          </w:tcPr>
          <w:p w:rsidR="00C6303A" w:rsidRPr="00235335" w:rsidRDefault="00C6303A" w:rsidP="007A1D18">
            <w:pPr>
              <w:tabs>
                <w:tab w:val="left" w:pos="1418"/>
                <w:tab w:val="left" w:pos="2977"/>
                <w:tab w:val="left" w:pos="4395"/>
              </w:tabs>
              <w:rPr>
                <w:rFonts w:cs="Arial"/>
                <w:b/>
                <w:color w:val="FF0000"/>
                <w:sz w:val="18"/>
                <w:szCs w:val="18"/>
                <w:u w:val="single"/>
              </w:rPr>
            </w:pPr>
            <w:r>
              <w:rPr>
                <w:b/>
                <w:color w:val="FF0000"/>
                <w:sz w:val="18"/>
                <w:szCs w:val="18"/>
                <w:u w:val="single"/>
              </w:rPr>
              <w:t>Applicable to manufacturing</w:t>
            </w:r>
          </w:p>
        </w:tc>
      </w:tr>
      <w:tr w:rsidR="00C6303A" w:rsidTr="00323E91">
        <w:tc>
          <w:tcPr>
            <w:tcW w:w="1123" w:type="dxa"/>
            <w:vMerge w:val="restart"/>
            <w:shd w:val="clear" w:color="auto" w:fill="auto"/>
          </w:tcPr>
          <w:p w:rsidR="00C6303A" w:rsidRPr="00514CD5" w:rsidRDefault="00C6303A" w:rsidP="007A1D18">
            <w:pPr>
              <w:tabs>
                <w:tab w:val="left" w:pos="1418"/>
                <w:tab w:val="left" w:pos="2977"/>
                <w:tab w:val="left" w:pos="4395"/>
              </w:tabs>
              <w:rPr>
                <w:rFonts w:cs="Arial"/>
              </w:rPr>
            </w:pPr>
            <w:r>
              <w:rPr>
                <w:sz w:val="18"/>
                <w:szCs w:val="18"/>
              </w:rPr>
              <w:t>4.1.6.2</w:t>
            </w:r>
          </w:p>
        </w:tc>
        <w:tc>
          <w:tcPr>
            <w:tcW w:w="1631" w:type="dxa"/>
            <w:shd w:val="clear" w:color="auto" w:fill="auto"/>
          </w:tcPr>
          <w:p w:rsidR="00C6303A" w:rsidRPr="00514CD5" w:rsidRDefault="00C6303A" w:rsidP="007A1D18">
            <w:pPr>
              <w:autoSpaceDE w:val="0"/>
              <w:autoSpaceDN w:val="0"/>
              <w:adjustRightInd w:val="0"/>
              <w:rPr>
                <w:rFonts w:cs="Arial"/>
                <w:sz w:val="18"/>
                <w:szCs w:val="18"/>
              </w:rPr>
            </w:pPr>
            <w:r>
              <w:rPr>
                <w:sz w:val="18"/>
                <w:szCs w:val="18"/>
              </w:rPr>
              <w:t>EN ISO 11114-</w:t>
            </w:r>
          </w:p>
          <w:p w:rsidR="00C6303A" w:rsidRPr="00514CD5" w:rsidRDefault="00C6303A" w:rsidP="007A1D18">
            <w:pPr>
              <w:autoSpaceDE w:val="0"/>
              <w:autoSpaceDN w:val="0"/>
              <w:adjustRightInd w:val="0"/>
              <w:rPr>
                <w:rFonts w:cs="Arial"/>
                <w:sz w:val="18"/>
                <w:szCs w:val="18"/>
              </w:rPr>
            </w:pPr>
            <w:r>
              <w:rPr>
                <w:sz w:val="18"/>
                <w:szCs w:val="18"/>
              </w:rPr>
              <w:t>1:2012 +</w:t>
            </w:r>
          </w:p>
          <w:p w:rsidR="00C6303A" w:rsidRPr="00514CD5" w:rsidRDefault="00C6303A" w:rsidP="007A1D18">
            <w:pPr>
              <w:tabs>
                <w:tab w:val="left" w:pos="1418"/>
                <w:tab w:val="left" w:pos="2977"/>
                <w:tab w:val="left" w:pos="4395"/>
              </w:tabs>
              <w:rPr>
                <w:rFonts w:cs="Arial"/>
              </w:rPr>
            </w:pPr>
            <w:r>
              <w:rPr>
                <w:sz w:val="18"/>
                <w:szCs w:val="18"/>
              </w:rPr>
              <w:t>A1:2017</w:t>
            </w:r>
          </w:p>
        </w:tc>
        <w:tc>
          <w:tcPr>
            <w:tcW w:w="5125" w:type="dxa"/>
            <w:shd w:val="clear" w:color="auto" w:fill="auto"/>
          </w:tcPr>
          <w:p w:rsidR="00C6303A" w:rsidRPr="00514CD5" w:rsidRDefault="00C6303A" w:rsidP="007A1D18">
            <w:pPr>
              <w:autoSpaceDE w:val="0"/>
              <w:autoSpaceDN w:val="0"/>
              <w:adjustRightInd w:val="0"/>
              <w:rPr>
                <w:rFonts w:cs="Arial"/>
              </w:rPr>
            </w:pPr>
            <w:r>
              <w:rPr>
                <w:sz w:val="18"/>
                <w:szCs w:val="18"/>
              </w:rPr>
              <w:t>Gas cylinders – Compatibility of cylinder and valve materials with gas contents – Part 1: Metallic Materials</w:t>
            </w:r>
          </w:p>
        </w:tc>
        <w:tc>
          <w:tcPr>
            <w:tcW w:w="1552" w:type="dxa"/>
            <w:shd w:val="clear" w:color="auto" w:fill="auto"/>
          </w:tcPr>
          <w:p w:rsidR="00C6303A" w:rsidRPr="00724A21" w:rsidRDefault="00C6303A" w:rsidP="007A1D18">
            <w:pPr>
              <w:autoSpaceDE w:val="0"/>
              <w:autoSpaceDN w:val="0"/>
              <w:adjustRightInd w:val="0"/>
              <w:rPr>
                <w:rFonts w:cs="Arial"/>
                <w:color w:val="FF0000"/>
                <w:sz w:val="18"/>
                <w:szCs w:val="18"/>
                <w:u w:val="single"/>
              </w:rPr>
            </w:pPr>
            <w:r>
              <w:rPr>
                <w:color w:val="FF0000"/>
                <w:sz w:val="18"/>
                <w:szCs w:val="18"/>
                <w:u w:val="single"/>
              </w:rPr>
              <w:t>–</w:t>
            </w:r>
          </w:p>
        </w:tc>
      </w:tr>
      <w:tr w:rsidR="00C6303A" w:rsidTr="00323E91">
        <w:tc>
          <w:tcPr>
            <w:tcW w:w="1123" w:type="dxa"/>
            <w:vMerge/>
            <w:shd w:val="clear" w:color="auto" w:fill="auto"/>
          </w:tcPr>
          <w:p w:rsidR="00C6303A" w:rsidRPr="00514CD5" w:rsidRDefault="00C6303A" w:rsidP="007A1D18">
            <w:pPr>
              <w:tabs>
                <w:tab w:val="left" w:pos="1418"/>
                <w:tab w:val="left" w:pos="2977"/>
                <w:tab w:val="left" w:pos="4395"/>
              </w:tabs>
              <w:rPr>
                <w:rFonts w:cs="Arial"/>
              </w:rPr>
            </w:pPr>
          </w:p>
        </w:tc>
        <w:tc>
          <w:tcPr>
            <w:tcW w:w="1631" w:type="dxa"/>
            <w:shd w:val="clear" w:color="auto" w:fill="auto"/>
          </w:tcPr>
          <w:p w:rsidR="00C6303A" w:rsidRPr="00514CD5" w:rsidRDefault="00C6303A" w:rsidP="007A1D18">
            <w:pPr>
              <w:autoSpaceDE w:val="0"/>
              <w:autoSpaceDN w:val="0"/>
              <w:adjustRightInd w:val="0"/>
              <w:rPr>
                <w:rFonts w:cs="Arial"/>
              </w:rPr>
            </w:pPr>
            <w:r>
              <w:rPr>
                <w:sz w:val="18"/>
                <w:szCs w:val="18"/>
              </w:rPr>
              <w:t>EN ISO 11114-2:2013</w:t>
            </w:r>
          </w:p>
        </w:tc>
        <w:tc>
          <w:tcPr>
            <w:tcW w:w="5125" w:type="dxa"/>
            <w:shd w:val="clear" w:color="auto" w:fill="auto"/>
          </w:tcPr>
          <w:p w:rsidR="00C6303A" w:rsidRPr="00514CD5" w:rsidRDefault="00C6303A" w:rsidP="007A1D18">
            <w:pPr>
              <w:autoSpaceDE w:val="0"/>
              <w:autoSpaceDN w:val="0"/>
              <w:adjustRightInd w:val="0"/>
              <w:rPr>
                <w:rFonts w:cs="Arial"/>
              </w:rPr>
            </w:pPr>
            <w:r>
              <w:rPr>
                <w:sz w:val="18"/>
                <w:szCs w:val="18"/>
              </w:rPr>
              <w:t>Gas cylinders – Compatibility of cylinder and valve materials with gas contents – Part 2: Non-metallic Materials</w:t>
            </w:r>
          </w:p>
        </w:tc>
        <w:tc>
          <w:tcPr>
            <w:tcW w:w="1552" w:type="dxa"/>
            <w:shd w:val="clear" w:color="auto" w:fill="auto"/>
          </w:tcPr>
          <w:p w:rsidR="00C6303A" w:rsidRPr="00724A21" w:rsidRDefault="00C6303A" w:rsidP="007A1D18">
            <w:pPr>
              <w:autoSpaceDE w:val="0"/>
              <w:autoSpaceDN w:val="0"/>
              <w:adjustRightInd w:val="0"/>
              <w:rPr>
                <w:rFonts w:cs="Arial"/>
                <w:color w:val="FF0000"/>
                <w:sz w:val="18"/>
                <w:szCs w:val="18"/>
                <w:u w:val="single"/>
              </w:rPr>
            </w:pPr>
            <w:r>
              <w:rPr>
                <w:color w:val="FF0000"/>
                <w:sz w:val="18"/>
                <w:szCs w:val="18"/>
                <w:u w:val="single"/>
              </w:rPr>
              <w:t>–</w:t>
            </w:r>
          </w:p>
        </w:tc>
      </w:tr>
      <w:tr w:rsidR="00C6303A" w:rsidTr="00323E91">
        <w:tc>
          <w:tcPr>
            <w:tcW w:w="1123" w:type="dxa"/>
            <w:shd w:val="clear" w:color="auto" w:fill="auto"/>
          </w:tcPr>
          <w:p w:rsidR="00C6303A" w:rsidRPr="00514CD5" w:rsidRDefault="00C6303A" w:rsidP="007A1D18">
            <w:pPr>
              <w:tabs>
                <w:tab w:val="left" w:pos="1418"/>
                <w:tab w:val="left" w:pos="2977"/>
                <w:tab w:val="left" w:pos="4395"/>
              </w:tabs>
              <w:rPr>
                <w:rFonts w:cs="Arial"/>
              </w:rPr>
            </w:pPr>
            <w:r>
              <w:rPr>
                <w:sz w:val="18"/>
                <w:szCs w:val="18"/>
              </w:rPr>
              <w:t>4.1.6.4</w:t>
            </w:r>
          </w:p>
        </w:tc>
        <w:tc>
          <w:tcPr>
            <w:tcW w:w="1631" w:type="dxa"/>
            <w:shd w:val="clear" w:color="auto" w:fill="auto"/>
          </w:tcPr>
          <w:p w:rsidR="00C6303A" w:rsidRDefault="00C6303A" w:rsidP="007A1D18">
            <w:pPr>
              <w:tabs>
                <w:tab w:val="left" w:pos="1418"/>
                <w:tab w:val="left" w:pos="2977"/>
                <w:tab w:val="left" w:pos="4395"/>
              </w:tabs>
              <w:rPr>
                <w:rFonts w:cs="Arial"/>
                <w:sz w:val="18"/>
                <w:szCs w:val="18"/>
              </w:rPr>
            </w:pPr>
            <w:r>
              <w:rPr>
                <w:sz w:val="18"/>
                <w:szCs w:val="18"/>
              </w:rPr>
              <w:t>either:</w:t>
            </w:r>
          </w:p>
          <w:p w:rsidR="00C6303A" w:rsidRPr="00514CD5" w:rsidRDefault="00C6303A" w:rsidP="007A1D18">
            <w:pPr>
              <w:tabs>
                <w:tab w:val="left" w:pos="1418"/>
                <w:tab w:val="left" w:pos="2977"/>
                <w:tab w:val="left" w:pos="4395"/>
              </w:tabs>
              <w:rPr>
                <w:rFonts w:cs="Arial"/>
              </w:rPr>
            </w:pPr>
            <w:r>
              <w:rPr>
                <w:sz w:val="18"/>
                <w:szCs w:val="18"/>
              </w:rPr>
              <w:t>ISO 11621:1997 or EN ISO 11621:2005</w:t>
            </w:r>
          </w:p>
        </w:tc>
        <w:tc>
          <w:tcPr>
            <w:tcW w:w="5125" w:type="dxa"/>
            <w:shd w:val="clear" w:color="auto" w:fill="auto"/>
          </w:tcPr>
          <w:p w:rsidR="00C6303A" w:rsidRPr="00107E18" w:rsidRDefault="00C6303A" w:rsidP="007A1D18">
            <w:pPr>
              <w:autoSpaceDE w:val="0"/>
              <w:autoSpaceDN w:val="0"/>
              <w:adjustRightInd w:val="0"/>
              <w:rPr>
                <w:rFonts w:cs="Arial"/>
                <w:sz w:val="18"/>
                <w:szCs w:val="18"/>
              </w:rPr>
            </w:pPr>
            <w:r>
              <w:rPr>
                <w:sz w:val="18"/>
                <w:szCs w:val="18"/>
              </w:rPr>
              <w:t>Gas cylinders – Procedures for change of gas service</w:t>
            </w:r>
          </w:p>
        </w:tc>
        <w:tc>
          <w:tcPr>
            <w:tcW w:w="1552" w:type="dxa"/>
            <w:shd w:val="clear" w:color="auto" w:fill="auto"/>
          </w:tcPr>
          <w:p w:rsidR="00C6303A" w:rsidRPr="00724A21" w:rsidRDefault="00C6303A" w:rsidP="007A1D18">
            <w:pPr>
              <w:autoSpaceDE w:val="0"/>
              <w:autoSpaceDN w:val="0"/>
              <w:adjustRightInd w:val="0"/>
              <w:rPr>
                <w:rFonts w:cs="Arial"/>
                <w:color w:val="FF0000"/>
                <w:sz w:val="18"/>
                <w:szCs w:val="18"/>
                <w:u w:val="single"/>
              </w:rPr>
            </w:pPr>
            <w:r>
              <w:rPr>
                <w:color w:val="FF0000"/>
                <w:sz w:val="18"/>
                <w:szCs w:val="18"/>
                <w:u w:val="single"/>
              </w:rPr>
              <w:t>–</w:t>
            </w:r>
          </w:p>
        </w:tc>
      </w:tr>
      <w:tr w:rsidR="00C6303A" w:rsidTr="00323E91">
        <w:tc>
          <w:tcPr>
            <w:tcW w:w="1123" w:type="dxa"/>
            <w:vMerge w:val="restart"/>
            <w:shd w:val="clear" w:color="auto" w:fill="auto"/>
          </w:tcPr>
          <w:p w:rsidR="00C6303A" w:rsidRPr="00514CD5" w:rsidRDefault="00C6303A" w:rsidP="007A1D18">
            <w:pPr>
              <w:autoSpaceDE w:val="0"/>
              <w:autoSpaceDN w:val="0"/>
              <w:adjustRightInd w:val="0"/>
              <w:rPr>
                <w:rFonts w:cs="Arial"/>
              </w:rPr>
            </w:pPr>
            <w:r>
              <w:rPr>
                <w:sz w:val="18"/>
                <w:szCs w:val="18"/>
              </w:rPr>
              <w:t>4.1.6.8 Valves with inherent protection</w:t>
            </w:r>
          </w:p>
        </w:tc>
        <w:tc>
          <w:tcPr>
            <w:tcW w:w="1631" w:type="dxa"/>
            <w:shd w:val="clear" w:color="auto" w:fill="auto"/>
          </w:tcPr>
          <w:p w:rsidR="00C6303A" w:rsidRPr="005C504D" w:rsidRDefault="00C6303A" w:rsidP="007A1D18">
            <w:pPr>
              <w:autoSpaceDE w:val="0"/>
              <w:autoSpaceDN w:val="0"/>
              <w:adjustRightInd w:val="0"/>
              <w:rPr>
                <w:rFonts w:cs="Arial"/>
                <w:strike/>
                <w:color w:val="FF0000"/>
                <w:sz w:val="18"/>
                <w:szCs w:val="18"/>
                <w:u w:val="single"/>
              </w:rPr>
            </w:pPr>
            <w:r>
              <w:rPr>
                <w:strike/>
                <w:color w:val="FF0000"/>
                <w:sz w:val="18"/>
                <w:szCs w:val="18"/>
                <w:u w:val="single"/>
              </w:rPr>
              <w:t>Annex A</w:t>
            </w:r>
          </w:p>
          <w:p w:rsidR="00C6303A" w:rsidRPr="00514CD5" w:rsidRDefault="00C6303A" w:rsidP="007A1D18">
            <w:pPr>
              <w:autoSpaceDE w:val="0"/>
              <w:autoSpaceDN w:val="0"/>
              <w:adjustRightInd w:val="0"/>
              <w:rPr>
                <w:rFonts w:cs="Arial"/>
                <w:sz w:val="18"/>
                <w:szCs w:val="18"/>
              </w:rPr>
            </w:pPr>
            <w:r>
              <w:rPr>
                <w:color w:val="FF0000"/>
                <w:sz w:val="18"/>
                <w:szCs w:val="18"/>
                <w:u w:val="single"/>
              </w:rPr>
              <w:t>Paragraph 4.6.2</w:t>
            </w:r>
            <w:r>
              <w:rPr>
                <w:sz w:val="18"/>
                <w:szCs w:val="18"/>
              </w:rPr>
              <w:t xml:space="preserve"> of EN ISO 10297:2006 or</w:t>
            </w:r>
          </w:p>
          <w:p w:rsidR="00C6303A" w:rsidRPr="005C504D" w:rsidRDefault="00C6303A" w:rsidP="007A1D18">
            <w:pPr>
              <w:autoSpaceDE w:val="0"/>
              <w:autoSpaceDN w:val="0"/>
              <w:adjustRightInd w:val="0"/>
              <w:rPr>
                <w:rFonts w:cs="Arial"/>
                <w:strike/>
                <w:color w:val="FF0000"/>
                <w:sz w:val="18"/>
                <w:szCs w:val="18"/>
                <w:u w:val="single"/>
              </w:rPr>
            </w:pPr>
            <w:r>
              <w:rPr>
                <w:strike/>
                <w:color w:val="FF0000"/>
                <w:sz w:val="18"/>
                <w:szCs w:val="18"/>
                <w:u w:val="single"/>
              </w:rPr>
              <w:t>Annex A</w:t>
            </w:r>
          </w:p>
          <w:p w:rsidR="00C6303A" w:rsidRPr="00514CD5" w:rsidRDefault="00C6303A" w:rsidP="007A1D18">
            <w:pPr>
              <w:autoSpaceDE w:val="0"/>
              <w:autoSpaceDN w:val="0"/>
              <w:adjustRightInd w:val="0"/>
              <w:rPr>
                <w:rFonts w:cs="Arial"/>
                <w:sz w:val="18"/>
                <w:szCs w:val="18"/>
              </w:rPr>
            </w:pPr>
            <w:r>
              <w:rPr>
                <w:color w:val="FF0000"/>
                <w:sz w:val="18"/>
                <w:szCs w:val="18"/>
                <w:u w:val="single"/>
              </w:rPr>
              <w:t>paragraph 5.5.2</w:t>
            </w:r>
            <w:r>
              <w:rPr>
                <w:color w:val="FF0000"/>
                <w:sz w:val="18"/>
                <w:szCs w:val="18"/>
              </w:rPr>
              <w:t xml:space="preserve"> </w:t>
            </w:r>
            <w:r>
              <w:rPr>
                <w:sz w:val="18"/>
                <w:szCs w:val="18"/>
              </w:rPr>
              <w:t>of EN ISO</w:t>
            </w:r>
          </w:p>
          <w:p w:rsidR="00C6303A" w:rsidRPr="00514CD5" w:rsidRDefault="00C6303A" w:rsidP="007A1D18">
            <w:pPr>
              <w:autoSpaceDE w:val="0"/>
              <w:autoSpaceDN w:val="0"/>
              <w:adjustRightInd w:val="0"/>
              <w:rPr>
                <w:rFonts w:cs="Arial"/>
                <w:sz w:val="18"/>
                <w:szCs w:val="18"/>
              </w:rPr>
            </w:pPr>
            <w:r>
              <w:rPr>
                <w:sz w:val="18"/>
                <w:szCs w:val="18"/>
              </w:rPr>
              <w:t>10297:2014 or</w:t>
            </w:r>
          </w:p>
          <w:p w:rsidR="00C6303A" w:rsidRPr="00043BEF" w:rsidRDefault="00C6303A" w:rsidP="007A1D18">
            <w:pPr>
              <w:autoSpaceDE w:val="0"/>
              <w:autoSpaceDN w:val="0"/>
              <w:adjustRightInd w:val="0"/>
              <w:rPr>
                <w:rFonts w:cs="Arial"/>
                <w:strike/>
                <w:color w:val="FF0000"/>
                <w:sz w:val="18"/>
                <w:szCs w:val="18"/>
                <w:u w:val="single"/>
              </w:rPr>
            </w:pPr>
            <w:r>
              <w:rPr>
                <w:strike/>
                <w:color w:val="FF0000"/>
                <w:sz w:val="18"/>
                <w:szCs w:val="18"/>
                <w:u w:val="single"/>
              </w:rPr>
              <w:t>Annex A</w:t>
            </w:r>
          </w:p>
          <w:p w:rsidR="00C6303A" w:rsidRPr="00514CD5" w:rsidRDefault="00C6303A" w:rsidP="007A1D18">
            <w:pPr>
              <w:autoSpaceDE w:val="0"/>
              <w:autoSpaceDN w:val="0"/>
              <w:adjustRightInd w:val="0"/>
              <w:rPr>
                <w:rFonts w:cs="Arial"/>
              </w:rPr>
            </w:pPr>
            <w:r>
              <w:rPr>
                <w:color w:val="FF0000"/>
                <w:sz w:val="18"/>
                <w:szCs w:val="18"/>
                <w:u w:val="single"/>
              </w:rPr>
              <w:t>paragraph 5.5.2</w:t>
            </w:r>
            <w:r>
              <w:rPr>
                <w:color w:val="FF0000"/>
                <w:sz w:val="18"/>
                <w:szCs w:val="18"/>
              </w:rPr>
              <w:t xml:space="preserve"> </w:t>
            </w:r>
            <w:r>
              <w:rPr>
                <w:sz w:val="18"/>
                <w:szCs w:val="18"/>
              </w:rPr>
              <w:t>of EN ISO 10297:2014 + A1:2017</w:t>
            </w:r>
          </w:p>
        </w:tc>
        <w:tc>
          <w:tcPr>
            <w:tcW w:w="5125" w:type="dxa"/>
            <w:shd w:val="clear" w:color="auto" w:fill="auto"/>
          </w:tcPr>
          <w:p w:rsidR="00C6303A" w:rsidRPr="00240126" w:rsidRDefault="00C6303A" w:rsidP="007A1D18">
            <w:pPr>
              <w:autoSpaceDE w:val="0"/>
              <w:autoSpaceDN w:val="0"/>
              <w:adjustRightInd w:val="0"/>
              <w:rPr>
                <w:rFonts w:cs="Arial"/>
                <w:sz w:val="18"/>
                <w:szCs w:val="18"/>
              </w:rPr>
            </w:pPr>
            <w:r>
              <w:rPr>
                <w:sz w:val="18"/>
                <w:szCs w:val="18"/>
              </w:rPr>
              <w:t>Gas cylinder – Refillable gas cylinder valves – Specification and type testing</w:t>
            </w:r>
          </w:p>
        </w:tc>
        <w:tc>
          <w:tcPr>
            <w:tcW w:w="1552" w:type="dxa"/>
            <w:shd w:val="clear" w:color="auto" w:fill="auto"/>
          </w:tcPr>
          <w:p w:rsidR="00C6303A" w:rsidRPr="000F57BE" w:rsidRDefault="00C6303A" w:rsidP="007A1D18">
            <w:pPr>
              <w:autoSpaceDE w:val="0"/>
              <w:autoSpaceDN w:val="0"/>
              <w:adjustRightInd w:val="0"/>
              <w:rPr>
                <w:rFonts w:cs="Arial"/>
                <w:color w:val="FF0000"/>
                <w:u w:val="single"/>
              </w:rPr>
            </w:pPr>
            <w:r>
              <w:rPr>
                <w:color w:val="FF0000"/>
                <w:sz w:val="18"/>
                <w:szCs w:val="18"/>
                <w:u w:val="single"/>
              </w:rPr>
              <w:t>See 6.2.4.1</w:t>
            </w:r>
          </w:p>
        </w:tc>
      </w:tr>
      <w:tr w:rsidR="00C6303A" w:rsidTr="00323E91">
        <w:tc>
          <w:tcPr>
            <w:tcW w:w="1123" w:type="dxa"/>
            <w:vMerge/>
            <w:shd w:val="clear" w:color="auto" w:fill="auto"/>
          </w:tcPr>
          <w:p w:rsidR="00C6303A" w:rsidRPr="00514CD5" w:rsidRDefault="00C6303A" w:rsidP="007A1D18">
            <w:pPr>
              <w:tabs>
                <w:tab w:val="left" w:pos="1418"/>
                <w:tab w:val="left" w:pos="2977"/>
                <w:tab w:val="left" w:pos="4395"/>
              </w:tabs>
              <w:rPr>
                <w:rFonts w:cs="Arial"/>
              </w:rPr>
            </w:pPr>
          </w:p>
        </w:tc>
        <w:tc>
          <w:tcPr>
            <w:tcW w:w="1631" w:type="dxa"/>
            <w:shd w:val="clear" w:color="auto" w:fill="auto"/>
          </w:tcPr>
          <w:p w:rsidR="00C6303A" w:rsidRPr="00514CD5" w:rsidRDefault="00C6303A" w:rsidP="007A1D18">
            <w:pPr>
              <w:autoSpaceDE w:val="0"/>
              <w:autoSpaceDN w:val="0"/>
              <w:adjustRightInd w:val="0"/>
              <w:rPr>
                <w:rFonts w:cs="Arial"/>
                <w:sz w:val="18"/>
                <w:szCs w:val="18"/>
              </w:rPr>
            </w:pPr>
            <w:r>
              <w:rPr>
                <w:color w:val="FF0000"/>
                <w:sz w:val="18"/>
                <w:szCs w:val="18"/>
                <w:u w:val="single"/>
              </w:rPr>
              <w:t>Paragraph 5.3.8 of</w:t>
            </w:r>
            <w:r>
              <w:rPr>
                <w:sz w:val="18"/>
                <w:szCs w:val="18"/>
              </w:rPr>
              <w:t xml:space="preserve"> EN 13152:2001 +</w:t>
            </w:r>
          </w:p>
          <w:p w:rsidR="00C6303A" w:rsidRPr="00514CD5" w:rsidRDefault="00C6303A" w:rsidP="007A1D18">
            <w:pPr>
              <w:tabs>
                <w:tab w:val="left" w:pos="1418"/>
                <w:tab w:val="left" w:pos="2977"/>
                <w:tab w:val="left" w:pos="4395"/>
              </w:tabs>
              <w:rPr>
                <w:rFonts w:cs="Arial"/>
              </w:rPr>
            </w:pPr>
            <w:r>
              <w:rPr>
                <w:sz w:val="18"/>
                <w:szCs w:val="18"/>
              </w:rPr>
              <w:t>A1:2003</w:t>
            </w:r>
          </w:p>
        </w:tc>
        <w:tc>
          <w:tcPr>
            <w:tcW w:w="5125" w:type="dxa"/>
            <w:shd w:val="clear" w:color="auto" w:fill="auto"/>
          </w:tcPr>
          <w:p w:rsidR="00C6303A" w:rsidRPr="00514CD5" w:rsidRDefault="00C6303A" w:rsidP="007A1D18">
            <w:pPr>
              <w:autoSpaceDE w:val="0"/>
              <w:autoSpaceDN w:val="0"/>
              <w:adjustRightInd w:val="0"/>
              <w:rPr>
                <w:rFonts w:cs="Arial"/>
                <w:sz w:val="18"/>
                <w:szCs w:val="18"/>
              </w:rPr>
            </w:pPr>
            <w:r>
              <w:rPr>
                <w:sz w:val="18"/>
                <w:szCs w:val="18"/>
              </w:rPr>
              <w:t>Testing and specifications of LPG</w:t>
            </w:r>
          </w:p>
          <w:p w:rsidR="00C6303A" w:rsidRPr="00514CD5" w:rsidRDefault="00C6303A" w:rsidP="007A1D18">
            <w:pPr>
              <w:tabs>
                <w:tab w:val="left" w:pos="1418"/>
                <w:tab w:val="left" w:pos="2977"/>
                <w:tab w:val="left" w:pos="4395"/>
              </w:tabs>
              <w:rPr>
                <w:rFonts w:cs="Arial"/>
              </w:rPr>
            </w:pPr>
            <w:r>
              <w:rPr>
                <w:sz w:val="18"/>
                <w:szCs w:val="18"/>
              </w:rPr>
              <w:t>cylinder valves – self closing</w:t>
            </w:r>
          </w:p>
        </w:tc>
        <w:tc>
          <w:tcPr>
            <w:tcW w:w="1552" w:type="dxa"/>
            <w:shd w:val="clear" w:color="auto" w:fill="auto"/>
          </w:tcPr>
          <w:p w:rsidR="00C6303A" w:rsidRPr="000F57BE" w:rsidRDefault="00C6303A" w:rsidP="007A1D18">
            <w:pPr>
              <w:tabs>
                <w:tab w:val="left" w:pos="1418"/>
                <w:tab w:val="left" w:pos="2977"/>
                <w:tab w:val="left" w:pos="4395"/>
              </w:tabs>
              <w:rPr>
                <w:rFonts w:cs="Arial"/>
                <w:color w:val="FF0000"/>
                <w:u w:val="single"/>
              </w:rPr>
            </w:pPr>
            <w:r>
              <w:rPr>
                <w:color w:val="FF0000"/>
                <w:sz w:val="18"/>
                <w:szCs w:val="18"/>
                <w:u w:val="single"/>
              </w:rPr>
              <w:t>See 6.2.4.1</w:t>
            </w:r>
          </w:p>
        </w:tc>
      </w:tr>
      <w:tr w:rsidR="00C6303A" w:rsidTr="00323E91">
        <w:tc>
          <w:tcPr>
            <w:tcW w:w="1123" w:type="dxa"/>
            <w:vMerge/>
            <w:shd w:val="clear" w:color="auto" w:fill="auto"/>
          </w:tcPr>
          <w:p w:rsidR="00C6303A" w:rsidRPr="00514CD5" w:rsidRDefault="00C6303A" w:rsidP="007A1D18">
            <w:pPr>
              <w:tabs>
                <w:tab w:val="left" w:pos="1418"/>
                <w:tab w:val="left" w:pos="2977"/>
                <w:tab w:val="left" w:pos="4395"/>
              </w:tabs>
              <w:rPr>
                <w:rFonts w:cs="Arial"/>
              </w:rPr>
            </w:pPr>
          </w:p>
        </w:tc>
        <w:tc>
          <w:tcPr>
            <w:tcW w:w="1631" w:type="dxa"/>
            <w:shd w:val="clear" w:color="auto" w:fill="auto"/>
          </w:tcPr>
          <w:p w:rsidR="00C6303A" w:rsidRPr="00514CD5" w:rsidRDefault="00C6303A" w:rsidP="007A1D18">
            <w:pPr>
              <w:autoSpaceDE w:val="0"/>
              <w:autoSpaceDN w:val="0"/>
              <w:adjustRightInd w:val="0"/>
              <w:rPr>
                <w:rFonts w:cs="Arial"/>
              </w:rPr>
            </w:pPr>
            <w:r>
              <w:rPr>
                <w:color w:val="FF0000"/>
                <w:sz w:val="18"/>
                <w:szCs w:val="18"/>
                <w:u w:val="single"/>
              </w:rPr>
              <w:t>Paragraph 5.3.7 of</w:t>
            </w:r>
            <w:r>
              <w:rPr>
                <w:sz w:val="18"/>
                <w:szCs w:val="18"/>
              </w:rPr>
              <w:t xml:space="preserve"> EN 13153:2001 + A1:2003</w:t>
            </w:r>
          </w:p>
        </w:tc>
        <w:tc>
          <w:tcPr>
            <w:tcW w:w="5125" w:type="dxa"/>
            <w:shd w:val="clear" w:color="auto" w:fill="auto"/>
          </w:tcPr>
          <w:p w:rsidR="00C6303A" w:rsidRPr="00514CD5" w:rsidRDefault="00C6303A" w:rsidP="007A1D18">
            <w:pPr>
              <w:autoSpaceDE w:val="0"/>
              <w:autoSpaceDN w:val="0"/>
              <w:adjustRightInd w:val="0"/>
              <w:rPr>
                <w:rFonts w:cs="Arial"/>
                <w:sz w:val="18"/>
                <w:szCs w:val="18"/>
              </w:rPr>
            </w:pPr>
            <w:r>
              <w:rPr>
                <w:sz w:val="18"/>
                <w:szCs w:val="18"/>
              </w:rPr>
              <w:t>Specifications and testing of LPG</w:t>
            </w:r>
          </w:p>
          <w:p w:rsidR="00C6303A" w:rsidRPr="00514CD5" w:rsidRDefault="00C6303A" w:rsidP="007A1D18">
            <w:pPr>
              <w:tabs>
                <w:tab w:val="left" w:pos="1418"/>
                <w:tab w:val="left" w:pos="2977"/>
                <w:tab w:val="left" w:pos="4395"/>
              </w:tabs>
              <w:rPr>
                <w:rFonts w:cs="Arial"/>
              </w:rPr>
            </w:pPr>
            <w:r>
              <w:rPr>
                <w:sz w:val="18"/>
                <w:szCs w:val="18"/>
              </w:rPr>
              <w:t>cylinder valves – Manually operated</w:t>
            </w:r>
          </w:p>
        </w:tc>
        <w:tc>
          <w:tcPr>
            <w:tcW w:w="1552" w:type="dxa"/>
            <w:shd w:val="clear" w:color="auto" w:fill="auto"/>
          </w:tcPr>
          <w:p w:rsidR="00C6303A" w:rsidRPr="000F57BE" w:rsidRDefault="00C6303A" w:rsidP="007A1D18">
            <w:pPr>
              <w:tabs>
                <w:tab w:val="left" w:pos="1418"/>
                <w:tab w:val="left" w:pos="2977"/>
                <w:tab w:val="left" w:pos="4395"/>
              </w:tabs>
              <w:rPr>
                <w:rFonts w:cs="Arial"/>
                <w:color w:val="FF0000"/>
                <w:u w:val="single"/>
              </w:rPr>
            </w:pPr>
            <w:r>
              <w:rPr>
                <w:color w:val="FF0000"/>
                <w:sz w:val="18"/>
                <w:szCs w:val="18"/>
                <w:u w:val="single"/>
              </w:rPr>
              <w:t>See 6.2.4.1</w:t>
            </w:r>
          </w:p>
        </w:tc>
      </w:tr>
      <w:tr w:rsidR="00C6303A" w:rsidTr="00323E91">
        <w:tc>
          <w:tcPr>
            <w:tcW w:w="1123" w:type="dxa"/>
            <w:vMerge/>
            <w:shd w:val="clear" w:color="auto" w:fill="auto"/>
          </w:tcPr>
          <w:p w:rsidR="00C6303A" w:rsidRPr="00514CD5" w:rsidRDefault="00C6303A" w:rsidP="007A1D18">
            <w:pPr>
              <w:tabs>
                <w:tab w:val="left" w:pos="1418"/>
                <w:tab w:val="left" w:pos="2977"/>
                <w:tab w:val="left" w:pos="4395"/>
              </w:tabs>
              <w:rPr>
                <w:rFonts w:cs="Arial"/>
              </w:rPr>
            </w:pPr>
          </w:p>
        </w:tc>
        <w:tc>
          <w:tcPr>
            <w:tcW w:w="1631" w:type="dxa"/>
            <w:shd w:val="clear" w:color="auto" w:fill="auto"/>
          </w:tcPr>
          <w:p w:rsidR="00C6303A" w:rsidRPr="00514CD5" w:rsidRDefault="00C6303A" w:rsidP="007A1D18">
            <w:pPr>
              <w:autoSpaceDE w:val="0"/>
              <w:autoSpaceDN w:val="0"/>
              <w:adjustRightInd w:val="0"/>
              <w:rPr>
                <w:rFonts w:cs="Arial"/>
              </w:rPr>
            </w:pPr>
            <w:r>
              <w:rPr>
                <w:color w:val="FF0000"/>
                <w:sz w:val="18"/>
                <w:szCs w:val="18"/>
                <w:u w:val="single"/>
              </w:rPr>
              <w:t>Paragraph 5 9</w:t>
            </w:r>
            <w:r>
              <w:rPr>
                <w:sz w:val="18"/>
                <w:szCs w:val="18"/>
              </w:rPr>
              <w:t xml:space="preserve"> of EN ISO 14245:2010</w:t>
            </w:r>
          </w:p>
        </w:tc>
        <w:tc>
          <w:tcPr>
            <w:tcW w:w="5125" w:type="dxa"/>
            <w:shd w:val="clear" w:color="auto" w:fill="auto"/>
          </w:tcPr>
          <w:p w:rsidR="00C6303A" w:rsidRPr="00514CD5" w:rsidRDefault="00C6303A" w:rsidP="007A1D18">
            <w:pPr>
              <w:autoSpaceDE w:val="0"/>
              <w:autoSpaceDN w:val="0"/>
              <w:adjustRightInd w:val="0"/>
              <w:rPr>
                <w:rFonts w:cs="Arial"/>
              </w:rPr>
            </w:pPr>
            <w:r>
              <w:rPr>
                <w:sz w:val="18"/>
                <w:szCs w:val="18"/>
              </w:rPr>
              <w:t>Gas cylinders – Specifications and testing of LPG cylinder valves – Self closing (ISO 14245:2006)</w:t>
            </w:r>
          </w:p>
        </w:tc>
        <w:tc>
          <w:tcPr>
            <w:tcW w:w="1552" w:type="dxa"/>
            <w:shd w:val="clear" w:color="auto" w:fill="auto"/>
          </w:tcPr>
          <w:p w:rsidR="00C6303A" w:rsidRPr="000F57BE" w:rsidRDefault="00C6303A" w:rsidP="007A1D18">
            <w:pPr>
              <w:tabs>
                <w:tab w:val="left" w:pos="1418"/>
                <w:tab w:val="left" w:pos="2977"/>
                <w:tab w:val="left" w:pos="4395"/>
              </w:tabs>
              <w:rPr>
                <w:rFonts w:cs="Arial"/>
                <w:color w:val="FF0000"/>
                <w:u w:val="single"/>
              </w:rPr>
            </w:pPr>
            <w:r>
              <w:rPr>
                <w:color w:val="FF0000"/>
                <w:sz w:val="18"/>
                <w:szCs w:val="18"/>
                <w:u w:val="single"/>
              </w:rPr>
              <w:t>See 6.2.4.1</w:t>
            </w:r>
          </w:p>
        </w:tc>
      </w:tr>
      <w:tr w:rsidR="00C6303A" w:rsidTr="00323E91">
        <w:tc>
          <w:tcPr>
            <w:tcW w:w="1123" w:type="dxa"/>
            <w:vMerge/>
            <w:shd w:val="clear" w:color="auto" w:fill="auto"/>
          </w:tcPr>
          <w:p w:rsidR="00C6303A" w:rsidRDefault="00C6303A" w:rsidP="007A1D18">
            <w:pPr>
              <w:tabs>
                <w:tab w:val="left" w:pos="1418"/>
                <w:tab w:val="left" w:pos="2977"/>
                <w:tab w:val="left" w:pos="4395"/>
              </w:tabs>
            </w:pPr>
          </w:p>
        </w:tc>
        <w:tc>
          <w:tcPr>
            <w:tcW w:w="1631" w:type="dxa"/>
            <w:shd w:val="clear" w:color="auto" w:fill="auto"/>
          </w:tcPr>
          <w:p w:rsidR="00C6303A" w:rsidRPr="00514CD5" w:rsidRDefault="00C6303A" w:rsidP="007A1D18">
            <w:pPr>
              <w:autoSpaceDE w:val="0"/>
              <w:autoSpaceDN w:val="0"/>
              <w:adjustRightInd w:val="0"/>
              <w:rPr>
                <w:rFonts w:cs="Arial"/>
                <w:sz w:val="18"/>
                <w:szCs w:val="18"/>
              </w:rPr>
            </w:pPr>
            <w:r>
              <w:rPr>
                <w:color w:val="FF0000"/>
                <w:sz w:val="18"/>
                <w:szCs w:val="18"/>
                <w:u w:val="single"/>
              </w:rPr>
              <w:t>Paragraph 5.10 of</w:t>
            </w:r>
            <w:r>
              <w:rPr>
                <w:sz w:val="18"/>
                <w:szCs w:val="18"/>
              </w:rPr>
              <w:t xml:space="preserve"> EN ISO</w:t>
            </w:r>
          </w:p>
          <w:p w:rsidR="00C6303A" w:rsidRPr="00514CD5" w:rsidRDefault="00C6303A" w:rsidP="007A1D18">
            <w:pPr>
              <w:tabs>
                <w:tab w:val="left" w:pos="1418"/>
                <w:tab w:val="left" w:pos="2977"/>
                <w:tab w:val="left" w:pos="4395"/>
              </w:tabs>
              <w:rPr>
                <w:rFonts w:cs="Arial"/>
              </w:rPr>
            </w:pPr>
            <w:r>
              <w:rPr>
                <w:sz w:val="18"/>
                <w:szCs w:val="18"/>
              </w:rPr>
              <w:t>15995:2010</w:t>
            </w:r>
          </w:p>
        </w:tc>
        <w:tc>
          <w:tcPr>
            <w:tcW w:w="5125" w:type="dxa"/>
            <w:shd w:val="clear" w:color="auto" w:fill="auto"/>
          </w:tcPr>
          <w:p w:rsidR="00C6303A" w:rsidRPr="00514CD5" w:rsidRDefault="00C6303A" w:rsidP="007A1D18">
            <w:pPr>
              <w:autoSpaceDE w:val="0"/>
              <w:autoSpaceDN w:val="0"/>
              <w:adjustRightInd w:val="0"/>
              <w:rPr>
                <w:rFonts w:cs="Arial"/>
              </w:rPr>
            </w:pPr>
            <w:r>
              <w:rPr>
                <w:sz w:val="18"/>
                <w:szCs w:val="18"/>
              </w:rPr>
              <w:t>Gas cylinders – Specifications and testing of LPG cylinder valves – Manually operated (ISO 15995:2006)</w:t>
            </w:r>
          </w:p>
        </w:tc>
        <w:tc>
          <w:tcPr>
            <w:tcW w:w="1552" w:type="dxa"/>
            <w:shd w:val="clear" w:color="auto" w:fill="auto"/>
          </w:tcPr>
          <w:p w:rsidR="00C6303A" w:rsidRPr="000F57BE" w:rsidRDefault="00C6303A" w:rsidP="007A1D18">
            <w:pPr>
              <w:tabs>
                <w:tab w:val="left" w:pos="1418"/>
                <w:tab w:val="left" w:pos="2977"/>
                <w:tab w:val="left" w:pos="4395"/>
              </w:tabs>
              <w:rPr>
                <w:rFonts w:cs="Arial"/>
                <w:color w:val="FF0000"/>
                <w:u w:val="single"/>
              </w:rPr>
            </w:pPr>
            <w:r>
              <w:rPr>
                <w:color w:val="FF0000"/>
                <w:sz w:val="18"/>
                <w:szCs w:val="18"/>
                <w:u w:val="single"/>
              </w:rPr>
              <w:t>See 6.2.4.1</w:t>
            </w:r>
          </w:p>
        </w:tc>
      </w:tr>
      <w:tr w:rsidR="00C6303A" w:rsidTr="00323E91">
        <w:tc>
          <w:tcPr>
            <w:tcW w:w="1123" w:type="dxa"/>
            <w:vMerge/>
            <w:shd w:val="clear" w:color="auto" w:fill="auto"/>
          </w:tcPr>
          <w:p w:rsidR="00C6303A" w:rsidRDefault="00C6303A" w:rsidP="007A1D18">
            <w:pPr>
              <w:tabs>
                <w:tab w:val="left" w:pos="1418"/>
                <w:tab w:val="left" w:pos="2977"/>
                <w:tab w:val="left" w:pos="4395"/>
              </w:tabs>
            </w:pPr>
          </w:p>
        </w:tc>
        <w:tc>
          <w:tcPr>
            <w:tcW w:w="1631" w:type="dxa"/>
            <w:shd w:val="clear" w:color="auto" w:fill="auto"/>
          </w:tcPr>
          <w:p w:rsidR="00C6303A" w:rsidRPr="00514CD5" w:rsidRDefault="00C6303A" w:rsidP="007A1D18">
            <w:pPr>
              <w:autoSpaceDE w:val="0"/>
              <w:autoSpaceDN w:val="0"/>
              <w:adjustRightInd w:val="0"/>
              <w:rPr>
                <w:rFonts w:cs="Arial"/>
              </w:rPr>
            </w:pPr>
            <w:r>
              <w:rPr>
                <w:color w:val="FF0000"/>
                <w:sz w:val="18"/>
                <w:szCs w:val="18"/>
                <w:u w:val="single"/>
              </w:rPr>
              <w:t>Paragraph 5.4.2 of</w:t>
            </w:r>
            <w:r>
              <w:rPr>
                <w:color w:val="FF0000"/>
                <w:sz w:val="18"/>
                <w:szCs w:val="18"/>
              </w:rPr>
              <w:t xml:space="preserve"> </w:t>
            </w:r>
            <w:r>
              <w:rPr>
                <w:sz w:val="18"/>
                <w:szCs w:val="18"/>
              </w:rPr>
              <w:t>EN ISO 17879:2017</w:t>
            </w:r>
          </w:p>
        </w:tc>
        <w:tc>
          <w:tcPr>
            <w:tcW w:w="5125" w:type="dxa"/>
            <w:shd w:val="clear" w:color="auto" w:fill="auto"/>
          </w:tcPr>
          <w:p w:rsidR="00C6303A" w:rsidRPr="00514CD5" w:rsidRDefault="00C6303A" w:rsidP="007A1D18">
            <w:pPr>
              <w:autoSpaceDE w:val="0"/>
              <w:autoSpaceDN w:val="0"/>
              <w:adjustRightInd w:val="0"/>
              <w:rPr>
                <w:rFonts w:cs="Arial"/>
              </w:rPr>
            </w:pPr>
            <w:r>
              <w:rPr>
                <w:sz w:val="18"/>
                <w:szCs w:val="18"/>
              </w:rPr>
              <w:t>Gas cylinders – Self-closing cylinder valves - Specification and type testing</w:t>
            </w:r>
          </w:p>
        </w:tc>
        <w:tc>
          <w:tcPr>
            <w:tcW w:w="1552" w:type="dxa"/>
            <w:shd w:val="clear" w:color="auto" w:fill="auto"/>
          </w:tcPr>
          <w:p w:rsidR="00C6303A" w:rsidRPr="000F57BE" w:rsidRDefault="00C6303A" w:rsidP="007A1D18">
            <w:pPr>
              <w:tabs>
                <w:tab w:val="left" w:pos="1418"/>
                <w:tab w:val="left" w:pos="2977"/>
                <w:tab w:val="left" w:pos="4395"/>
              </w:tabs>
              <w:rPr>
                <w:rFonts w:cs="Arial"/>
                <w:color w:val="FF0000"/>
                <w:u w:val="single"/>
              </w:rPr>
            </w:pPr>
            <w:r>
              <w:rPr>
                <w:color w:val="FF0000"/>
                <w:sz w:val="18"/>
                <w:szCs w:val="18"/>
                <w:u w:val="single"/>
              </w:rPr>
              <w:t>See 6.2.4.1</w:t>
            </w:r>
          </w:p>
        </w:tc>
      </w:tr>
      <w:tr w:rsidR="00C6303A" w:rsidTr="00323E91">
        <w:tc>
          <w:tcPr>
            <w:tcW w:w="1123" w:type="dxa"/>
            <w:vMerge w:val="restart"/>
            <w:shd w:val="clear" w:color="auto" w:fill="auto"/>
          </w:tcPr>
          <w:p w:rsidR="00C6303A" w:rsidRDefault="00C6303A" w:rsidP="007A1D18">
            <w:pPr>
              <w:autoSpaceDE w:val="0"/>
              <w:autoSpaceDN w:val="0"/>
              <w:adjustRightInd w:val="0"/>
            </w:pPr>
            <w:r>
              <w:rPr>
                <w:sz w:val="18"/>
                <w:szCs w:val="18"/>
              </w:rPr>
              <w:t>4.1.6.8 (b) and (c)</w:t>
            </w:r>
          </w:p>
        </w:tc>
        <w:tc>
          <w:tcPr>
            <w:tcW w:w="1631" w:type="dxa"/>
            <w:shd w:val="clear" w:color="auto" w:fill="auto"/>
          </w:tcPr>
          <w:p w:rsidR="00C6303A" w:rsidRPr="00043BEF" w:rsidRDefault="00C6303A" w:rsidP="007A1D18">
            <w:pPr>
              <w:autoSpaceDE w:val="0"/>
              <w:autoSpaceDN w:val="0"/>
              <w:adjustRightInd w:val="0"/>
              <w:rPr>
                <w:rFonts w:cs="Arial"/>
                <w:strike/>
                <w:color w:val="FF0000"/>
                <w:sz w:val="18"/>
                <w:szCs w:val="18"/>
                <w:u w:val="single"/>
              </w:rPr>
            </w:pPr>
            <w:r>
              <w:rPr>
                <w:strike/>
                <w:color w:val="FF0000"/>
                <w:sz w:val="18"/>
                <w:szCs w:val="18"/>
                <w:u w:val="single"/>
              </w:rPr>
              <w:t>either:</w:t>
            </w:r>
          </w:p>
          <w:p w:rsidR="00C6303A" w:rsidRPr="00514CD5" w:rsidRDefault="00C6303A" w:rsidP="007A1D18">
            <w:pPr>
              <w:autoSpaceDE w:val="0"/>
              <w:autoSpaceDN w:val="0"/>
              <w:adjustRightInd w:val="0"/>
              <w:rPr>
                <w:rFonts w:cs="Arial"/>
                <w:sz w:val="18"/>
                <w:szCs w:val="18"/>
                <w:u w:val="single"/>
              </w:rPr>
            </w:pPr>
            <w:r>
              <w:rPr>
                <w:sz w:val="18"/>
                <w:szCs w:val="18"/>
              </w:rPr>
              <w:t>ISO 11117:1998</w:t>
            </w:r>
          </w:p>
        </w:tc>
        <w:tc>
          <w:tcPr>
            <w:tcW w:w="5125" w:type="dxa"/>
            <w:shd w:val="clear" w:color="auto" w:fill="auto"/>
          </w:tcPr>
          <w:p w:rsidR="00C6303A" w:rsidRPr="00963030" w:rsidRDefault="00C6303A" w:rsidP="007A1D18">
            <w:pPr>
              <w:autoSpaceDE w:val="0"/>
              <w:autoSpaceDN w:val="0"/>
              <w:adjustRightInd w:val="0"/>
              <w:rPr>
                <w:rFonts w:cs="Arial"/>
              </w:rPr>
            </w:pPr>
            <w:r>
              <w:rPr>
                <w:sz w:val="18"/>
                <w:szCs w:val="18"/>
              </w:rPr>
              <w:t>Gas Cylinders – Valve protection caps and valve guards for industrial and medical gas cylinders – Design construction and tests</w:t>
            </w:r>
          </w:p>
        </w:tc>
        <w:tc>
          <w:tcPr>
            <w:tcW w:w="1552" w:type="dxa"/>
            <w:shd w:val="clear" w:color="auto" w:fill="auto"/>
          </w:tcPr>
          <w:p w:rsidR="00C6303A" w:rsidRPr="00D57CC0" w:rsidRDefault="00C6303A" w:rsidP="007A1D18">
            <w:pPr>
              <w:autoSpaceDE w:val="0"/>
              <w:autoSpaceDN w:val="0"/>
              <w:adjustRightInd w:val="0"/>
              <w:rPr>
                <w:rFonts w:cs="Arial"/>
                <w:color w:val="FF0000"/>
                <w:sz w:val="18"/>
                <w:szCs w:val="18"/>
                <w:u w:val="single"/>
              </w:rPr>
            </w:pPr>
            <w:r>
              <w:rPr>
                <w:color w:val="FF0000"/>
                <w:sz w:val="18"/>
                <w:szCs w:val="18"/>
                <w:u w:val="single"/>
              </w:rPr>
              <w:t>Until 31 December 2010</w:t>
            </w:r>
          </w:p>
        </w:tc>
      </w:tr>
      <w:tr w:rsidR="00C6303A" w:rsidTr="00323E91">
        <w:tc>
          <w:tcPr>
            <w:tcW w:w="1123" w:type="dxa"/>
            <w:vMerge/>
            <w:shd w:val="clear" w:color="auto" w:fill="auto"/>
          </w:tcPr>
          <w:p w:rsidR="00C6303A" w:rsidRPr="00DD3C5E" w:rsidRDefault="00C6303A" w:rsidP="007A1D18">
            <w:pPr>
              <w:autoSpaceDE w:val="0"/>
              <w:autoSpaceDN w:val="0"/>
              <w:adjustRightInd w:val="0"/>
              <w:rPr>
                <w:rFonts w:ascii="ArialMT" w:hAnsi="ArialMT" w:cs="ArialMT"/>
                <w:sz w:val="18"/>
                <w:szCs w:val="18"/>
              </w:rPr>
            </w:pPr>
          </w:p>
        </w:tc>
        <w:tc>
          <w:tcPr>
            <w:tcW w:w="1631" w:type="dxa"/>
            <w:shd w:val="clear" w:color="auto" w:fill="auto"/>
          </w:tcPr>
          <w:p w:rsidR="00C6303A" w:rsidRPr="00252831" w:rsidRDefault="00C6303A" w:rsidP="007A1D18">
            <w:pPr>
              <w:autoSpaceDE w:val="0"/>
              <w:autoSpaceDN w:val="0"/>
              <w:adjustRightInd w:val="0"/>
              <w:rPr>
                <w:rFonts w:cs="Arial"/>
                <w:strike/>
                <w:color w:val="FF0000"/>
                <w:sz w:val="18"/>
                <w:szCs w:val="18"/>
                <w:u w:val="single"/>
              </w:rPr>
            </w:pPr>
            <w:r>
              <w:rPr>
                <w:strike/>
                <w:color w:val="FF0000"/>
                <w:sz w:val="18"/>
                <w:szCs w:val="18"/>
                <w:u w:val="single"/>
              </w:rPr>
              <w:t>or</w:t>
            </w:r>
          </w:p>
          <w:p w:rsidR="00C6303A" w:rsidRPr="00A621EE" w:rsidRDefault="00C6303A" w:rsidP="007A1D18">
            <w:pPr>
              <w:autoSpaceDE w:val="0"/>
              <w:autoSpaceDN w:val="0"/>
              <w:adjustRightInd w:val="0"/>
              <w:rPr>
                <w:rFonts w:cs="Arial"/>
                <w:sz w:val="18"/>
                <w:szCs w:val="18"/>
                <w:highlight w:val="yellow"/>
                <w:u w:val="single"/>
              </w:rPr>
            </w:pPr>
            <w:r>
              <w:rPr>
                <w:sz w:val="18"/>
                <w:szCs w:val="18"/>
              </w:rPr>
              <w:t>EN ISO 11117:2008</w:t>
            </w:r>
            <w:r>
              <w:rPr>
                <w:sz w:val="18"/>
                <w:szCs w:val="18"/>
              </w:rPr>
              <w:br/>
              <w:t>+ Cor 1:2009</w:t>
            </w:r>
          </w:p>
        </w:tc>
        <w:tc>
          <w:tcPr>
            <w:tcW w:w="5125" w:type="dxa"/>
            <w:shd w:val="clear" w:color="auto" w:fill="auto"/>
          </w:tcPr>
          <w:p w:rsidR="00C6303A" w:rsidRPr="00192EBD" w:rsidRDefault="00C6303A" w:rsidP="007A1D18">
            <w:pPr>
              <w:autoSpaceDE w:val="0"/>
              <w:autoSpaceDN w:val="0"/>
              <w:adjustRightInd w:val="0"/>
              <w:rPr>
                <w:rFonts w:cs="Arial"/>
                <w:sz w:val="18"/>
                <w:szCs w:val="18"/>
              </w:rPr>
            </w:pPr>
            <w:r w:rsidRPr="00192EBD">
              <w:rPr>
                <w:sz w:val="18"/>
                <w:szCs w:val="18"/>
              </w:rPr>
              <w:t>Gas Cylinders – Valve protection caps and valve guards for industrial and medical gas cylinders – Design construction and tests</w:t>
            </w:r>
          </w:p>
        </w:tc>
        <w:tc>
          <w:tcPr>
            <w:tcW w:w="1552" w:type="dxa"/>
            <w:shd w:val="clear" w:color="auto" w:fill="auto"/>
          </w:tcPr>
          <w:p w:rsidR="00C6303A" w:rsidRPr="001F3FCE" w:rsidRDefault="00C6303A" w:rsidP="007A1D18">
            <w:pPr>
              <w:autoSpaceDE w:val="0"/>
              <w:autoSpaceDN w:val="0"/>
              <w:adjustRightInd w:val="0"/>
              <w:rPr>
                <w:rFonts w:cs="Arial"/>
                <w:color w:val="FF0000"/>
                <w:u w:val="single"/>
              </w:rPr>
            </w:pPr>
            <w:r>
              <w:rPr>
                <w:color w:val="FF0000"/>
                <w:sz w:val="18"/>
                <w:szCs w:val="18"/>
                <w:u w:val="single"/>
              </w:rPr>
              <w:t>Until further notice</w:t>
            </w:r>
          </w:p>
        </w:tc>
      </w:tr>
      <w:tr w:rsidR="00C6303A" w:rsidTr="00323E91">
        <w:tc>
          <w:tcPr>
            <w:tcW w:w="1123" w:type="dxa"/>
            <w:vMerge/>
            <w:shd w:val="clear" w:color="auto" w:fill="auto"/>
          </w:tcPr>
          <w:p w:rsidR="00C6303A" w:rsidRDefault="00C6303A" w:rsidP="007A1D18">
            <w:pPr>
              <w:tabs>
                <w:tab w:val="left" w:pos="1418"/>
                <w:tab w:val="left" w:pos="2977"/>
                <w:tab w:val="left" w:pos="4395"/>
              </w:tabs>
            </w:pPr>
          </w:p>
        </w:tc>
        <w:tc>
          <w:tcPr>
            <w:tcW w:w="1631" w:type="dxa"/>
            <w:shd w:val="clear" w:color="auto" w:fill="auto"/>
          </w:tcPr>
          <w:p w:rsidR="00C6303A" w:rsidRPr="00514CD5" w:rsidRDefault="00C6303A" w:rsidP="007A1D18">
            <w:pPr>
              <w:autoSpaceDE w:val="0"/>
              <w:autoSpaceDN w:val="0"/>
              <w:adjustRightInd w:val="0"/>
              <w:rPr>
                <w:rFonts w:cs="Arial"/>
                <w:sz w:val="18"/>
                <w:szCs w:val="18"/>
              </w:rPr>
            </w:pPr>
            <w:r>
              <w:rPr>
                <w:sz w:val="18"/>
                <w:szCs w:val="18"/>
              </w:rPr>
              <w:t>EN 962:1996 +</w:t>
            </w:r>
          </w:p>
          <w:p w:rsidR="00C6303A" w:rsidRPr="00514CD5" w:rsidRDefault="00C6303A" w:rsidP="007A1D18">
            <w:pPr>
              <w:tabs>
                <w:tab w:val="left" w:pos="1418"/>
                <w:tab w:val="left" w:pos="2977"/>
                <w:tab w:val="left" w:pos="4395"/>
              </w:tabs>
              <w:rPr>
                <w:rFonts w:cs="Arial"/>
              </w:rPr>
            </w:pPr>
            <w:r>
              <w:rPr>
                <w:sz w:val="18"/>
                <w:szCs w:val="18"/>
              </w:rPr>
              <w:t>A2:2000</w:t>
            </w:r>
          </w:p>
        </w:tc>
        <w:tc>
          <w:tcPr>
            <w:tcW w:w="5125" w:type="dxa"/>
            <w:shd w:val="clear" w:color="auto" w:fill="auto"/>
          </w:tcPr>
          <w:p w:rsidR="00C6303A" w:rsidRPr="00514CD5" w:rsidRDefault="00C6303A" w:rsidP="007A1D18">
            <w:pPr>
              <w:autoSpaceDE w:val="0"/>
              <w:autoSpaceDN w:val="0"/>
              <w:adjustRightInd w:val="0"/>
              <w:rPr>
                <w:rFonts w:cs="Arial"/>
              </w:rPr>
            </w:pPr>
            <w:r>
              <w:rPr>
                <w:sz w:val="18"/>
                <w:szCs w:val="18"/>
              </w:rPr>
              <w:t>Valve protection caps and valve guards for industrial and medical gas cylinders – Design, construction and tests</w:t>
            </w:r>
          </w:p>
        </w:tc>
        <w:tc>
          <w:tcPr>
            <w:tcW w:w="1552" w:type="dxa"/>
            <w:shd w:val="clear" w:color="auto" w:fill="auto"/>
          </w:tcPr>
          <w:p w:rsidR="00C6303A" w:rsidRPr="000F57BE" w:rsidRDefault="00C6303A" w:rsidP="007A1D18">
            <w:pPr>
              <w:autoSpaceDE w:val="0"/>
              <w:autoSpaceDN w:val="0"/>
              <w:adjustRightInd w:val="0"/>
              <w:rPr>
                <w:rFonts w:cs="Arial"/>
                <w:color w:val="FF0000"/>
                <w:u w:val="single"/>
              </w:rPr>
            </w:pPr>
            <w:r>
              <w:rPr>
                <w:color w:val="FF0000"/>
                <w:sz w:val="18"/>
                <w:szCs w:val="18"/>
                <w:u w:val="single"/>
              </w:rPr>
              <w:t>Until 31 December 2010</w:t>
            </w:r>
          </w:p>
        </w:tc>
      </w:tr>
      <w:tr w:rsidR="00C6303A" w:rsidTr="00323E91">
        <w:tc>
          <w:tcPr>
            <w:tcW w:w="1123" w:type="dxa"/>
            <w:vMerge/>
            <w:shd w:val="clear" w:color="auto" w:fill="auto"/>
          </w:tcPr>
          <w:p w:rsidR="00C6303A" w:rsidRDefault="00C6303A" w:rsidP="007A1D18">
            <w:pPr>
              <w:tabs>
                <w:tab w:val="left" w:pos="1418"/>
                <w:tab w:val="left" w:pos="2977"/>
                <w:tab w:val="left" w:pos="4395"/>
              </w:tabs>
            </w:pPr>
          </w:p>
        </w:tc>
        <w:tc>
          <w:tcPr>
            <w:tcW w:w="1631" w:type="dxa"/>
            <w:shd w:val="clear" w:color="auto" w:fill="auto"/>
          </w:tcPr>
          <w:p w:rsidR="00C6303A" w:rsidRPr="00514CD5" w:rsidRDefault="00C6303A" w:rsidP="007A1D18">
            <w:pPr>
              <w:tabs>
                <w:tab w:val="left" w:pos="1418"/>
                <w:tab w:val="left" w:pos="2977"/>
                <w:tab w:val="left" w:pos="4395"/>
              </w:tabs>
              <w:rPr>
                <w:rFonts w:cs="Arial"/>
              </w:rPr>
            </w:pPr>
            <w:r>
              <w:rPr>
                <w:sz w:val="18"/>
                <w:szCs w:val="18"/>
              </w:rPr>
              <w:t>ISO 16111:2008</w:t>
            </w:r>
          </w:p>
        </w:tc>
        <w:tc>
          <w:tcPr>
            <w:tcW w:w="5125" w:type="dxa"/>
            <w:shd w:val="clear" w:color="auto" w:fill="auto"/>
          </w:tcPr>
          <w:p w:rsidR="00C6303A" w:rsidRPr="00514CD5" w:rsidRDefault="00C6303A" w:rsidP="007A1D18">
            <w:pPr>
              <w:autoSpaceDE w:val="0"/>
              <w:autoSpaceDN w:val="0"/>
              <w:adjustRightInd w:val="0"/>
              <w:rPr>
                <w:rFonts w:cs="Arial"/>
              </w:rPr>
            </w:pPr>
            <w:r>
              <w:rPr>
                <w:sz w:val="18"/>
                <w:szCs w:val="18"/>
              </w:rPr>
              <w:t>Transportable gas storage devices – Hydrogen absorbed in reversible metal hydride</w:t>
            </w:r>
          </w:p>
        </w:tc>
        <w:tc>
          <w:tcPr>
            <w:tcW w:w="1552" w:type="dxa"/>
            <w:shd w:val="clear" w:color="auto" w:fill="auto"/>
          </w:tcPr>
          <w:p w:rsidR="00C6303A" w:rsidRPr="000F57BE" w:rsidRDefault="00C6303A" w:rsidP="007A1D18">
            <w:pPr>
              <w:tabs>
                <w:tab w:val="left" w:pos="1418"/>
                <w:tab w:val="left" w:pos="2977"/>
                <w:tab w:val="left" w:pos="4395"/>
              </w:tabs>
              <w:rPr>
                <w:rFonts w:cs="Arial"/>
                <w:color w:val="FF0000"/>
                <w:u w:val="single"/>
              </w:rPr>
            </w:pPr>
            <w:r>
              <w:rPr>
                <w:color w:val="FF0000"/>
                <w:sz w:val="18"/>
                <w:szCs w:val="18"/>
                <w:u w:val="single"/>
              </w:rPr>
              <w:t>See 6.2.2.3</w:t>
            </w:r>
          </w:p>
        </w:tc>
      </w:tr>
    </w:tbl>
    <w:p w:rsidR="00C6303A" w:rsidRDefault="00323E91" w:rsidP="00323E91">
      <w:pPr>
        <w:pStyle w:val="HChG"/>
      </w:pPr>
      <w:r>
        <w:tab/>
      </w:r>
      <w:r>
        <w:tab/>
      </w:r>
      <w:r w:rsidR="00C6303A">
        <w:t>Justification</w:t>
      </w:r>
    </w:p>
    <w:p w:rsidR="00C6303A" w:rsidRDefault="00C6303A" w:rsidP="00323E91">
      <w:pPr>
        <w:pStyle w:val="SingleTxtG"/>
      </w:pPr>
      <w:r>
        <w:t>9.</w:t>
      </w:r>
      <w:r>
        <w:tab/>
        <w:t>These amendments clarify matters in terms of marketing new valve protection devices for non-UN pressure receptacles.</w:t>
      </w:r>
    </w:p>
    <w:p w:rsidR="00323E91" w:rsidRPr="00323E91" w:rsidRDefault="00323E91" w:rsidP="00323E91">
      <w:pPr>
        <w:spacing w:before="240"/>
        <w:jc w:val="center"/>
        <w:rPr>
          <w:u w:val="single"/>
        </w:rPr>
      </w:pPr>
      <w:r>
        <w:rPr>
          <w:u w:val="single"/>
        </w:rPr>
        <w:tab/>
      </w:r>
      <w:r>
        <w:rPr>
          <w:u w:val="single"/>
        </w:rPr>
        <w:tab/>
      </w:r>
      <w:r>
        <w:rPr>
          <w:u w:val="single"/>
        </w:rPr>
        <w:tab/>
      </w:r>
    </w:p>
    <w:sectPr w:rsidR="00323E91" w:rsidRPr="00323E91" w:rsidSect="00C6303A">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03A" w:rsidRDefault="00C6303A"/>
  </w:endnote>
  <w:endnote w:type="continuationSeparator" w:id="0">
    <w:p w:rsidR="00C6303A" w:rsidRDefault="00C6303A"/>
  </w:endnote>
  <w:endnote w:type="continuationNotice" w:id="1">
    <w:p w:rsidR="00C6303A" w:rsidRDefault="00C63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MS Gothic"/>
    <w:panose1 w:val="00000000000000000000"/>
    <w:charset w:val="00"/>
    <w:family w:val="auto"/>
    <w:notTrueType/>
    <w:pitch w:val="default"/>
    <w:sig w:usb0="00000000"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3A" w:rsidRPr="00C6303A" w:rsidRDefault="00C6303A" w:rsidP="00C6303A">
    <w:pPr>
      <w:pStyle w:val="Footer"/>
      <w:tabs>
        <w:tab w:val="right" w:pos="9638"/>
      </w:tabs>
      <w:rPr>
        <w:sz w:val="18"/>
      </w:rPr>
    </w:pPr>
    <w:r w:rsidRPr="00C6303A">
      <w:rPr>
        <w:b/>
        <w:sz w:val="18"/>
      </w:rPr>
      <w:fldChar w:fldCharType="begin"/>
    </w:r>
    <w:r w:rsidRPr="00C6303A">
      <w:rPr>
        <w:b/>
        <w:sz w:val="18"/>
      </w:rPr>
      <w:instrText xml:space="preserve"> PAGE  \* MERGEFORMAT </w:instrText>
    </w:r>
    <w:r w:rsidRPr="00C6303A">
      <w:rPr>
        <w:b/>
        <w:sz w:val="18"/>
      </w:rPr>
      <w:fldChar w:fldCharType="separate"/>
    </w:r>
    <w:r w:rsidRPr="00C6303A">
      <w:rPr>
        <w:b/>
        <w:noProof/>
        <w:sz w:val="18"/>
      </w:rPr>
      <w:t>2</w:t>
    </w:r>
    <w:r w:rsidRPr="00C630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3A" w:rsidRPr="00C6303A" w:rsidRDefault="00C6303A" w:rsidP="00C6303A">
    <w:pPr>
      <w:pStyle w:val="Footer"/>
      <w:tabs>
        <w:tab w:val="right" w:pos="9638"/>
      </w:tabs>
      <w:rPr>
        <w:b/>
        <w:sz w:val="18"/>
      </w:rPr>
    </w:pPr>
    <w:r>
      <w:tab/>
    </w:r>
    <w:r w:rsidRPr="00C6303A">
      <w:rPr>
        <w:b/>
        <w:sz w:val="18"/>
      </w:rPr>
      <w:fldChar w:fldCharType="begin"/>
    </w:r>
    <w:r w:rsidRPr="00C6303A">
      <w:rPr>
        <w:b/>
        <w:sz w:val="18"/>
      </w:rPr>
      <w:instrText xml:space="preserve"> PAGE  \* MERGEFORMAT </w:instrText>
    </w:r>
    <w:r w:rsidRPr="00C6303A">
      <w:rPr>
        <w:b/>
        <w:sz w:val="18"/>
      </w:rPr>
      <w:fldChar w:fldCharType="separate"/>
    </w:r>
    <w:r w:rsidRPr="00C6303A">
      <w:rPr>
        <w:b/>
        <w:noProof/>
        <w:sz w:val="18"/>
      </w:rPr>
      <w:t>3</w:t>
    </w:r>
    <w:r w:rsidRPr="00C6303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03A" w:rsidRPr="000B175B" w:rsidRDefault="00C6303A" w:rsidP="000B175B">
      <w:pPr>
        <w:tabs>
          <w:tab w:val="right" w:pos="2155"/>
        </w:tabs>
        <w:spacing w:after="80"/>
        <w:ind w:left="680"/>
        <w:rPr>
          <w:u w:val="single"/>
        </w:rPr>
      </w:pPr>
      <w:r>
        <w:rPr>
          <w:u w:val="single"/>
        </w:rPr>
        <w:tab/>
      </w:r>
    </w:p>
  </w:footnote>
  <w:footnote w:type="continuationSeparator" w:id="0">
    <w:p w:rsidR="00C6303A" w:rsidRPr="00FC68B7" w:rsidRDefault="00C6303A" w:rsidP="00FC68B7">
      <w:pPr>
        <w:tabs>
          <w:tab w:val="left" w:pos="2155"/>
        </w:tabs>
        <w:spacing w:after="80"/>
        <w:ind w:left="680"/>
        <w:rPr>
          <w:u w:val="single"/>
        </w:rPr>
      </w:pPr>
      <w:r>
        <w:rPr>
          <w:u w:val="single"/>
        </w:rPr>
        <w:tab/>
      </w:r>
    </w:p>
  </w:footnote>
  <w:footnote w:type="continuationNotice" w:id="1">
    <w:p w:rsidR="00C6303A" w:rsidRDefault="00C6303A"/>
  </w:footnote>
  <w:footnote w:id="2">
    <w:p w:rsidR="00C6303A" w:rsidRPr="00F32A2F" w:rsidRDefault="00C6303A" w:rsidP="00C6303A">
      <w:pPr>
        <w:pStyle w:val="FootnoteText"/>
        <w:rPr>
          <w:sz w:val="20"/>
          <w:lang w:val="fr-CH"/>
        </w:rPr>
      </w:pPr>
      <w:r>
        <w:rPr>
          <w:sz w:val="20"/>
        </w:rPr>
        <w:tab/>
      </w:r>
      <w:r w:rsidRPr="00F32A2F">
        <w:rPr>
          <w:rStyle w:val="FootnoteReference"/>
          <w:sz w:val="20"/>
        </w:rPr>
        <w:t>*</w:t>
      </w:r>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C6303A" w:rsidRDefault="00C6303A" w:rsidP="00C6303A">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w:t>
      </w:r>
      <w:r w:rsidR="00323E91">
        <w:t>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3A" w:rsidRPr="00C6303A" w:rsidRDefault="003122D5">
    <w:pPr>
      <w:pStyle w:val="Header"/>
    </w:pPr>
    <w:fldSimple w:instr=" TITLE  \* MERGEFORMAT ">
      <w:r w:rsidR="00C6303A">
        <w:t>ECE/TRANS/WP.15/AC.1/2020/4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3A" w:rsidRPr="00C6303A" w:rsidRDefault="003122D5" w:rsidP="00C6303A">
    <w:pPr>
      <w:pStyle w:val="Header"/>
      <w:jc w:val="right"/>
    </w:pPr>
    <w:fldSimple w:instr=" TITLE  \* MERGEFORMAT ">
      <w:r w:rsidR="00C6303A">
        <w:t>ECE/TRANS/WP.15/AC.1/2020/4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3A"/>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3765B"/>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122D5"/>
    <w:rsid w:val="003229D8"/>
    <w:rsid w:val="00323E91"/>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31C24"/>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6303A"/>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B3759"/>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8857F0"/>
  <w15:docId w15:val="{C191242A-060B-4CFC-8759-5AB31F25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C6303A"/>
    <w:rPr>
      <w:sz w:val="18"/>
      <w:lang w:val="en-GB"/>
    </w:rPr>
  </w:style>
  <w:style w:type="character" w:customStyle="1" w:styleId="HChGChar">
    <w:name w:val="_ H _Ch_G Char"/>
    <w:link w:val="HChG"/>
    <w:rsid w:val="00C6303A"/>
    <w:rPr>
      <w:b/>
      <w:sz w:val="28"/>
      <w:lang w:val="en-GB"/>
    </w:rPr>
  </w:style>
  <w:style w:type="character" w:customStyle="1" w:styleId="H1GChar">
    <w:name w:val="_ H_1_G Char"/>
    <w:link w:val="H1G"/>
    <w:rsid w:val="00C6303A"/>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3E40-D923-45F0-BDB0-F8E91FC7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8</TotalTime>
  <Pages>3</Pages>
  <Words>887</Words>
  <Characters>4724</Characters>
  <Application>Microsoft Office Word</Application>
  <DocSecurity>0</DocSecurity>
  <Lines>143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ECE/TRANS/WP.15/AC.1/2020/4</vt:lpstr>
      <vt:lpstr/>
    </vt:vector>
  </TitlesOfParts>
  <Company>CSD</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dc:title>
  <dc:creator>Christine Barrio-Champeau</dc:creator>
  <cp:lastModifiedBy>Christine Barrio-Champeau</cp:lastModifiedBy>
  <cp:revision>4</cp:revision>
  <cp:lastPrinted>2009-02-18T09:36:00Z</cp:lastPrinted>
  <dcterms:created xsi:type="dcterms:W3CDTF">2019-12-11T17:36:00Z</dcterms:created>
  <dcterms:modified xsi:type="dcterms:W3CDTF">2019-12-17T11:55:00Z</dcterms:modified>
</cp:coreProperties>
</file>