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157B" w:rsidRPr="00E6157B" w:rsidTr="00C97039">
        <w:trPr>
          <w:trHeight w:hRule="exact" w:val="851"/>
        </w:trPr>
        <w:tc>
          <w:tcPr>
            <w:tcW w:w="1276" w:type="dxa"/>
            <w:tcBorders>
              <w:bottom w:val="single" w:sz="4" w:space="0" w:color="auto"/>
            </w:tcBorders>
          </w:tcPr>
          <w:p w:rsidR="00F35BAF" w:rsidRPr="00E6157B" w:rsidRDefault="00F35BAF" w:rsidP="000F6443">
            <w:bookmarkStart w:id="0" w:name="_GoBack"/>
            <w:bookmarkEnd w:id="0"/>
          </w:p>
        </w:tc>
        <w:tc>
          <w:tcPr>
            <w:tcW w:w="2268" w:type="dxa"/>
            <w:tcBorders>
              <w:bottom w:val="single" w:sz="4" w:space="0" w:color="auto"/>
            </w:tcBorders>
            <w:vAlign w:val="bottom"/>
          </w:tcPr>
          <w:p w:rsidR="00F35BAF" w:rsidRPr="00E6157B" w:rsidRDefault="00F35BAF" w:rsidP="00C97039">
            <w:pPr>
              <w:spacing w:after="80" w:line="300" w:lineRule="exact"/>
              <w:rPr>
                <w:sz w:val="28"/>
              </w:rPr>
            </w:pPr>
            <w:r w:rsidRPr="00E6157B">
              <w:rPr>
                <w:sz w:val="28"/>
              </w:rPr>
              <w:t>Nations Unies</w:t>
            </w:r>
          </w:p>
        </w:tc>
        <w:tc>
          <w:tcPr>
            <w:tcW w:w="6095" w:type="dxa"/>
            <w:gridSpan w:val="2"/>
            <w:tcBorders>
              <w:bottom w:val="single" w:sz="4" w:space="0" w:color="auto"/>
            </w:tcBorders>
            <w:vAlign w:val="bottom"/>
          </w:tcPr>
          <w:p w:rsidR="00F35BAF" w:rsidRPr="00E6157B" w:rsidRDefault="000F6443" w:rsidP="000F6443">
            <w:pPr>
              <w:jc w:val="right"/>
            </w:pPr>
            <w:r w:rsidRPr="00E6157B">
              <w:rPr>
                <w:sz w:val="40"/>
              </w:rPr>
              <w:t>ECE</w:t>
            </w:r>
            <w:r w:rsidRPr="00E6157B">
              <w:t>/TRANS/WP.15/AC.1/2020/46</w:t>
            </w:r>
          </w:p>
        </w:tc>
      </w:tr>
      <w:tr w:rsidR="00E6157B" w:rsidRPr="00E6157B" w:rsidTr="00C97039">
        <w:trPr>
          <w:trHeight w:hRule="exact" w:val="2835"/>
        </w:trPr>
        <w:tc>
          <w:tcPr>
            <w:tcW w:w="1276" w:type="dxa"/>
            <w:tcBorders>
              <w:top w:val="single" w:sz="4" w:space="0" w:color="auto"/>
              <w:bottom w:val="single" w:sz="12" w:space="0" w:color="auto"/>
            </w:tcBorders>
          </w:tcPr>
          <w:p w:rsidR="00F35BAF" w:rsidRPr="00E6157B" w:rsidRDefault="00F35BAF" w:rsidP="00C97039">
            <w:pPr>
              <w:spacing w:before="120"/>
              <w:jc w:val="center"/>
            </w:pPr>
            <w:r w:rsidRPr="00E6157B">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E6157B" w:rsidRDefault="00F35BAF" w:rsidP="00C97039">
            <w:pPr>
              <w:spacing w:before="120" w:line="420" w:lineRule="exact"/>
              <w:rPr>
                <w:b/>
                <w:sz w:val="40"/>
                <w:szCs w:val="40"/>
              </w:rPr>
            </w:pPr>
            <w:r w:rsidRPr="00E6157B">
              <w:rPr>
                <w:b/>
                <w:sz w:val="40"/>
                <w:szCs w:val="40"/>
              </w:rPr>
              <w:t>Conseil économique et social</w:t>
            </w:r>
          </w:p>
        </w:tc>
        <w:tc>
          <w:tcPr>
            <w:tcW w:w="2835" w:type="dxa"/>
            <w:tcBorders>
              <w:top w:val="single" w:sz="4" w:space="0" w:color="auto"/>
              <w:bottom w:val="single" w:sz="12" w:space="0" w:color="auto"/>
            </w:tcBorders>
          </w:tcPr>
          <w:p w:rsidR="00F35BAF" w:rsidRPr="00E6157B" w:rsidRDefault="000F6443" w:rsidP="00C97039">
            <w:pPr>
              <w:spacing w:before="240"/>
            </w:pPr>
            <w:r w:rsidRPr="00E6157B">
              <w:t xml:space="preserve">Distr. </w:t>
            </w:r>
            <w:proofErr w:type="gramStart"/>
            <w:r w:rsidRPr="00E6157B">
              <w:t>générale</w:t>
            </w:r>
            <w:proofErr w:type="gramEnd"/>
          </w:p>
          <w:p w:rsidR="000F6443" w:rsidRPr="00E6157B" w:rsidRDefault="000F6443" w:rsidP="000F6443">
            <w:pPr>
              <w:spacing w:line="240" w:lineRule="exact"/>
            </w:pPr>
            <w:r w:rsidRPr="00E6157B">
              <w:t>8 juin 2020</w:t>
            </w:r>
          </w:p>
          <w:p w:rsidR="000F6443" w:rsidRPr="00E6157B" w:rsidRDefault="000F6443" w:rsidP="000F6443">
            <w:pPr>
              <w:spacing w:line="240" w:lineRule="exact"/>
            </w:pPr>
            <w:r w:rsidRPr="00E6157B">
              <w:t>Français</w:t>
            </w:r>
          </w:p>
          <w:p w:rsidR="000F6443" w:rsidRPr="00E6157B" w:rsidRDefault="000F6443" w:rsidP="000F6443">
            <w:pPr>
              <w:spacing w:line="240" w:lineRule="exact"/>
            </w:pPr>
            <w:r w:rsidRPr="00E6157B">
              <w:t>Original</w:t>
            </w:r>
            <w:r w:rsidR="00057BBA">
              <w:t> </w:t>
            </w:r>
            <w:r w:rsidR="00E6157B" w:rsidRPr="00E6157B">
              <w:t>:</w:t>
            </w:r>
            <w:r w:rsidRPr="00E6157B">
              <w:t xml:space="preserve"> anglais</w:t>
            </w:r>
          </w:p>
        </w:tc>
      </w:tr>
    </w:tbl>
    <w:p w:rsidR="007F20FA" w:rsidRPr="00E6157B" w:rsidRDefault="007F20FA" w:rsidP="007F20FA">
      <w:pPr>
        <w:spacing w:before="120"/>
        <w:rPr>
          <w:b/>
          <w:sz w:val="28"/>
          <w:szCs w:val="28"/>
        </w:rPr>
      </w:pPr>
      <w:r w:rsidRPr="00E6157B">
        <w:rPr>
          <w:b/>
          <w:sz w:val="28"/>
          <w:szCs w:val="28"/>
        </w:rPr>
        <w:t>Commission économique pour l’Europe</w:t>
      </w:r>
    </w:p>
    <w:p w:rsidR="007F20FA" w:rsidRPr="00E6157B" w:rsidRDefault="007F20FA" w:rsidP="007F20FA">
      <w:pPr>
        <w:spacing w:before="120"/>
        <w:rPr>
          <w:sz w:val="28"/>
          <w:szCs w:val="28"/>
        </w:rPr>
      </w:pPr>
      <w:r w:rsidRPr="00E6157B">
        <w:rPr>
          <w:sz w:val="28"/>
          <w:szCs w:val="28"/>
        </w:rPr>
        <w:t>Comité des transports intérieurs</w:t>
      </w:r>
    </w:p>
    <w:p w:rsidR="00E6157B" w:rsidRPr="00E6157B" w:rsidRDefault="00E6157B" w:rsidP="00E6157B">
      <w:pPr>
        <w:spacing w:before="120"/>
        <w:rPr>
          <w:b/>
          <w:sz w:val="24"/>
          <w:szCs w:val="24"/>
        </w:rPr>
      </w:pPr>
      <w:r w:rsidRPr="00E6157B">
        <w:rPr>
          <w:b/>
          <w:sz w:val="24"/>
          <w:szCs w:val="24"/>
        </w:rPr>
        <w:t xml:space="preserve">Groupe de travail des transports </w:t>
      </w:r>
      <w:r w:rsidRPr="00E6157B">
        <w:rPr>
          <w:b/>
          <w:sz w:val="24"/>
          <w:szCs w:val="24"/>
        </w:rPr>
        <w:br/>
        <w:t>de marchandises dangereuses</w:t>
      </w:r>
    </w:p>
    <w:p w:rsidR="00E6157B" w:rsidRPr="00E6157B" w:rsidRDefault="00E6157B" w:rsidP="00E6157B">
      <w:pPr>
        <w:spacing w:before="120"/>
        <w:rPr>
          <w:b/>
          <w:bCs/>
        </w:rPr>
      </w:pPr>
      <w:r w:rsidRPr="00E6157B">
        <w:rPr>
          <w:b/>
          <w:bCs/>
        </w:rPr>
        <w:t xml:space="preserve">Réunion commune de la Commission d’experts du RID et </w:t>
      </w:r>
      <w:r w:rsidR="00B73323">
        <w:rPr>
          <w:b/>
          <w:bCs/>
        </w:rPr>
        <w:br/>
      </w:r>
      <w:r w:rsidRPr="00E6157B">
        <w:rPr>
          <w:b/>
          <w:bCs/>
        </w:rPr>
        <w:t>du Groupe de travail des transports</w:t>
      </w:r>
      <w:r>
        <w:rPr>
          <w:b/>
          <w:bCs/>
        </w:rPr>
        <w:t xml:space="preserve"> </w:t>
      </w:r>
      <w:r w:rsidRPr="00E6157B">
        <w:rPr>
          <w:b/>
          <w:bCs/>
        </w:rPr>
        <w:t>de marchandises dangereuses</w:t>
      </w:r>
    </w:p>
    <w:p w:rsidR="00E6157B" w:rsidRPr="00E6157B" w:rsidRDefault="00E6157B" w:rsidP="00E6157B">
      <w:r w:rsidRPr="00E6157B">
        <w:t>Berne, 10-11 septembre 2020</w:t>
      </w:r>
      <w:r w:rsidR="00057BBA">
        <w:t>,</w:t>
      </w:r>
      <w:r w:rsidRPr="00E6157B">
        <w:t xml:space="preserve"> et Genève, 14-18 septembre 2020</w:t>
      </w:r>
    </w:p>
    <w:p w:rsidR="00E6157B" w:rsidRPr="00E6157B" w:rsidRDefault="00E6157B" w:rsidP="00E6157B">
      <w:r w:rsidRPr="00E6157B">
        <w:t>Point 5 b) de l’ordre du jour provisoire</w:t>
      </w:r>
    </w:p>
    <w:p w:rsidR="00E6157B" w:rsidRPr="00E6157B" w:rsidRDefault="00E6157B" w:rsidP="00E6157B">
      <w:pPr>
        <w:rPr>
          <w:b/>
          <w:bCs/>
        </w:rPr>
      </w:pPr>
      <w:r w:rsidRPr="00E6157B">
        <w:rPr>
          <w:b/>
          <w:bCs/>
        </w:rPr>
        <w:t>Propositions d’amendements au RID/ADR/ADN :</w:t>
      </w:r>
      <w:r w:rsidRPr="00E6157B">
        <w:rPr>
          <w:b/>
          <w:bCs/>
        </w:rPr>
        <w:br/>
      </w:r>
      <w:proofErr w:type="gramStart"/>
      <w:r w:rsidRPr="00E6157B">
        <w:rPr>
          <w:b/>
          <w:bCs/>
        </w:rPr>
        <w:t>nouvelles</w:t>
      </w:r>
      <w:proofErr w:type="gramEnd"/>
      <w:r w:rsidRPr="00E6157B">
        <w:rPr>
          <w:b/>
          <w:bCs/>
        </w:rPr>
        <w:t xml:space="preserve"> propositions</w:t>
      </w:r>
    </w:p>
    <w:p w:rsidR="00E6157B" w:rsidRPr="00E6157B" w:rsidRDefault="00E6157B" w:rsidP="00E6157B">
      <w:pPr>
        <w:pStyle w:val="HChG"/>
      </w:pPr>
      <w:r w:rsidRPr="00E6157B">
        <w:tab/>
      </w:r>
      <w:r w:rsidRPr="00E6157B">
        <w:tab/>
        <w:t>Observations relatives au document ECE/TRANS/WP.15/ AC.1/2020/4 et autre proposition</w:t>
      </w:r>
    </w:p>
    <w:p w:rsidR="00E6157B" w:rsidRPr="00E6157B" w:rsidRDefault="00E6157B" w:rsidP="00E6157B">
      <w:pPr>
        <w:pStyle w:val="H1G"/>
        <w:rPr>
          <w:szCs w:val="24"/>
          <w:lang w:eastAsia="zh-CN"/>
        </w:rPr>
      </w:pPr>
      <w:r w:rsidRPr="00E6157B">
        <w:tab/>
      </w:r>
      <w:r w:rsidRPr="00E6157B">
        <w:tab/>
        <w:t>Communication du Comité européen de normalisation (CEN)</w:t>
      </w:r>
      <w:r w:rsidRPr="00E6157B">
        <w:rPr>
          <w:b w:val="0"/>
          <w:bCs/>
          <w:sz w:val="20"/>
        </w:rPr>
        <w:footnoteReference w:customMarkFollows="1" w:id="2"/>
        <w:t>*</w:t>
      </w:r>
      <w:r w:rsidRPr="00E6157B">
        <w:rPr>
          <w:b w:val="0"/>
          <w:bCs/>
          <w:sz w:val="20"/>
          <w:vertAlign w:val="superscript"/>
        </w:rPr>
        <w:t xml:space="preserve">, </w:t>
      </w:r>
      <w:r w:rsidRPr="00E6157B">
        <w:rPr>
          <w:b w:val="0"/>
          <w:bCs/>
          <w:sz w:val="20"/>
        </w:rPr>
        <w:footnoteReference w:customMarkFollows="1" w:id="3"/>
        <w:t>**</w:t>
      </w:r>
    </w:p>
    <w:p w:rsidR="00E6157B" w:rsidRPr="00E6157B" w:rsidRDefault="00E6157B" w:rsidP="00E6157B">
      <w:pPr>
        <w:pStyle w:val="HChG"/>
      </w:pPr>
      <w:r w:rsidRPr="00E6157B">
        <w:tab/>
      </w:r>
      <w:r w:rsidRPr="00E6157B">
        <w:tab/>
        <w:t>Introduction</w:t>
      </w:r>
    </w:p>
    <w:p w:rsidR="00E6157B" w:rsidRPr="00E6157B" w:rsidRDefault="00E6157B" w:rsidP="00E6157B">
      <w:pPr>
        <w:pStyle w:val="SingleTxtG"/>
      </w:pPr>
      <w:r w:rsidRPr="00E6157B">
        <w:t>1.</w:t>
      </w:r>
      <w:r w:rsidRPr="00E6157B">
        <w:tab/>
      </w:r>
      <w:proofErr w:type="gramStart"/>
      <w:r w:rsidRPr="00E6157B">
        <w:t>Suite à</w:t>
      </w:r>
      <w:proofErr w:type="gramEnd"/>
      <w:r w:rsidRPr="00E6157B">
        <w:t xml:space="preserve"> la téléconférence du Groupe de travail sur les normes, un groupe d’experts de l’Allemagne, de la France et du Royaume-Uni a examiné la proposition faisant l’objet du document </w:t>
      </w:r>
      <w:bookmarkStart w:id="1" w:name="_Hlk41658942"/>
      <w:r w:rsidRPr="00E6157B">
        <w:t>ECE/TRANS/WP.15/AC.1/2020/4</w:t>
      </w:r>
      <w:bookmarkEnd w:id="1"/>
      <w:r w:rsidRPr="00E6157B">
        <w:t>. Les experts ont appuyé l’intention de la</w:t>
      </w:r>
      <w:r>
        <w:t xml:space="preserve"> </w:t>
      </w:r>
      <w:r w:rsidRPr="00E6157B">
        <w:t>proposition, à savoir</w:t>
      </w:r>
      <w:r>
        <w:t xml:space="preserve"> </w:t>
      </w:r>
      <w:r w:rsidRPr="00E6157B">
        <w:t>préciser les</w:t>
      </w:r>
      <w:r>
        <w:t xml:space="preserve"> </w:t>
      </w:r>
      <w:r w:rsidRPr="00E6157B">
        <w:t>périodes</w:t>
      </w:r>
      <w:r>
        <w:t xml:space="preserve"> </w:t>
      </w:r>
      <w:r w:rsidRPr="00E6157B">
        <w:t>d’applicabilité des normes de fabrication auxquelles renvoie le 4.1.6.15 du RID et de l’ADR.</w:t>
      </w:r>
      <w:r>
        <w:t xml:space="preserve"> </w:t>
      </w:r>
      <w:r w:rsidRPr="00E6157B">
        <w:t>Ils ont également accueilli avec satisfaction les corrections apportées aux références aux normes, qui</w:t>
      </w:r>
      <w:r>
        <w:t xml:space="preserve"> </w:t>
      </w:r>
      <w:r w:rsidRPr="00E6157B">
        <w:t>indiquent désormais</w:t>
      </w:r>
      <w:r>
        <w:t xml:space="preserve"> </w:t>
      </w:r>
      <w:r w:rsidRPr="00E6157B">
        <w:t>le paragraphe prescrivant l’épreuve et</w:t>
      </w:r>
      <w:r>
        <w:t xml:space="preserve"> </w:t>
      </w:r>
      <w:r w:rsidRPr="00E6157B">
        <w:t>décrivant les critères d’admissibilité.</w:t>
      </w:r>
    </w:p>
    <w:p w:rsidR="00E6157B" w:rsidRPr="00E6157B" w:rsidRDefault="00E6157B" w:rsidP="00057BBA">
      <w:pPr>
        <w:pStyle w:val="SingleTxtG"/>
        <w:keepNext/>
      </w:pPr>
      <w:r w:rsidRPr="00E6157B">
        <w:t>2.</w:t>
      </w:r>
      <w:r w:rsidRPr="00E6157B">
        <w:tab/>
        <w:t>Cependant, certains</w:t>
      </w:r>
      <w:r>
        <w:t xml:space="preserve"> </w:t>
      </w:r>
      <w:r w:rsidRPr="00E6157B">
        <w:t>défauts ont été relevés dans la solution proposée :</w:t>
      </w:r>
    </w:p>
    <w:p w:rsidR="00E6157B" w:rsidRPr="00E6157B" w:rsidRDefault="00E6157B" w:rsidP="00E6157B">
      <w:pPr>
        <w:pStyle w:val="SingleTxtG"/>
        <w:ind w:firstLine="567"/>
      </w:pPr>
      <w:r w:rsidRPr="00E6157B">
        <w:t>a)</w:t>
      </w:r>
      <w:r w:rsidRPr="00E6157B">
        <w:tab/>
      </w:r>
      <w:bookmarkStart w:id="2" w:name="_Hlk41658918"/>
      <w:r w:rsidRPr="00E6157B">
        <w:t xml:space="preserve">Le 4.1.6.15 </w:t>
      </w:r>
      <w:bookmarkEnd w:id="2"/>
      <w:r w:rsidRPr="00E6157B">
        <w:t>s’applique aux récipients à pression « UN » ainsi qu’aux récipients à pression RID/ADR</w:t>
      </w:r>
      <w:r w:rsidR="00B73323">
        <w:t> </w:t>
      </w:r>
      <w:r w:rsidRPr="00E6157B">
        <w:t>; la référence indiquée pour les dates de fabrication applicables doit donc être différente.</w:t>
      </w:r>
    </w:p>
    <w:p w:rsidR="00057BBA" w:rsidRDefault="00E6157B" w:rsidP="00057BBA">
      <w:pPr>
        <w:pStyle w:val="SingleTxtG"/>
        <w:ind w:firstLine="567"/>
      </w:pPr>
      <w:r w:rsidRPr="00E6157B">
        <w:t>b)</w:t>
      </w:r>
      <w:r w:rsidRPr="00E6157B">
        <w:tab/>
        <w:t>Les normes EN ISO 14245 et EN ISO 15995 ne sont pas applicables aux récipients à pression « UN »</w:t>
      </w:r>
      <w:r w:rsidR="00B73323">
        <w:t> </w:t>
      </w:r>
      <w:r w:rsidRPr="00E6157B">
        <w:t xml:space="preserve">; la première phrase du 4.1.6.15, libellée comme suit : « Pour les récipients à pression </w:t>
      </w:r>
      <w:r w:rsidR="00057BBA">
        <w:t>“</w:t>
      </w:r>
      <w:r w:rsidRPr="00E6157B">
        <w:t>UN</w:t>
      </w:r>
      <w:r w:rsidR="00057BBA">
        <w:t>”</w:t>
      </w:r>
      <w:r w:rsidRPr="00E6157B">
        <w:t>, les normes ISO énumérées ci-après doivent être appliquées », doit donc être modifiée de manière à exclure ces deux normes. Les experts ont en outre estimé qu’il était souhaitable de préciser que les normes EN ISO s’appliquent également aux récipients à pression « UN ».</w:t>
      </w:r>
    </w:p>
    <w:p w:rsidR="00E6157B" w:rsidRPr="00E6157B" w:rsidRDefault="00E6157B" w:rsidP="00057BBA">
      <w:pPr>
        <w:pStyle w:val="SingleTxtG"/>
        <w:ind w:firstLine="567"/>
      </w:pPr>
      <w:r w:rsidRPr="00E6157B">
        <w:lastRenderedPageBreak/>
        <w:t>c)</w:t>
      </w:r>
      <w:r w:rsidRPr="00E6157B">
        <w:tab/>
        <w:t xml:space="preserve">À l’exception des normes EN ISO 11117 et EN </w:t>
      </w:r>
      <w:proofErr w:type="gramStart"/>
      <w:r w:rsidRPr="00E6157B">
        <w:t>962:</w:t>
      </w:r>
      <w:proofErr w:type="gramEnd"/>
      <w:r w:rsidRPr="00E6157B">
        <w:t>1996 + A2:2000, applicables aux récipients à pression « non UN », on peut trouver dans le 6.2.2.3 toutes les informations concernant la date de fabrication pour les récipients à pression « UN » et dans le 6.2.4.1 toutes</w:t>
      </w:r>
      <w:r>
        <w:t xml:space="preserve"> </w:t>
      </w:r>
      <w:r w:rsidRPr="00E6157B">
        <w:t>celles sur la date de fabrication des récipients à pression « non UN ». Cela signifie que si l’on traite séparément les chapeaux ouverts et les chapeaux fermés des robinets, il n’est pas nécessaire d’ajouter une colonne, dans la mesure où ces références peuvent être indiquées dans le texte précédant le tableau.</w:t>
      </w:r>
      <w:r>
        <w:t xml:space="preserve"> </w:t>
      </w:r>
    </w:p>
    <w:p w:rsidR="00E6157B" w:rsidRPr="00E6157B" w:rsidRDefault="00E6157B" w:rsidP="00E6157B">
      <w:pPr>
        <w:pStyle w:val="SingleTxtG"/>
      </w:pPr>
      <w:r w:rsidRPr="00E6157B">
        <w:t>3.</w:t>
      </w:r>
      <w:r w:rsidRPr="00E6157B">
        <w:tab/>
        <w:t>La reformulation du 4.1.6.15 a été l’occasion de corriger</w:t>
      </w:r>
      <w:r>
        <w:t xml:space="preserve"> </w:t>
      </w:r>
      <w:r w:rsidRPr="00E6157B">
        <w:t>les mentions des normes. Lorsque plusieurs éditions d’une norme apparaissent</w:t>
      </w:r>
      <w:r>
        <w:t xml:space="preserve"> </w:t>
      </w:r>
      <w:r w:rsidRPr="00E6157B">
        <w:t>sur</w:t>
      </w:r>
      <w:r>
        <w:t xml:space="preserve"> </w:t>
      </w:r>
      <w:r w:rsidRPr="00E6157B">
        <w:t>une même ligne du tableau, on utilise le titre de la norme la plus récente.</w:t>
      </w:r>
      <w:r>
        <w:t xml:space="preserve"> </w:t>
      </w:r>
      <w:r w:rsidRPr="00E6157B">
        <w:t xml:space="preserve">Les dates de fabrication pour les normes ISO </w:t>
      </w:r>
      <w:proofErr w:type="gramStart"/>
      <w:r w:rsidRPr="00E6157B">
        <w:t>11117:</w:t>
      </w:r>
      <w:proofErr w:type="gramEnd"/>
      <w:r w:rsidRPr="00E6157B">
        <w:t>1998 et EN 962:1996 + A2:2000 ont été modifiées dans la mesure où la norme EN ISO 11117:2008 + Cor1:2009 n’apparaît dans le RID/ADR que depuis 2013.</w:t>
      </w:r>
      <w:r>
        <w:t xml:space="preserve"> </w:t>
      </w:r>
      <w:r w:rsidRPr="00E6157B">
        <w:t>On trouve également dans le présent document des propositions de nouvelles normes que la Réunion commune</w:t>
      </w:r>
      <w:r>
        <w:t xml:space="preserve"> </w:t>
      </w:r>
      <w:r w:rsidRPr="00E6157B">
        <w:t>pourra examiner à la présente session.</w:t>
      </w:r>
    </w:p>
    <w:p w:rsidR="00E6157B" w:rsidRPr="00E6157B" w:rsidRDefault="00E6157B" w:rsidP="00E6157B">
      <w:pPr>
        <w:pStyle w:val="HChG"/>
      </w:pPr>
      <w:r w:rsidRPr="00E6157B">
        <w:tab/>
      </w:r>
      <w:r w:rsidRPr="00E6157B">
        <w:tab/>
        <w:t>Proposition</w:t>
      </w:r>
    </w:p>
    <w:p w:rsidR="00E6157B" w:rsidRPr="00E6157B" w:rsidRDefault="00E6157B" w:rsidP="00E6157B">
      <w:pPr>
        <w:pStyle w:val="SingleTxtG"/>
      </w:pPr>
      <w:r w:rsidRPr="00E6157B">
        <w:t>4.</w:t>
      </w:r>
      <w:r w:rsidRPr="00E6157B">
        <w:tab/>
        <w:t>Dans la proposition, les ajouts sont soulignés et les suppressions sont biffées. De plus, les propositions tirées du document informel INF.18 apparaissent en caractères gras.</w:t>
      </w:r>
    </w:p>
    <w:p w:rsidR="00E6157B" w:rsidRDefault="00E6157B" w:rsidP="00E6157B">
      <w:pPr>
        <w:pStyle w:val="BodyTextIndent2"/>
        <w:spacing w:line="240" w:lineRule="atLeast"/>
        <w:ind w:left="2268" w:right="1134" w:hanging="1134"/>
        <w:jc w:val="both"/>
        <w:rPr>
          <w:u w:val="single"/>
        </w:rPr>
      </w:pPr>
      <w:r w:rsidRPr="00E6157B">
        <w:t>4.1.6.15</w:t>
      </w:r>
      <w:r w:rsidRPr="00E6157B">
        <w:tab/>
        <w:t>Pour les récipients à pression «</w:t>
      </w:r>
      <w:r>
        <w:t> </w:t>
      </w:r>
      <w:r w:rsidRPr="00E6157B">
        <w:t>UN</w:t>
      </w:r>
      <w:r>
        <w:t> </w:t>
      </w:r>
      <w:r w:rsidRPr="00E6157B">
        <w:t xml:space="preserve">», les normes ISO </w:t>
      </w:r>
      <w:r w:rsidRPr="00E6157B">
        <w:rPr>
          <w:u w:val="single"/>
        </w:rPr>
        <w:t xml:space="preserve">et EN ISO </w:t>
      </w:r>
      <w:r w:rsidRPr="00E6157B">
        <w:t xml:space="preserve">énumérées </w:t>
      </w:r>
      <w:r w:rsidRPr="00E6157B">
        <w:rPr>
          <w:strike/>
        </w:rPr>
        <w:t>ci-après</w:t>
      </w:r>
      <w:r w:rsidRPr="00E6157B">
        <w:t xml:space="preserve"> </w:t>
      </w:r>
      <w:r w:rsidRPr="00E6157B">
        <w:rPr>
          <w:u w:val="single"/>
        </w:rPr>
        <w:t>dans le tableau 1, à l’exception des normes EN ISO 14245 et EN ISO 15995,</w:t>
      </w:r>
      <w:r w:rsidRPr="00E6157B">
        <w:t xml:space="preserve"> doivent être appliquées. </w:t>
      </w:r>
      <w:r w:rsidRPr="00E6157B">
        <w:rPr>
          <w:u w:val="single"/>
        </w:rPr>
        <w:t>Pour savoir quelle norme doit être utilisée au moment de la fabrication de l’équipement, voir le 6.2.2.3.</w:t>
      </w:r>
    </w:p>
    <w:p w:rsidR="00E6157B" w:rsidRPr="00E6157B" w:rsidRDefault="00E6157B" w:rsidP="00AD367F">
      <w:pPr>
        <w:pStyle w:val="BodyTextIndent2"/>
        <w:spacing w:line="240" w:lineRule="atLeast"/>
        <w:ind w:left="2268" w:right="1134"/>
        <w:jc w:val="both"/>
        <w:rPr>
          <w:u w:val="single"/>
        </w:rPr>
      </w:pPr>
      <w:r w:rsidRPr="00E6157B">
        <w:t xml:space="preserve">Pour les autres récipients à pression, les dispositions de la section 4.1.6 sont réputées satisfaites si les normes appropriées </w:t>
      </w:r>
      <w:r w:rsidRPr="00E6157B">
        <w:rPr>
          <w:strike/>
        </w:rPr>
        <w:t xml:space="preserve">suivantes </w:t>
      </w:r>
      <w:r w:rsidRPr="00E6157B">
        <w:rPr>
          <w:u w:val="single"/>
        </w:rPr>
        <w:t>du tableau 1</w:t>
      </w:r>
      <w:r w:rsidRPr="00E6157B">
        <w:t xml:space="preserve"> sont appliquées</w:t>
      </w:r>
      <w:r w:rsidRPr="00E6157B">
        <w:rPr>
          <w:u w:val="single"/>
        </w:rPr>
        <w:t>. Pour savoir quelles normes doivent être utilisées pour la fabrication des robinets munis d’une protection intégrée, voir le</w:t>
      </w:r>
      <w:r>
        <w:rPr>
          <w:u w:val="single"/>
        </w:rPr>
        <w:t xml:space="preserve"> </w:t>
      </w:r>
      <w:r w:rsidRPr="00E6157B">
        <w:rPr>
          <w:u w:val="single"/>
        </w:rPr>
        <w:t>6.2.4.1.</w:t>
      </w:r>
      <w:r>
        <w:rPr>
          <w:u w:val="single"/>
        </w:rPr>
        <w:t xml:space="preserve"> </w:t>
      </w:r>
      <w:r w:rsidRPr="00E6157B">
        <w:rPr>
          <w:u w:val="single"/>
        </w:rPr>
        <w:t>Pour</w:t>
      </w:r>
      <w:r>
        <w:rPr>
          <w:u w:val="single"/>
        </w:rPr>
        <w:t xml:space="preserve"> </w:t>
      </w:r>
      <w:r w:rsidRPr="00E6157B">
        <w:rPr>
          <w:u w:val="single"/>
        </w:rPr>
        <w:t>toute information sur l’applicabilité des normes pour la fabrication des chapeaux fermés et des chapeaux ouverts de protection des robinets, voir le tableau 2</w:t>
      </w:r>
      <w:r w:rsidRPr="00E6157B">
        <w:t> :</w:t>
      </w:r>
    </w:p>
    <w:p w:rsidR="00E6157B" w:rsidRPr="00E6157B" w:rsidRDefault="00E6157B" w:rsidP="00E6157B">
      <w:pPr>
        <w:pStyle w:val="SingleTxtG"/>
      </w:pPr>
      <w:r w:rsidRPr="00E6157B">
        <w:t xml:space="preserve">Tableau 1 : Normes pour les récipients à pression UN et non UN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13"/>
        <w:gridCol w:w="3476"/>
      </w:tblGrid>
      <w:tr w:rsidR="00E6157B" w:rsidRPr="00E6157B" w:rsidTr="00B73323">
        <w:tc>
          <w:tcPr>
            <w:tcW w:w="1281" w:type="dxa"/>
            <w:shd w:val="clear" w:color="auto" w:fill="auto"/>
            <w:vAlign w:val="center"/>
          </w:tcPr>
          <w:p w:rsidR="00E6157B" w:rsidRPr="00E6157B" w:rsidRDefault="00E6157B" w:rsidP="00AD367F">
            <w:pPr>
              <w:spacing w:before="60" w:after="60" w:line="240" w:lineRule="auto"/>
              <w:ind w:left="57" w:right="57"/>
              <w:jc w:val="center"/>
              <w:rPr>
                <w:b/>
              </w:rPr>
            </w:pPr>
            <w:r w:rsidRPr="00E6157B">
              <w:rPr>
                <w:b/>
                <w:sz w:val="18"/>
              </w:rPr>
              <w:t>Paragraphes applicables</w:t>
            </w:r>
          </w:p>
        </w:tc>
        <w:tc>
          <w:tcPr>
            <w:tcW w:w="2613" w:type="dxa"/>
            <w:shd w:val="clear" w:color="auto" w:fill="auto"/>
            <w:vAlign w:val="center"/>
          </w:tcPr>
          <w:p w:rsidR="00E6157B" w:rsidRPr="00E6157B" w:rsidRDefault="00E6157B" w:rsidP="00AD367F">
            <w:pPr>
              <w:tabs>
                <w:tab w:val="left" w:pos="1418"/>
                <w:tab w:val="left" w:pos="2977"/>
                <w:tab w:val="left" w:pos="4395"/>
              </w:tabs>
              <w:spacing w:before="60" w:after="60" w:line="240" w:lineRule="auto"/>
              <w:ind w:left="57" w:right="57"/>
              <w:jc w:val="center"/>
              <w:rPr>
                <w:rFonts w:cs="Arial"/>
                <w:sz w:val="18"/>
                <w:szCs w:val="18"/>
              </w:rPr>
            </w:pPr>
            <w:r w:rsidRPr="00E6157B">
              <w:rPr>
                <w:b/>
                <w:bCs/>
                <w:sz w:val="18"/>
                <w:szCs w:val="18"/>
              </w:rPr>
              <w:t>Référence</w:t>
            </w:r>
          </w:p>
        </w:tc>
        <w:tc>
          <w:tcPr>
            <w:tcW w:w="3476" w:type="dxa"/>
            <w:shd w:val="clear" w:color="auto" w:fill="auto"/>
            <w:vAlign w:val="center"/>
          </w:tcPr>
          <w:p w:rsidR="00E6157B" w:rsidRPr="00E6157B" w:rsidRDefault="00E6157B" w:rsidP="00AD367F">
            <w:pPr>
              <w:tabs>
                <w:tab w:val="left" w:pos="1418"/>
                <w:tab w:val="left" w:pos="2977"/>
                <w:tab w:val="left" w:pos="4395"/>
              </w:tabs>
              <w:spacing w:before="60" w:after="60" w:line="240" w:lineRule="auto"/>
              <w:ind w:left="57" w:right="57"/>
              <w:jc w:val="center"/>
              <w:rPr>
                <w:rFonts w:cs="Arial"/>
                <w:b/>
                <w:sz w:val="18"/>
                <w:szCs w:val="18"/>
                <w:u w:val="single"/>
              </w:rPr>
            </w:pPr>
            <w:r w:rsidRPr="00E6157B">
              <w:rPr>
                <w:b/>
                <w:bCs/>
                <w:sz w:val="18"/>
                <w:szCs w:val="18"/>
              </w:rPr>
              <w:t>Titre du document</w:t>
            </w:r>
          </w:p>
        </w:tc>
      </w:tr>
      <w:tr w:rsidR="00E6157B" w:rsidRPr="00E6157B" w:rsidTr="00B73323">
        <w:tc>
          <w:tcPr>
            <w:tcW w:w="1281" w:type="dxa"/>
            <w:vMerge w:val="restart"/>
            <w:shd w:val="clear" w:color="auto" w:fill="auto"/>
          </w:tcPr>
          <w:p w:rsidR="00E6157B" w:rsidRPr="00E6157B" w:rsidRDefault="00E6157B" w:rsidP="00E6157B">
            <w:pPr>
              <w:tabs>
                <w:tab w:val="left" w:pos="1418"/>
                <w:tab w:val="left" w:pos="2977"/>
                <w:tab w:val="left" w:pos="4395"/>
              </w:tabs>
              <w:spacing w:before="40" w:after="40" w:line="240" w:lineRule="auto"/>
              <w:ind w:left="57" w:right="57"/>
              <w:rPr>
                <w:rFonts w:cs="Arial"/>
              </w:rPr>
            </w:pPr>
            <w:r w:rsidRPr="00E6157B">
              <w:rPr>
                <w:sz w:val="18"/>
                <w:szCs w:val="18"/>
              </w:rPr>
              <w:t>4.1.6.2</w:t>
            </w:r>
          </w:p>
        </w:tc>
        <w:tc>
          <w:tcPr>
            <w:tcW w:w="2613" w:type="dxa"/>
            <w:shd w:val="clear" w:color="auto" w:fill="auto"/>
          </w:tcPr>
          <w:p w:rsidR="00E6157B" w:rsidRPr="00E6157B" w:rsidRDefault="00E6157B" w:rsidP="00E6157B">
            <w:pPr>
              <w:spacing w:before="40" w:after="40" w:line="240" w:lineRule="auto"/>
              <w:ind w:left="57" w:right="57"/>
              <w:rPr>
                <w:rFonts w:cs="Arial"/>
              </w:rPr>
            </w:pPr>
            <w:r w:rsidRPr="00E6157B">
              <w:rPr>
                <w:sz w:val="18"/>
                <w:szCs w:val="18"/>
              </w:rPr>
              <w:t>EN ISO 11114-</w:t>
            </w:r>
            <w:proofErr w:type="gramStart"/>
            <w:r w:rsidRPr="00E6157B">
              <w:rPr>
                <w:sz w:val="18"/>
                <w:szCs w:val="18"/>
              </w:rPr>
              <w:t>1:</w:t>
            </w:r>
            <w:proofErr w:type="gramEnd"/>
            <w:r w:rsidRPr="00E6157B">
              <w:rPr>
                <w:sz w:val="18"/>
                <w:szCs w:val="18"/>
              </w:rPr>
              <w:t xml:space="preserve">2012 </w:t>
            </w:r>
            <w:r w:rsidRPr="00E6157B">
              <w:rPr>
                <w:sz w:val="18"/>
                <w:szCs w:val="18"/>
              </w:rPr>
              <w:br/>
              <w:t>+ A1</w:t>
            </w:r>
            <w:r>
              <w:rPr>
                <w:sz w:val="18"/>
                <w:szCs w:val="18"/>
              </w:rPr>
              <w:t>:</w:t>
            </w:r>
            <w:r w:rsidRPr="00E6157B">
              <w:rPr>
                <w:sz w:val="18"/>
                <w:szCs w:val="18"/>
              </w:rPr>
              <w:t>2017</w:t>
            </w:r>
          </w:p>
        </w:tc>
        <w:tc>
          <w:tcPr>
            <w:tcW w:w="3476" w:type="dxa"/>
            <w:shd w:val="clear" w:color="auto" w:fill="auto"/>
          </w:tcPr>
          <w:p w:rsidR="00E6157B" w:rsidRPr="00E6157B" w:rsidRDefault="00E6157B" w:rsidP="00E6157B">
            <w:pPr>
              <w:spacing w:before="40" w:after="40" w:line="240" w:lineRule="auto"/>
              <w:ind w:left="57" w:right="57"/>
              <w:rPr>
                <w:rFonts w:cs="Arial"/>
                <w:sz w:val="18"/>
                <w:szCs w:val="18"/>
                <w:u w:val="single"/>
              </w:rPr>
            </w:pPr>
            <w:r w:rsidRPr="00E6157B">
              <w:rPr>
                <w:sz w:val="18"/>
                <w:szCs w:val="18"/>
              </w:rPr>
              <w:t xml:space="preserve">Bouteilles à gaz </w:t>
            </w:r>
            <w:r>
              <w:rPr>
                <w:sz w:val="18"/>
                <w:szCs w:val="18"/>
              </w:rPr>
              <w:t>−</w:t>
            </w:r>
            <w:r w:rsidRPr="00E6157B">
              <w:rPr>
                <w:sz w:val="18"/>
                <w:szCs w:val="18"/>
              </w:rPr>
              <w:t xml:space="preserve"> Compatibilité des matériaux des bouteilles et des robinets avec les contenus gazeux </w:t>
            </w:r>
            <w:r>
              <w:rPr>
                <w:sz w:val="18"/>
                <w:szCs w:val="18"/>
              </w:rPr>
              <w:t>−</w:t>
            </w:r>
            <w:r w:rsidRPr="00E6157B">
              <w:rPr>
                <w:sz w:val="18"/>
                <w:szCs w:val="18"/>
              </w:rPr>
              <w:t xml:space="preserve"> Partie 1 : Matériaux métalliques</w:t>
            </w:r>
          </w:p>
        </w:tc>
      </w:tr>
      <w:tr w:rsidR="00E6157B" w:rsidRPr="00E6157B" w:rsidTr="00B73323">
        <w:tc>
          <w:tcPr>
            <w:tcW w:w="1281" w:type="dxa"/>
            <w:vMerge/>
            <w:tcBorders>
              <w:bottom w:val="single" w:sz="2" w:space="0" w:color="auto"/>
            </w:tcBorders>
            <w:shd w:val="clear" w:color="auto" w:fill="auto"/>
          </w:tcPr>
          <w:p w:rsidR="00E6157B" w:rsidRPr="00E6157B" w:rsidRDefault="00E6157B" w:rsidP="00E6157B">
            <w:pPr>
              <w:tabs>
                <w:tab w:val="left" w:pos="1418"/>
                <w:tab w:val="left" w:pos="2977"/>
                <w:tab w:val="left" w:pos="4395"/>
              </w:tabs>
              <w:spacing w:before="40" w:after="40" w:line="240" w:lineRule="auto"/>
              <w:ind w:left="57" w:right="57"/>
              <w:rPr>
                <w:rFonts w:cs="Arial"/>
              </w:rPr>
            </w:pPr>
          </w:p>
        </w:tc>
        <w:tc>
          <w:tcPr>
            <w:tcW w:w="2613" w:type="dxa"/>
            <w:tcBorders>
              <w:bottom w:val="single" w:sz="2" w:space="0" w:color="auto"/>
            </w:tcBorders>
            <w:shd w:val="clear" w:color="auto" w:fill="auto"/>
          </w:tcPr>
          <w:p w:rsidR="00E6157B" w:rsidRPr="00E6157B" w:rsidRDefault="00E6157B" w:rsidP="00E6157B">
            <w:pPr>
              <w:spacing w:before="40" w:after="40" w:line="240" w:lineRule="auto"/>
              <w:ind w:left="57" w:right="57"/>
              <w:rPr>
                <w:rFonts w:cs="Arial"/>
              </w:rPr>
            </w:pPr>
            <w:r w:rsidRPr="00E6157B">
              <w:rPr>
                <w:sz w:val="18"/>
                <w:szCs w:val="18"/>
              </w:rPr>
              <w:t>EN ISO 11114-</w:t>
            </w:r>
            <w:proofErr w:type="gramStart"/>
            <w:r w:rsidRPr="00E6157B">
              <w:rPr>
                <w:sz w:val="18"/>
                <w:szCs w:val="18"/>
              </w:rPr>
              <w:t>2:</w:t>
            </w:r>
            <w:proofErr w:type="gramEnd"/>
            <w:r w:rsidRPr="00E6157B">
              <w:rPr>
                <w:sz w:val="18"/>
                <w:szCs w:val="18"/>
              </w:rPr>
              <w:t>2013</w:t>
            </w:r>
          </w:p>
        </w:tc>
        <w:tc>
          <w:tcPr>
            <w:tcW w:w="3476" w:type="dxa"/>
            <w:tcBorders>
              <w:bottom w:val="single" w:sz="2" w:space="0" w:color="auto"/>
            </w:tcBorders>
            <w:shd w:val="clear" w:color="auto" w:fill="auto"/>
          </w:tcPr>
          <w:p w:rsidR="00E6157B" w:rsidRPr="00E6157B" w:rsidRDefault="00E6157B" w:rsidP="00E6157B">
            <w:pPr>
              <w:spacing w:before="40" w:after="40" w:line="240" w:lineRule="auto"/>
              <w:ind w:left="57" w:right="57"/>
              <w:rPr>
                <w:rFonts w:cs="Arial"/>
                <w:sz w:val="18"/>
                <w:szCs w:val="18"/>
                <w:u w:val="single"/>
              </w:rPr>
            </w:pPr>
            <w:r w:rsidRPr="00E6157B">
              <w:rPr>
                <w:sz w:val="18"/>
                <w:szCs w:val="18"/>
              </w:rPr>
              <w:t xml:space="preserve">Bouteilles à gaz </w:t>
            </w:r>
            <w:r w:rsidR="00B73323">
              <w:rPr>
                <w:sz w:val="18"/>
                <w:szCs w:val="18"/>
              </w:rPr>
              <w:t>−</w:t>
            </w:r>
            <w:r w:rsidRPr="00E6157B">
              <w:rPr>
                <w:sz w:val="18"/>
                <w:szCs w:val="18"/>
              </w:rPr>
              <w:t xml:space="preserve"> Compatibilité des matériaux des bouteilles et des robinets avec les contenus gazeux </w:t>
            </w:r>
            <w:r w:rsidR="00B73323">
              <w:rPr>
                <w:sz w:val="18"/>
                <w:szCs w:val="18"/>
              </w:rPr>
              <w:t>−</w:t>
            </w:r>
            <w:r w:rsidRPr="00E6157B">
              <w:rPr>
                <w:sz w:val="18"/>
                <w:szCs w:val="18"/>
              </w:rPr>
              <w:t xml:space="preserve"> Partie 2 : Matériaux non métalliques</w:t>
            </w:r>
          </w:p>
        </w:tc>
      </w:tr>
      <w:tr w:rsidR="00E6157B" w:rsidRPr="00E6157B" w:rsidTr="00B73323">
        <w:tc>
          <w:tcPr>
            <w:tcW w:w="1281" w:type="dxa"/>
            <w:tcBorders>
              <w:top w:val="single" w:sz="2" w:space="0" w:color="auto"/>
            </w:tcBorders>
            <w:shd w:val="clear" w:color="auto" w:fill="auto"/>
          </w:tcPr>
          <w:p w:rsidR="00E6157B" w:rsidRPr="00E6157B" w:rsidRDefault="00E6157B" w:rsidP="00E6157B">
            <w:pPr>
              <w:tabs>
                <w:tab w:val="left" w:pos="1418"/>
                <w:tab w:val="left" w:pos="2977"/>
                <w:tab w:val="left" w:pos="4395"/>
              </w:tabs>
              <w:spacing w:before="40" w:after="40" w:line="240" w:lineRule="auto"/>
              <w:ind w:left="57" w:right="57"/>
              <w:rPr>
                <w:rFonts w:cs="Arial"/>
              </w:rPr>
            </w:pPr>
            <w:r w:rsidRPr="00E6157B">
              <w:rPr>
                <w:sz w:val="18"/>
                <w:szCs w:val="18"/>
              </w:rPr>
              <w:t>4.1.6.4</w:t>
            </w:r>
          </w:p>
        </w:tc>
        <w:tc>
          <w:tcPr>
            <w:tcW w:w="2613" w:type="dxa"/>
            <w:tcBorders>
              <w:top w:val="single" w:sz="2" w:space="0" w:color="auto"/>
            </w:tcBorders>
            <w:shd w:val="clear" w:color="auto" w:fill="auto"/>
          </w:tcPr>
          <w:p w:rsidR="00E6157B" w:rsidRPr="00E6157B" w:rsidRDefault="00E6157B" w:rsidP="00E6157B">
            <w:pPr>
              <w:tabs>
                <w:tab w:val="left" w:pos="1418"/>
                <w:tab w:val="left" w:pos="2977"/>
                <w:tab w:val="left" w:pos="4395"/>
              </w:tabs>
              <w:spacing w:before="40" w:after="40" w:line="240" w:lineRule="auto"/>
              <w:ind w:left="57" w:right="57"/>
              <w:rPr>
                <w:rFonts w:cs="Arial"/>
              </w:rPr>
            </w:pPr>
            <w:r w:rsidRPr="00E6157B">
              <w:rPr>
                <w:sz w:val="18"/>
                <w:szCs w:val="18"/>
              </w:rPr>
              <w:t xml:space="preserve">ISO </w:t>
            </w:r>
            <w:proofErr w:type="gramStart"/>
            <w:r w:rsidRPr="00E6157B">
              <w:rPr>
                <w:sz w:val="18"/>
                <w:szCs w:val="18"/>
              </w:rPr>
              <w:t>11621:</w:t>
            </w:r>
            <w:proofErr w:type="gramEnd"/>
            <w:r w:rsidRPr="00E6157B">
              <w:rPr>
                <w:sz w:val="18"/>
                <w:szCs w:val="18"/>
              </w:rPr>
              <w:t xml:space="preserve">1997 </w:t>
            </w:r>
            <w:r w:rsidRPr="00E6157B">
              <w:rPr>
                <w:sz w:val="18"/>
                <w:szCs w:val="18"/>
              </w:rPr>
              <w:br/>
              <w:t>ou EN ISO 11621:2005</w:t>
            </w:r>
          </w:p>
        </w:tc>
        <w:tc>
          <w:tcPr>
            <w:tcW w:w="3476" w:type="dxa"/>
            <w:tcBorders>
              <w:top w:val="single" w:sz="2" w:space="0" w:color="auto"/>
            </w:tcBorders>
            <w:shd w:val="clear" w:color="auto" w:fill="auto"/>
          </w:tcPr>
          <w:p w:rsidR="00E6157B" w:rsidRPr="00E6157B" w:rsidRDefault="00E6157B" w:rsidP="00E6157B">
            <w:pPr>
              <w:spacing w:before="40" w:after="40" w:line="240" w:lineRule="auto"/>
              <w:ind w:left="57" w:right="57"/>
              <w:rPr>
                <w:rFonts w:cs="Arial"/>
                <w:sz w:val="18"/>
                <w:szCs w:val="18"/>
                <w:u w:val="single"/>
              </w:rPr>
            </w:pPr>
            <w:r w:rsidRPr="00E6157B">
              <w:rPr>
                <w:sz w:val="18"/>
                <w:szCs w:val="18"/>
              </w:rPr>
              <w:t xml:space="preserve">Bouteilles à gaz </w:t>
            </w:r>
            <w:r w:rsidR="00B73323">
              <w:rPr>
                <w:sz w:val="18"/>
                <w:szCs w:val="18"/>
              </w:rPr>
              <w:t>−</w:t>
            </w:r>
            <w:r w:rsidRPr="00E6157B">
              <w:rPr>
                <w:sz w:val="18"/>
                <w:szCs w:val="18"/>
              </w:rPr>
              <w:t xml:space="preserve"> Mode opératoire pour le changement de service de gaz</w:t>
            </w:r>
          </w:p>
        </w:tc>
      </w:tr>
      <w:tr w:rsidR="00B73323" w:rsidRPr="00E6157B" w:rsidTr="00B73323">
        <w:tc>
          <w:tcPr>
            <w:tcW w:w="1281" w:type="dxa"/>
            <w:vMerge w:val="restart"/>
            <w:shd w:val="clear" w:color="auto" w:fill="auto"/>
          </w:tcPr>
          <w:p w:rsidR="00B73323" w:rsidRPr="00E6157B" w:rsidRDefault="00B73323" w:rsidP="00E6157B">
            <w:pPr>
              <w:spacing w:before="40" w:after="40" w:line="240" w:lineRule="auto"/>
              <w:ind w:left="57" w:right="57"/>
              <w:rPr>
                <w:rFonts w:cs="Arial"/>
              </w:rPr>
            </w:pPr>
            <w:r w:rsidRPr="00E6157B">
              <w:rPr>
                <w:sz w:val="18"/>
                <w:szCs w:val="18"/>
              </w:rPr>
              <w:t>4.1.6.8 Robinets munis</w:t>
            </w:r>
            <w:r w:rsidR="00AD367F">
              <w:rPr>
                <w:sz w:val="18"/>
                <w:szCs w:val="18"/>
              </w:rPr>
              <w:t> </w:t>
            </w:r>
            <w:r w:rsidRPr="00E6157B">
              <w:rPr>
                <w:sz w:val="18"/>
                <w:szCs w:val="18"/>
              </w:rPr>
              <w:t>d’une protection intégrée</w:t>
            </w:r>
          </w:p>
        </w:tc>
        <w:tc>
          <w:tcPr>
            <w:tcW w:w="2613" w:type="dxa"/>
            <w:shd w:val="clear" w:color="auto" w:fill="auto"/>
          </w:tcPr>
          <w:p w:rsidR="00B73323" w:rsidRPr="00E6157B" w:rsidRDefault="00B73323" w:rsidP="00E6157B">
            <w:pPr>
              <w:spacing w:before="40" w:after="40" w:line="240" w:lineRule="auto"/>
              <w:ind w:left="57" w:right="57"/>
              <w:rPr>
                <w:rFonts w:cs="Arial"/>
                <w:sz w:val="18"/>
                <w:szCs w:val="18"/>
              </w:rPr>
            </w:pPr>
            <w:r w:rsidRPr="00E6157B">
              <w:rPr>
                <w:strike/>
                <w:sz w:val="18"/>
                <w:szCs w:val="18"/>
              </w:rPr>
              <w:t>Annexe A</w:t>
            </w:r>
            <w:r>
              <w:rPr>
                <w:strike/>
                <w:sz w:val="18"/>
                <w:szCs w:val="18"/>
              </w:rPr>
              <w:t xml:space="preserve"> </w:t>
            </w:r>
            <w:r w:rsidRPr="00E6157B">
              <w:rPr>
                <w:sz w:val="18"/>
                <w:szCs w:val="18"/>
                <w:u w:val="single"/>
              </w:rPr>
              <w:t>Paragraphe 4.6.2</w:t>
            </w:r>
            <w:r w:rsidRPr="00E6157B">
              <w:rPr>
                <w:sz w:val="18"/>
                <w:szCs w:val="18"/>
              </w:rPr>
              <w:t xml:space="preserve"> de EN ISO </w:t>
            </w:r>
            <w:proofErr w:type="gramStart"/>
            <w:r w:rsidRPr="00E6157B">
              <w:rPr>
                <w:sz w:val="18"/>
                <w:szCs w:val="18"/>
              </w:rPr>
              <w:t>10297:</w:t>
            </w:r>
            <w:proofErr w:type="gramEnd"/>
            <w:r w:rsidRPr="00E6157B">
              <w:rPr>
                <w:sz w:val="18"/>
                <w:szCs w:val="18"/>
              </w:rPr>
              <w:t>2006 ou</w:t>
            </w:r>
          </w:p>
          <w:p w:rsidR="00B73323" w:rsidRPr="00E6157B" w:rsidRDefault="00B73323" w:rsidP="00E6157B">
            <w:pPr>
              <w:spacing w:before="40" w:after="40" w:line="240" w:lineRule="auto"/>
              <w:ind w:left="57" w:right="57"/>
              <w:rPr>
                <w:rFonts w:cs="Arial"/>
                <w:sz w:val="18"/>
                <w:szCs w:val="18"/>
              </w:rPr>
            </w:pPr>
            <w:r w:rsidRPr="00E6157B">
              <w:rPr>
                <w:strike/>
                <w:sz w:val="18"/>
                <w:szCs w:val="18"/>
              </w:rPr>
              <w:t>Annexe A</w:t>
            </w:r>
            <w:r>
              <w:rPr>
                <w:strike/>
                <w:sz w:val="18"/>
                <w:szCs w:val="18"/>
              </w:rPr>
              <w:t xml:space="preserve"> </w:t>
            </w:r>
            <w:r w:rsidRPr="00E6157B">
              <w:rPr>
                <w:sz w:val="18"/>
                <w:szCs w:val="18"/>
                <w:u w:val="single"/>
              </w:rPr>
              <w:t>Paragraphe 5.5.2</w:t>
            </w:r>
            <w:r w:rsidRPr="00E6157B">
              <w:rPr>
                <w:sz w:val="18"/>
                <w:szCs w:val="18"/>
              </w:rPr>
              <w:t xml:space="preserve"> de EN ISO</w:t>
            </w:r>
            <w:proofErr w:type="gramStart"/>
            <w:r w:rsidRPr="00E6157B">
              <w:rPr>
                <w:sz w:val="18"/>
                <w:szCs w:val="18"/>
              </w:rPr>
              <w:t>10297:</w:t>
            </w:r>
            <w:proofErr w:type="gramEnd"/>
            <w:r w:rsidRPr="00E6157B">
              <w:rPr>
                <w:sz w:val="18"/>
                <w:szCs w:val="18"/>
              </w:rPr>
              <w:t>2014 ou</w:t>
            </w:r>
          </w:p>
          <w:p w:rsidR="00B73323" w:rsidRPr="00E6157B" w:rsidRDefault="00B73323" w:rsidP="00E6157B">
            <w:pPr>
              <w:spacing w:before="40" w:after="40" w:line="240" w:lineRule="auto"/>
              <w:ind w:left="57" w:right="57"/>
              <w:rPr>
                <w:rFonts w:cs="Arial"/>
              </w:rPr>
            </w:pPr>
            <w:r w:rsidRPr="00E6157B">
              <w:rPr>
                <w:strike/>
                <w:sz w:val="18"/>
                <w:szCs w:val="18"/>
              </w:rPr>
              <w:t>Annexe A</w:t>
            </w:r>
            <w:r>
              <w:rPr>
                <w:strike/>
                <w:sz w:val="18"/>
                <w:szCs w:val="18"/>
              </w:rPr>
              <w:t xml:space="preserve"> </w:t>
            </w:r>
            <w:r w:rsidRPr="00E6157B">
              <w:rPr>
                <w:sz w:val="18"/>
                <w:szCs w:val="18"/>
                <w:u w:val="single"/>
              </w:rPr>
              <w:t>Paragraphe 5.5.2</w:t>
            </w:r>
            <w:r w:rsidRPr="00E6157B">
              <w:rPr>
                <w:sz w:val="18"/>
                <w:szCs w:val="18"/>
              </w:rPr>
              <w:t xml:space="preserve"> de EN ISO </w:t>
            </w:r>
            <w:proofErr w:type="gramStart"/>
            <w:r w:rsidRPr="00E6157B">
              <w:rPr>
                <w:sz w:val="18"/>
                <w:szCs w:val="18"/>
              </w:rPr>
              <w:t>10297:</w:t>
            </w:r>
            <w:proofErr w:type="gramEnd"/>
            <w:r w:rsidRPr="00E6157B">
              <w:rPr>
                <w:sz w:val="18"/>
                <w:szCs w:val="18"/>
              </w:rPr>
              <w:t>2014 + A1:2017</w:t>
            </w:r>
          </w:p>
        </w:tc>
        <w:tc>
          <w:tcPr>
            <w:tcW w:w="3476" w:type="dxa"/>
            <w:shd w:val="clear" w:color="auto" w:fill="auto"/>
          </w:tcPr>
          <w:p w:rsidR="00B73323" w:rsidRPr="00E6157B" w:rsidRDefault="00B73323" w:rsidP="00E6157B">
            <w:pPr>
              <w:spacing w:before="40" w:after="40" w:line="240" w:lineRule="auto"/>
              <w:ind w:left="57" w:right="57"/>
              <w:rPr>
                <w:rFonts w:cs="Arial"/>
                <w:u w:val="single"/>
              </w:rPr>
            </w:pPr>
            <w:r w:rsidRPr="00E6157B">
              <w:rPr>
                <w:sz w:val="18"/>
                <w:szCs w:val="18"/>
              </w:rPr>
              <w:t xml:space="preserve">Bouteilles à gaz </w:t>
            </w:r>
            <w:r>
              <w:rPr>
                <w:sz w:val="18"/>
                <w:szCs w:val="18"/>
              </w:rPr>
              <w:t>−</w:t>
            </w:r>
            <w:r w:rsidRPr="00E6157B">
              <w:rPr>
                <w:sz w:val="18"/>
                <w:szCs w:val="18"/>
              </w:rPr>
              <w:t xml:space="preserve"> Robinets de bouteilles </w:t>
            </w:r>
            <w:r w:rsidRPr="00E6157B">
              <w:rPr>
                <w:strike/>
                <w:sz w:val="18"/>
                <w:szCs w:val="18"/>
              </w:rPr>
              <w:t>à gaz rechargeables</w:t>
            </w:r>
            <w:r w:rsidRPr="00E6157B">
              <w:rPr>
                <w:sz w:val="18"/>
                <w:szCs w:val="18"/>
              </w:rPr>
              <w:t xml:space="preserve"> </w:t>
            </w:r>
            <w:r>
              <w:rPr>
                <w:sz w:val="18"/>
                <w:szCs w:val="18"/>
              </w:rPr>
              <w:t>−</w:t>
            </w:r>
            <w:r w:rsidRPr="00E6157B">
              <w:rPr>
                <w:sz w:val="18"/>
                <w:szCs w:val="18"/>
              </w:rPr>
              <w:t xml:space="preserve"> Spécifications et essais de</w:t>
            </w:r>
            <w:r>
              <w:rPr>
                <w:sz w:val="18"/>
                <w:szCs w:val="18"/>
              </w:rPr>
              <w:t> </w:t>
            </w:r>
            <w:r w:rsidRPr="00E6157B">
              <w:rPr>
                <w:sz w:val="18"/>
                <w:szCs w:val="18"/>
              </w:rPr>
              <w:t>type</w:t>
            </w:r>
          </w:p>
        </w:tc>
      </w:tr>
      <w:tr w:rsidR="00B73323" w:rsidRPr="00E6157B" w:rsidTr="00B73323">
        <w:tc>
          <w:tcPr>
            <w:tcW w:w="1281" w:type="dxa"/>
            <w:vMerge/>
            <w:shd w:val="clear" w:color="auto" w:fill="auto"/>
          </w:tcPr>
          <w:p w:rsidR="00B73323" w:rsidRPr="00E6157B" w:rsidRDefault="00B73323" w:rsidP="00E6157B">
            <w:pPr>
              <w:tabs>
                <w:tab w:val="left" w:pos="1418"/>
                <w:tab w:val="left" w:pos="2977"/>
                <w:tab w:val="left" w:pos="4395"/>
              </w:tabs>
              <w:spacing w:before="40" w:after="40" w:line="240" w:lineRule="auto"/>
              <w:ind w:left="57" w:right="57"/>
              <w:rPr>
                <w:rFonts w:cs="Arial"/>
              </w:rPr>
            </w:pPr>
          </w:p>
        </w:tc>
        <w:tc>
          <w:tcPr>
            <w:tcW w:w="2613" w:type="dxa"/>
            <w:shd w:val="clear" w:color="auto" w:fill="auto"/>
          </w:tcPr>
          <w:p w:rsidR="00B73323" w:rsidRPr="00E6157B" w:rsidRDefault="00B73323" w:rsidP="00E6157B">
            <w:pPr>
              <w:spacing w:before="40" w:after="40" w:line="240" w:lineRule="auto"/>
              <w:ind w:left="57" w:right="57"/>
              <w:rPr>
                <w:rFonts w:cs="Arial"/>
              </w:rPr>
            </w:pPr>
            <w:r w:rsidRPr="00E6157B">
              <w:rPr>
                <w:sz w:val="18"/>
                <w:szCs w:val="18"/>
                <w:u w:val="single"/>
              </w:rPr>
              <w:t>Paragraphe 5.3.8 de</w:t>
            </w:r>
            <w:r w:rsidRPr="00E6157B">
              <w:rPr>
                <w:sz w:val="18"/>
                <w:szCs w:val="18"/>
              </w:rPr>
              <w:t xml:space="preserve"> EN </w:t>
            </w:r>
            <w:proofErr w:type="gramStart"/>
            <w:r w:rsidRPr="00E6157B">
              <w:rPr>
                <w:sz w:val="18"/>
                <w:szCs w:val="18"/>
              </w:rPr>
              <w:t>13152:</w:t>
            </w:r>
            <w:proofErr w:type="gramEnd"/>
            <w:r w:rsidRPr="00E6157B">
              <w:rPr>
                <w:sz w:val="18"/>
                <w:szCs w:val="18"/>
              </w:rPr>
              <w:t>2001 + A1:2003</w:t>
            </w:r>
          </w:p>
        </w:tc>
        <w:tc>
          <w:tcPr>
            <w:tcW w:w="3476" w:type="dxa"/>
            <w:shd w:val="clear" w:color="auto" w:fill="auto"/>
          </w:tcPr>
          <w:p w:rsidR="00B73323" w:rsidRPr="00E6157B" w:rsidRDefault="00B73323" w:rsidP="00E6157B">
            <w:pPr>
              <w:spacing w:before="40" w:after="40" w:line="240" w:lineRule="auto"/>
              <w:ind w:left="57" w:right="57"/>
              <w:rPr>
                <w:rFonts w:cs="Arial"/>
                <w:u w:val="single"/>
              </w:rPr>
            </w:pPr>
            <w:r w:rsidRPr="00E6157B">
              <w:rPr>
                <w:sz w:val="18"/>
                <w:szCs w:val="18"/>
              </w:rPr>
              <w:t xml:space="preserve">Spécifications et essais pour valves de bouteilles de gaz de pétrole liquéfié (GPL) </w:t>
            </w:r>
            <w:r>
              <w:rPr>
                <w:sz w:val="18"/>
                <w:szCs w:val="18"/>
              </w:rPr>
              <w:t xml:space="preserve">− </w:t>
            </w:r>
            <w:r w:rsidRPr="00E6157B">
              <w:rPr>
                <w:sz w:val="18"/>
                <w:szCs w:val="18"/>
              </w:rPr>
              <w:t>Fermeture automatique</w:t>
            </w:r>
          </w:p>
        </w:tc>
      </w:tr>
      <w:tr w:rsidR="00B73323" w:rsidRPr="00E6157B" w:rsidTr="00B73323">
        <w:tc>
          <w:tcPr>
            <w:tcW w:w="1281" w:type="dxa"/>
            <w:vMerge/>
            <w:shd w:val="clear" w:color="auto" w:fill="auto"/>
          </w:tcPr>
          <w:p w:rsidR="00B73323" w:rsidRPr="00E6157B" w:rsidRDefault="00B73323" w:rsidP="00E6157B">
            <w:pPr>
              <w:tabs>
                <w:tab w:val="left" w:pos="1418"/>
                <w:tab w:val="left" w:pos="2977"/>
                <w:tab w:val="left" w:pos="4395"/>
              </w:tabs>
              <w:spacing w:before="40" w:after="40" w:line="240" w:lineRule="auto"/>
              <w:ind w:left="57" w:right="57"/>
              <w:rPr>
                <w:rFonts w:cs="Arial"/>
              </w:rPr>
            </w:pPr>
          </w:p>
        </w:tc>
        <w:tc>
          <w:tcPr>
            <w:tcW w:w="2613" w:type="dxa"/>
            <w:shd w:val="clear" w:color="auto" w:fill="auto"/>
          </w:tcPr>
          <w:p w:rsidR="00B73323" w:rsidRPr="00E6157B" w:rsidRDefault="00B73323" w:rsidP="00E6157B">
            <w:pPr>
              <w:spacing w:before="40" w:after="40" w:line="240" w:lineRule="auto"/>
              <w:ind w:left="57" w:right="57"/>
              <w:rPr>
                <w:rFonts w:cs="Arial"/>
              </w:rPr>
            </w:pPr>
            <w:r w:rsidRPr="00E6157B">
              <w:rPr>
                <w:sz w:val="18"/>
                <w:szCs w:val="18"/>
                <w:u w:val="single"/>
              </w:rPr>
              <w:t xml:space="preserve">Paragraphe 5.3.7 de </w:t>
            </w:r>
            <w:r w:rsidRPr="00E6157B">
              <w:rPr>
                <w:sz w:val="18"/>
                <w:szCs w:val="18"/>
              </w:rPr>
              <w:t xml:space="preserve">EN </w:t>
            </w:r>
            <w:proofErr w:type="gramStart"/>
            <w:r w:rsidRPr="00E6157B">
              <w:rPr>
                <w:sz w:val="18"/>
                <w:szCs w:val="18"/>
              </w:rPr>
              <w:t>13153:</w:t>
            </w:r>
            <w:proofErr w:type="gramEnd"/>
            <w:r w:rsidRPr="00E6157B">
              <w:rPr>
                <w:sz w:val="18"/>
                <w:szCs w:val="18"/>
              </w:rPr>
              <w:t>2001 + A1:2003</w:t>
            </w:r>
          </w:p>
        </w:tc>
        <w:tc>
          <w:tcPr>
            <w:tcW w:w="3476" w:type="dxa"/>
            <w:shd w:val="clear" w:color="auto" w:fill="auto"/>
          </w:tcPr>
          <w:p w:rsidR="00B73323" w:rsidRPr="00E6157B" w:rsidRDefault="00B73323" w:rsidP="00E6157B">
            <w:pPr>
              <w:spacing w:before="40" w:after="40" w:line="240" w:lineRule="auto"/>
              <w:ind w:left="57" w:right="57"/>
              <w:rPr>
                <w:rFonts w:cs="Arial"/>
                <w:u w:val="single"/>
              </w:rPr>
            </w:pPr>
            <w:r w:rsidRPr="00E6157B">
              <w:rPr>
                <w:sz w:val="18"/>
                <w:szCs w:val="18"/>
              </w:rPr>
              <w:t xml:space="preserve">Spécifications et essais pour valves de bouteilles de gaz de pétrole liquéfié (GPL) </w:t>
            </w:r>
            <w:r>
              <w:rPr>
                <w:sz w:val="18"/>
                <w:szCs w:val="18"/>
              </w:rPr>
              <w:t xml:space="preserve">− </w:t>
            </w:r>
            <w:r w:rsidRPr="00E6157B">
              <w:rPr>
                <w:sz w:val="18"/>
                <w:szCs w:val="18"/>
              </w:rPr>
              <w:t>Fermeture manuelle</w:t>
            </w:r>
          </w:p>
        </w:tc>
      </w:tr>
      <w:tr w:rsidR="00B73323" w:rsidRPr="00E6157B" w:rsidTr="00B73323">
        <w:tc>
          <w:tcPr>
            <w:tcW w:w="1281" w:type="dxa"/>
            <w:vMerge w:val="restart"/>
            <w:shd w:val="clear" w:color="auto" w:fill="auto"/>
          </w:tcPr>
          <w:p w:rsidR="00B73323" w:rsidRPr="00E6157B" w:rsidRDefault="00B73323" w:rsidP="00B73323">
            <w:pPr>
              <w:keepNext/>
              <w:tabs>
                <w:tab w:val="left" w:pos="1418"/>
                <w:tab w:val="left" w:pos="2977"/>
                <w:tab w:val="left" w:pos="4395"/>
              </w:tabs>
              <w:spacing w:before="40" w:after="40" w:line="240" w:lineRule="auto"/>
              <w:ind w:left="57" w:right="57"/>
              <w:rPr>
                <w:rFonts w:cs="Arial"/>
              </w:rPr>
            </w:pPr>
          </w:p>
        </w:tc>
        <w:tc>
          <w:tcPr>
            <w:tcW w:w="2613" w:type="dxa"/>
            <w:shd w:val="clear" w:color="auto" w:fill="auto"/>
          </w:tcPr>
          <w:p w:rsidR="00B73323" w:rsidRPr="00E6157B" w:rsidRDefault="00B73323" w:rsidP="00B73323">
            <w:pPr>
              <w:keepNext/>
              <w:spacing w:before="40" w:after="40" w:line="240" w:lineRule="auto"/>
              <w:ind w:left="57" w:right="57"/>
              <w:rPr>
                <w:rFonts w:cs="Arial"/>
              </w:rPr>
            </w:pPr>
            <w:r w:rsidRPr="00E6157B">
              <w:rPr>
                <w:sz w:val="18"/>
                <w:szCs w:val="18"/>
                <w:u w:val="single"/>
              </w:rPr>
              <w:t>Paragraphe 5.9</w:t>
            </w:r>
            <w:r w:rsidRPr="00E6157B">
              <w:rPr>
                <w:sz w:val="18"/>
                <w:szCs w:val="18"/>
              </w:rPr>
              <w:t xml:space="preserve"> de EN ISO </w:t>
            </w:r>
            <w:proofErr w:type="gramStart"/>
            <w:r w:rsidRPr="00E6157B">
              <w:rPr>
                <w:sz w:val="18"/>
                <w:szCs w:val="18"/>
              </w:rPr>
              <w:t>14245:</w:t>
            </w:r>
            <w:proofErr w:type="gramEnd"/>
            <w:r w:rsidRPr="00E6157B">
              <w:rPr>
                <w:sz w:val="18"/>
                <w:szCs w:val="18"/>
              </w:rPr>
              <w:t xml:space="preserve">2010 </w:t>
            </w:r>
            <w:r w:rsidRPr="00E6157B">
              <w:rPr>
                <w:b/>
                <w:bCs/>
                <w:sz w:val="18"/>
                <w:szCs w:val="18"/>
                <w:u w:val="single"/>
              </w:rPr>
              <w:t>ou</w:t>
            </w:r>
            <w:r>
              <w:rPr>
                <w:b/>
                <w:bCs/>
                <w:sz w:val="18"/>
                <w:szCs w:val="18"/>
                <w:u w:val="single"/>
              </w:rPr>
              <w:t xml:space="preserve"> </w:t>
            </w:r>
            <w:r w:rsidRPr="00E6157B">
              <w:rPr>
                <w:b/>
                <w:bCs/>
                <w:sz w:val="18"/>
                <w:szCs w:val="18"/>
                <w:u w:val="single"/>
              </w:rPr>
              <w:t>paragraphe 5.9 de EN ISO 14245:2019</w:t>
            </w:r>
          </w:p>
        </w:tc>
        <w:tc>
          <w:tcPr>
            <w:tcW w:w="3476" w:type="dxa"/>
            <w:shd w:val="clear" w:color="auto" w:fill="auto"/>
          </w:tcPr>
          <w:p w:rsidR="00B73323" w:rsidRPr="00E6157B" w:rsidRDefault="00B73323" w:rsidP="00B73323">
            <w:pPr>
              <w:keepNext/>
              <w:tabs>
                <w:tab w:val="left" w:pos="1418"/>
                <w:tab w:val="left" w:pos="2977"/>
                <w:tab w:val="left" w:pos="4395"/>
              </w:tabs>
              <w:spacing w:before="40" w:after="40" w:line="240" w:lineRule="auto"/>
              <w:ind w:left="57" w:right="57"/>
              <w:rPr>
                <w:rFonts w:cs="Arial"/>
                <w:u w:val="single"/>
              </w:rPr>
            </w:pPr>
            <w:r w:rsidRPr="00E6157B">
              <w:rPr>
                <w:sz w:val="18"/>
                <w:szCs w:val="18"/>
              </w:rPr>
              <w:t xml:space="preserve">Bouteilles à gaz </w:t>
            </w:r>
            <w:r>
              <w:rPr>
                <w:sz w:val="18"/>
                <w:szCs w:val="18"/>
              </w:rPr>
              <w:t>−</w:t>
            </w:r>
            <w:r w:rsidRPr="00E6157B">
              <w:rPr>
                <w:sz w:val="18"/>
                <w:szCs w:val="18"/>
              </w:rPr>
              <w:t xml:space="preserve"> Spécifications et essais pour valves de bouteilles de GPL </w:t>
            </w:r>
            <w:r>
              <w:rPr>
                <w:sz w:val="18"/>
                <w:szCs w:val="18"/>
              </w:rPr>
              <w:t>−</w:t>
            </w:r>
            <w:r w:rsidRPr="00E6157B">
              <w:rPr>
                <w:sz w:val="18"/>
                <w:szCs w:val="18"/>
              </w:rPr>
              <w:t xml:space="preserve"> Fermeture automatique</w:t>
            </w:r>
          </w:p>
        </w:tc>
      </w:tr>
      <w:tr w:rsidR="00B73323" w:rsidRPr="00E6157B" w:rsidTr="00B73323">
        <w:tc>
          <w:tcPr>
            <w:tcW w:w="1281" w:type="dxa"/>
            <w:vMerge/>
            <w:shd w:val="clear" w:color="auto" w:fill="auto"/>
          </w:tcPr>
          <w:p w:rsidR="00B73323" w:rsidRPr="00E6157B" w:rsidRDefault="00B73323" w:rsidP="00E6157B">
            <w:pPr>
              <w:tabs>
                <w:tab w:val="left" w:pos="1418"/>
                <w:tab w:val="left" w:pos="2977"/>
                <w:tab w:val="left" w:pos="4395"/>
              </w:tabs>
              <w:spacing w:before="40" w:after="40" w:line="240" w:lineRule="auto"/>
              <w:ind w:left="57" w:right="57"/>
            </w:pPr>
          </w:p>
        </w:tc>
        <w:tc>
          <w:tcPr>
            <w:tcW w:w="2613" w:type="dxa"/>
            <w:shd w:val="clear" w:color="auto" w:fill="auto"/>
          </w:tcPr>
          <w:p w:rsidR="00B73323" w:rsidRPr="00E6157B" w:rsidRDefault="00B73323" w:rsidP="00E6157B">
            <w:pPr>
              <w:spacing w:before="40" w:after="40" w:line="240" w:lineRule="auto"/>
              <w:ind w:left="57" w:right="57"/>
              <w:rPr>
                <w:rFonts w:cs="Arial"/>
              </w:rPr>
            </w:pPr>
            <w:r w:rsidRPr="00E6157B">
              <w:rPr>
                <w:sz w:val="18"/>
                <w:szCs w:val="18"/>
                <w:u w:val="single"/>
              </w:rPr>
              <w:t>Paragraphe 5.10 de</w:t>
            </w:r>
            <w:r w:rsidR="00AD367F" w:rsidRPr="00AD367F">
              <w:rPr>
                <w:sz w:val="18"/>
                <w:szCs w:val="18"/>
              </w:rPr>
              <w:t xml:space="preserve"> </w:t>
            </w:r>
            <w:r w:rsidRPr="00E6157B">
              <w:rPr>
                <w:sz w:val="18"/>
                <w:szCs w:val="18"/>
              </w:rPr>
              <w:t xml:space="preserve">EN ISO </w:t>
            </w:r>
            <w:proofErr w:type="gramStart"/>
            <w:r w:rsidRPr="00E6157B">
              <w:rPr>
                <w:sz w:val="18"/>
                <w:szCs w:val="18"/>
              </w:rPr>
              <w:t>15995:</w:t>
            </w:r>
            <w:proofErr w:type="gramEnd"/>
            <w:r w:rsidRPr="00E6157B">
              <w:rPr>
                <w:sz w:val="18"/>
                <w:szCs w:val="18"/>
              </w:rPr>
              <w:t xml:space="preserve">2010 </w:t>
            </w:r>
            <w:r w:rsidRPr="00E6157B">
              <w:rPr>
                <w:b/>
                <w:bCs/>
                <w:sz w:val="18"/>
                <w:szCs w:val="18"/>
                <w:u w:val="single"/>
              </w:rPr>
              <w:t>ou</w:t>
            </w:r>
            <w:r>
              <w:rPr>
                <w:b/>
                <w:bCs/>
                <w:sz w:val="18"/>
                <w:szCs w:val="18"/>
                <w:u w:val="single"/>
              </w:rPr>
              <w:t xml:space="preserve"> </w:t>
            </w:r>
            <w:r w:rsidRPr="00E6157B">
              <w:rPr>
                <w:b/>
                <w:bCs/>
                <w:sz w:val="18"/>
                <w:szCs w:val="18"/>
                <w:u w:val="single"/>
              </w:rPr>
              <w:t>paragraphe 5.10 de EN ISO 15995:2019</w:t>
            </w:r>
          </w:p>
        </w:tc>
        <w:tc>
          <w:tcPr>
            <w:tcW w:w="3476" w:type="dxa"/>
            <w:shd w:val="clear" w:color="auto" w:fill="auto"/>
          </w:tcPr>
          <w:p w:rsidR="00B73323" w:rsidRPr="00E6157B" w:rsidRDefault="00B73323" w:rsidP="00E6157B">
            <w:pPr>
              <w:tabs>
                <w:tab w:val="left" w:pos="1418"/>
                <w:tab w:val="left" w:pos="2977"/>
                <w:tab w:val="left" w:pos="4395"/>
              </w:tabs>
              <w:spacing w:before="40" w:after="40" w:line="240" w:lineRule="auto"/>
              <w:ind w:left="57" w:right="57"/>
              <w:rPr>
                <w:rFonts w:cs="Arial"/>
                <w:u w:val="single"/>
              </w:rPr>
            </w:pPr>
            <w:r w:rsidRPr="00E6157B">
              <w:rPr>
                <w:sz w:val="18"/>
                <w:szCs w:val="18"/>
              </w:rPr>
              <w:t xml:space="preserve">Bouteilles à gaz </w:t>
            </w:r>
            <w:r>
              <w:rPr>
                <w:sz w:val="18"/>
                <w:szCs w:val="18"/>
              </w:rPr>
              <w:t>−</w:t>
            </w:r>
            <w:r w:rsidRPr="00E6157B">
              <w:rPr>
                <w:sz w:val="18"/>
                <w:szCs w:val="18"/>
              </w:rPr>
              <w:t xml:space="preserve"> Spécifications et essais pour valves de bouteilles de GPL </w:t>
            </w:r>
            <w:r>
              <w:rPr>
                <w:sz w:val="18"/>
                <w:szCs w:val="18"/>
              </w:rPr>
              <w:t>−</w:t>
            </w:r>
            <w:r w:rsidRPr="00E6157B">
              <w:rPr>
                <w:sz w:val="18"/>
                <w:szCs w:val="18"/>
              </w:rPr>
              <w:t xml:space="preserve"> Fermeture manuelle</w:t>
            </w:r>
          </w:p>
        </w:tc>
      </w:tr>
      <w:tr w:rsidR="00B73323" w:rsidRPr="00E6157B" w:rsidTr="00B73323">
        <w:tc>
          <w:tcPr>
            <w:tcW w:w="1281" w:type="dxa"/>
            <w:vMerge/>
            <w:shd w:val="clear" w:color="auto" w:fill="auto"/>
          </w:tcPr>
          <w:p w:rsidR="00B73323" w:rsidRPr="00E6157B" w:rsidRDefault="00B73323" w:rsidP="00E6157B">
            <w:pPr>
              <w:tabs>
                <w:tab w:val="left" w:pos="1418"/>
                <w:tab w:val="left" w:pos="2977"/>
                <w:tab w:val="left" w:pos="4395"/>
              </w:tabs>
              <w:spacing w:before="40" w:after="40" w:line="240" w:lineRule="auto"/>
              <w:ind w:left="57" w:right="57"/>
            </w:pPr>
          </w:p>
        </w:tc>
        <w:tc>
          <w:tcPr>
            <w:tcW w:w="2613" w:type="dxa"/>
            <w:shd w:val="clear" w:color="auto" w:fill="auto"/>
          </w:tcPr>
          <w:p w:rsidR="00B73323" w:rsidRPr="00E6157B" w:rsidRDefault="00B73323" w:rsidP="00E6157B">
            <w:pPr>
              <w:spacing w:before="40" w:after="40" w:line="240" w:lineRule="auto"/>
              <w:ind w:left="57" w:right="57"/>
              <w:rPr>
                <w:rFonts w:cs="Arial"/>
              </w:rPr>
            </w:pPr>
            <w:r w:rsidRPr="00E6157B">
              <w:rPr>
                <w:sz w:val="18"/>
                <w:szCs w:val="18"/>
                <w:u w:val="single"/>
              </w:rPr>
              <w:t>Paragraphe 5.4.2 de</w:t>
            </w:r>
            <w:r w:rsidRPr="00E6157B">
              <w:rPr>
                <w:sz w:val="18"/>
                <w:szCs w:val="18"/>
              </w:rPr>
              <w:t xml:space="preserve"> EN ISO </w:t>
            </w:r>
            <w:proofErr w:type="gramStart"/>
            <w:r w:rsidRPr="00E6157B">
              <w:rPr>
                <w:sz w:val="18"/>
                <w:szCs w:val="18"/>
              </w:rPr>
              <w:t>17879:</w:t>
            </w:r>
            <w:proofErr w:type="gramEnd"/>
            <w:r w:rsidRPr="00E6157B">
              <w:rPr>
                <w:sz w:val="18"/>
                <w:szCs w:val="18"/>
              </w:rPr>
              <w:t>2017</w:t>
            </w:r>
          </w:p>
        </w:tc>
        <w:tc>
          <w:tcPr>
            <w:tcW w:w="3476" w:type="dxa"/>
            <w:shd w:val="clear" w:color="auto" w:fill="auto"/>
          </w:tcPr>
          <w:p w:rsidR="00B73323" w:rsidRPr="00E6157B" w:rsidRDefault="00B73323" w:rsidP="00E6157B">
            <w:pPr>
              <w:tabs>
                <w:tab w:val="left" w:pos="1418"/>
                <w:tab w:val="left" w:pos="2977"/>
                <w:tab w:val="left" w:pos="4395"/>
              </w:tabs>
              <w:spacing w:before="40" w:after="40" w:line="240" w:lineRule="auto"/>
              <w:ind w:left="57" w:right="57"/>
              <w:rPr>
                <w:rFonts w:cs="Arial"/>
                <w:u w:val="single"/>
              </w:rPr>
            </w:pPr>
            <w:r w:rsidRPr="00E6157B">
              <w:rPr>
                <w:sz w:val="18"/>
                <w:szCs w:val="18"/>
              </w:rPr>
              <w:t xml:space="preserve">Bouteilles à gaz </w:t>
            </w:r>
            <w:r>
              <w:rPr>
                <w:sz w:val="18"/>
                <w:szCs w:val="18"/>
              </w:rPr>
              <w:t>−</w:t>
            </w:r>
            <w:r w:rsidRPr="00E6157B">
              <w:rPr>
                <w:sz w:val="18"/>
                <w:szCs w:val="18"/>
              </w:rPr>
              <w:t xml:space="preserve"> Robinets de bouteilles équipés de clapets auto-obturants </w:t>
            </w:r>
            <w:r>
              <w:rPr>
                <w:sz w:val="18"/>
                <w:szCs w:val="18"/>
              </w:rPr>
              <w:t>−</w:t>
            </w:r>
            <w:r w:rsidRPr="00E6157B">
              <w:rPr>
                <w:sz w:val="18"/>
                <w:szCs w:val="18"/>
              </w:rPr>
              <w:t xml:space="preserve"> Spécifications et essais de type</w:t>
            </w:r>
          </w:p>
        </w:tc>
      </w:tr>
      <w:tr w:rsidR="00E6157B" w:rsidRPr="00E6157B" w:rsidTr="00B73323">
        <w:tc>
          <w:tcPr>
            <w:tcW w:w="1281" w:type="dxa"/>
            <w:vMerge w:val="restart"/>
            <w:shd w:val="clear" w:color="auto" w:fill="auto"/>
          </w:tcPr>
          <w:p w:rsidR="00E6157B" w:rsidRPr="00E6157B" w:rsidRDefault="00E6157B" w:rsidP="00E6157B">
            <w:pPr>
              <w:spacing w:before="40" w:after="40" w:line="240" w:lineRule="auto"/>
              <w:ind w:left="57" w:right="57"/>
            </w:pPr>
            <w:r w:rsidRPr="00E6157B">
              <w:rPr>
                <w:sz w:val="18"/>
                <w:szCs w:val="18"/>
              </w:rPr>
              <w:t>4.1.6.8 b) et c)</w:t>
            </w:r>
          </w:p>
        </w:tc>
        <w:tc>
          <w:tcPr>
            <w:tcW w:w="2613" w:type="dxa"/>
            <w:shd w:val="clear" w:color="auto" w:fill="auto"/>
          </w:tcPr>
          <w:p w:rsidR="00E6157B" w:rsidRPr="00E6157B" w:rsidRDefault="00E6157B" w:rsidP="00E6157B">
            <w:pPr>
              <w:spacing w:before="40" w:after="40" w:line="240" w:lineRule="auto"/>
              <w:ind w:left="57" w:right="57"/>
              <w:rPr>
                <w:rFonts w:cs="Arial"/>
                <w:sz w:val="18"/>
                <w:szCs w:val="18"/>
              </w:rPr>
            </w:pPr>
            <w:r w:rsidRPr="00E6157B">
              <w:rPr>
                <w:sz w:val="18"/>
                <w:szCs w:val="18"/>
              </w:rPr>
              <w:t xml:space="preserve">ISO </w:t>
            </w:r>
            <w:proofErr w:type="gramStart"/>
            <w:r w:rsidRPr="00E6157B">
              <w:rPr>
                <w:sz w:val="18"/>
                <w:szCs w:val="18"/>
              </w:rPr>
              <w:t>11117:</w:t>
            </w:r>
            <w:proofErr w:type="gramEnd"/>
            <w:r w:rsidRPr="00E6157B">
              <w:rPr>
                <w:sz w:val="18"/>
                <w:szCs w:val="18"/>
              </w:rPr>
              <w:t>1998 ou EN ISO 11117:2008 + Cor</w:t>
            </w:r>
            <w:r w:rsidR="00B73323">
              <w:rPr>
                <w:sz w:val="18"/>
                <w:szCs w:val="18"/>
              </w:rPr>
              <w:t xml:space="preserve"> 1</w:t>
            </w:r>
            <w:r w:rsidRPr="00E6157B">
              <w:rPr>
                <w:sz w:val="18"/>
                <w:szCs w:val="18"/>
              </w:rPr>
              <w:t xml:space="preserve">:2009 </w:t>
            </w:r>
            <w:r w:rsidRPr="00E6157B">
              <w:rPr>
                <w:b/>
                <w:bCs/>
                <w:sz w:val="18"/>
                <w:szCs w:val="18"/>
                <w:u w:val="single"/>
              </w:rPr>
              <w:t>ou EN ISO 11117:2019</w:t>
            </w:r>
          </w:p>
        </w:tc>
        <w:tc>
          <w:tcPr>
            <w:tcW w:w="3476" w:type="dxa"/>
            <w:shd w:val="clear" w:color="auto" w:fill="auto"/>
          </w:tcPr>
          <w:p w:rsidR="00E6157B" w:rsidRPr="00E6157B" w:rsidRDefault="00E6157B" w:rsidP="00E6157B">
            <w:pPr>
              <w:spacing w:before="40" w:after="40" w:line="240" w:lineRule="auto"/>
              <w:ind w:left="57" w:right="57"/>
              <w:rPr>
                <w:rFonts w:cs="Arial"/>
                <w:sz w:val="18"/>
                <w:szCs w:val="18"/>
                <w:u w:val="single"/>
              </w:rPr>
            </w:pPr>
            <w:r w:rsidRPr="00E6157B">
              <w:rPr>
                <w:sz w:val="18"/>
                <w:szCs w:val="18"/>
              </w:rPr>
              <w:t xml:space="preserve">Bouteilles à gaz </w:t>
            </w:r>
            <w:r w:rsidR="00B73323">
              <w:rPr>
                <w:sz w:val="18"/>
                <w:szCs w:val="18"/>
              </w:rPr>
              <w:t>−</w:t>
            </w:r>
            <w:r w:rsidRPr="00E6157B">
              <w:rPr>
                <w:sz w:val="18"/>
                <w:szCs w:val="18"/>
              </w:rPr>
              <w:t xml:space="preserve"> Chapeaux fermés et chapeaux ouverts de protection des robinets</w:t>
            </w:r>
            <w:r w:rsidRPr="00E6157B">
              <w:rPr>
                <w:strike/>
                <w:sz w:val="18"/>
                <w:szCs w:val="18"/>
              </w:rPr>
              <w:t xml:space="preserve"> de bouteilles à gaz industriels et médicaux</w:t>
            </w:r>
            <w:r w:rsidRPr="00E6157B">
              <w:rPr>
                <w:sz w:val="18"/>
                <w:szCs w:val="18"/>
              </w:rPr>
              <w:t xml:space="preserve"> </w:t>
            </w:r>
            <w:r w:rsidR="00B73323">
              <w:rPr>
                <w:sz w:val="18"/>
                <w:szCs w:val="18"/>
              </w:rPr>
              <w:t xml:space="preserve">− </w:t>
            </w:r>
            <w:r w:rsidRPr="00E6157B">
              <w:rPr>
                <w:sz w:val="18"/>
                <w:szCs w:val="18"/>
              </w:rPr>
              <w:t>Conception, construction et essais</w:t>
            </w:r>
          </w:p>
        </w:tc>
      </w:tr>
      <w:tr w:rsidR="00E6157B" w:rsidRPr="00E6157B" w:rsidTr="00B73323">
        <w:tc>
          <w:tcPr>
            <w:tcW w:w="1281" w:type="dxa"/>
            <w:vMerge/>
            <w:tcBorders>
              <w:bottom w:val="single" w:sz="4" w:space="0" w:color="auto"/>
            </w:tcBorders>
            <w:shd w:val="clear" w:color="auto" w:fill="auto"/>
          </w:tcPr>
          <w:p w:rsidR="00E6157B" w:rsidRPr="00E6157B" w:rsidRDefault="00E6157B" w:rsidP="00E6157B">
            <w:pPr>
              <w:tabs>
                <w:tab w:val="left" w:pos="1418"/>
                <w:tab w:val="left" w:pos="2977"/>
                <w:tab w:val="left" w:pos="4395"/>
              </w:tabs>
              <w:spacing w:before="40" w:after="40" w:line="240" w:lineRule="auto"/>
              <w:ind w:left="57" w:right="57"/>
            </w:pPr>
          </w:p>
        </w:tc>
        <w:tc>
          <w:tcPr>
            <w:tcW w:w="2613" w:type="dxa"/>
            <w:tcBorders>
              <w:bottom w:val="single" w:sz="4" w:space="0" w:color="auto"/>
            </w:tcBorders>
            <w:shd w:val="clear" w:color="auto" w:fill="auto"/>
          </w:tcPr>
          <w:p w:rsidR="00E6157B" w:rsidRPr="00E6157B" w:rsidRDefault="00E6157B" w:rsidP="00E6157B">
            <w:pPr>
              <w:spacing w:before="40" w:after="40" w:line="240" w:lineRule="auto"/>
              <w:ind w:left="57" w:right="57"/>
              <w:rPr>
                <w:rFonts w:cs="Arial"/>
              </w:rPr>
            </w:pPr>
            <w:r w:rsidRPr="00E6157B">
              <w:rPr>
                <w:sz w:val="18"/>
                <w:szCs w:val="18"/>
              </w:rPr>
              <w:t xml:space="preserve">EN </w:t>
            </w:r>
            <w:proofErr w:type="gramStart"/>
            <w:r w:rsidRPr="00E6157B">
              <w:rPr>
                <w:sz w:val="18"/>
                <w:szCs w:val="18"/>
              </w:rPr>
              <w:t>962:</w:t>
            </w:r>
            <w:proofErr w:type="gramEnd"/>
            <w:r w:rsidRPr="00E6157B">
              <w:rPr>
                <w:sz w:val="18"/>
                <w:szCs w:val="18"/>
              </w:rPr>
              <w:t>1996 +A2:2000</w:t>
            </w:r>
          </w:p>
        </w:tc>
        <w:tc>
          <w:tcPr>
            <w:tcW w:w="3476" w:type="dxa"/>
            <w:tcBorders>
              <w:bottom w:val="single" w:sz="4" w:space="0" w:color="auto"/>
            </w:tcBorders>
            <w:shd w:val="clear" w:color="auto" w:fill="auto"/>
          </w:tcPr>
          <w:p w:rsidR="00E6157B" w:rsidRPr="00E6157B" w:rsidRDefault="00E6157B" w:rsidP="00E6157B">
            <w:pPr>
              <w:spacing w:before="40" w:after="40" w:line="240" w:lineRule="auto"/>
              <w:ind w:left="57" w:right="57"/>
              <w:rPr>
                <w:rFonts w:cs="Arial"/>
                <w:u w:val="single"/>
              </w:rPr>
            </w:pPr>
            <w:r w:rsidRPr="00E6157B">
              <w:rPr>
                <w:sz w:val="18"/>
                <w:szCs w:val="18"/>
                <w:u w:val="single"/>
              </w:rPr>
              <w:t xml:space="preserve">Bouteilles à gaz transportables </w:t>
            </w:r>
            <w:r w:rsidR="00B73323">
              <w:rPr>
                <w:sz w:val="18"/>
                <w:szCs w:val="18"/>
                <w:u w:val="single"/>
              </w:rPr>
              <w:t xml:space="preserve">− </w:t>
            </w:r>
            <w:r w:rsidRPr="00E6157B">
              <w:rPr>
                <w:sz w:val="18"/>
                <w:szCs w:val="18"/>
              </w:rPr>
              <w:t xml:space="preserve">Chapeaux fermés et chapeaux ouverts de protection des robinets de bouteilles à gaz industriels et médicaux </w:t>
            </w:r>
            <w:r w:rsidR="00B73323">
              <w:rPr>
                <w:sz w:val="18"/>
                <w:szCs w:val="18"/>
              </w:rPr>
              <w:t xml:space="preserve">− </w:t>
            </w:r>
            <w:r w:rsidRPr="00E6157B">
              <w:rPr>
                <w:sz w:val="18"/>
                <w:szCs w:val="18"/>
              </w:rPr>
              <w:t>Conception, construction et essais</w:t>
            </w:r>
          </w:p>
        </w:tc>
      </w:tr>
      <w:tr w:rsidR="00E6157B" w:rsidRPr="00E6157B" w:rsidTr="00B73323">
        <w:tc>
          <w:tcPr>
            <w:tcW w:w="1281" w:type="dxa"/>
            <w:vMerge/>
            <w:tcBorders>
              <w:bottom w:val="single" w:sz="4" w:space="0" w:color="auto"/>
            </w:tcBorders>
            <w:shd w:val="clear" w:color="auto" w:fill="auto"/>
          </w:tcPr>
          <w:p w:rsidR="00E6157B" w:rsidRPr="00E6157B" w:rsidRDefault="00E6157B" w:rsidP="00E6157B">
            <w:pPr>
              <w:tabs>
                <w:tab w:val="left" w:pos="1418"/>
                <w:tab w:val="left" w:pos="2977"/>
                <w:tab w:val="left" w:pos="4395"/>
              </w:tabs>
              <w:spacing w:before="40" w:after="40" w:line="240" w:lineRule="auto"/>
              <w:ind w:left="57" w:right="57"/>
            </w:pPr>
          </w:p>
        </w:tc>
        <w:tc>
          <w:tcPr>
            <w:tcW w:w="2613" w:type="dxa"/>
            <w:tcBorders>
              <w:bottom w:val="single" w:sz="4" w:space="0" w:color="auto"/>
            </w:tcBorders>
            <w:shd w:val="clear" w:color="auto" w:fill="auto"/>
          </w:tcPr>
          <w:p w:rsidR="00E6157B" w:rsidRPr="00E6157B" w:rsidRDefault="00E6157B" w:rsidP="00E6157B">
            <w:pPr>
              <w:tabs>
                <w:tab w:val="left" w:pos="1418"/>
                <w:tab w:val="left" w:pos="2977"/>
                <w:tab w:val="left" w:pos="4395"/>
              </w:tabs>
              <w:spacing w:before="40" w:after="40" w:line="240" w:lineRule="auto"/>
              <w:ind w:left="57" w:right="57"/>
              <w:rPr>
                <w:rFonts w:cs="Arial"/>
              </w:rPr>
            </w:pPr>
            <w:r w:rsidRPr="00E6157B">
              <w:rPr>
                <w:sz w:val="18"/>
                <w:szCs w:val="18"/>
              </w:rPr>
              <w:t xml:space="preserve">ISO </w:t>
            </w:r>
            <w:proofErr w:type="gramStart"/>
            <w:r w:rsidRPr="00E6157B">
              <w:rPr>
                <w:sz w:val="18"/>
                <w:szCs w:val="18"/>
              </w:rPr>
              <w:t>16111:</w:t>
            </w:r>
            <w:proofErr w:type="gramEnd"/>
            <w:r w:rsidRPr="00E6157B">
              <w:rPr>
                <w:sz w:val="18"/>
                <w:szCs w:val="18"/>
              </w:rPr>
              <w:t>2008</w:t>
            </w:r>
          </w:p>
        </w:tc>
        <w:tc>
          <w:tcPr>
            <w:tcW w:w="3476" w:type="dxa"/>
            <w:tcBorders>
              <w:bottom w:val="single" w:sz="4" w:space="0" w:color="auto"/>
            </w:tcBorders>
            <w:shd w:val="clear" w:color="auto" w:fill="auto"/>
          </w:tcPr>
          <w:p w:rsidR="00E6157B" w:rsidRPr="00E6157B" w:rsidRDefault="00E6157B" w:rsidP="00E6157B">
            <w:pPr>
              <w:tabs>
                <w:tab w:val="left" w:pos="1418"/>
                <w:tab w:val="left" w:pos="2977"/>
                <w:tab w:val="left" w:pos="4395"/>
              </w:tabs>
              <w:spacing w:before="40" w:after="40" w:line="240" w:lineRule="auto"/>
              <w:ind w:left="57" w:right="57"/>
              <w:rPr>
                <w:rFonts w:cs="Arial"/>
                <w:u w:val="single"/>
              </w:rPr>
            </w:pPr>
            <w:r w:rsidRPr="00E6157B">
              <w:rPr>
                <w:sz w:val="18"/>
                <w:szCs w:val="18"/>
              </w:rPr>
              <w:t xml:space="preserve">Appareils de stockage de gaz transportables </w:t>
            </w:r>
            <w:r w:rsidR="00B73323">
              <w:rPr>
                <w:sz w:val="18"/>
                <w:szCs w:val="18"/>
              </w:rPr>
              <w:t>−</w:t>
            </w:r>
            <w:r w:rsidRPr="00E6157B">
              <w:rPr>
                <w:sz w:val="18"/>
                <w:szCs w:val="18"/>
              </w:rPr>
              <w:t xml:space="preserve"> Hydrogène absorbé dans un hydrure métallique réversible</w:t>
            </w:r>
          </w:p>
        </w:tc>
      </w:tr>
    </w:tbl>
    <w:p w:rsidR="00E6157B" w:rsidRPr="00AD367F" w:rsidRDefault="00E6157B" w:rsidP="00B73323">
      <w:pPr>
        <w:pStyle w:val="SingleTxtG"/>
        <w:spacing w:before="240"/>
      </w:pPr>
      <w:r w:rsidRPr="00E6157B">
        <w:t>Tableau 2 :</w:t>
      </w:r>
      <w:r>
        <w:t xml:space="preserve"> </w:t>
      </w:r>
      <w:r w:rsidRPr="00E6157B">
        <w:t>Périodes d’applicabilité des normes</w:t>
      </w:r>
      <w:r>
        <w:t xml:space="preserve"> </w:t>
      </w:r>
      <w:r w:rsidRPr="00E6157B">
        <w:t>pour les chapeaux fermés et</w:t>
      </w:r>
      <w:r>
        <w:t xml:space="preserve"> </w:t>
      </w:r>
      <w:r w:rsidRPr="00E6157B">
        <w:t>les chapeaux ouverts de protection des robinets</w:t>
      </w:r>
      <w:r>
        <w:t xml:space="preserve"> </w:t>
      </w:r>
      <w:r w:rsidRPr="00E6157B">
        <w:t>montés sur des récipients à pression non UN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3991"/>
        <w:gridCol w:w="1559"/>
      </w:tblGrid>
      <w:tr w:rsidR="00E6157B" w:rsidRPr="00E6157B" w:rsidTr="00B73323">
        <w:tc>
          <w:tcPr>
            <w:tcW w:w="1820" w:type="dxa"/>
            <w:shd w:val="clear" w:color="auto" w:fill="auto"/>
            <w:vAlign w:val="center"/>
          </w:tcPr>
          <w:p w:rsidR="00E6157B" w:rsidRPr="00E6157B" w:rsidRDefault="00E6157B" w:rsidP="00AD367F">
            <w:pPr>
              <w:keepNext/>
              <w:tabs>
                <w:tab w:val="left" w:pos="1418"/>
                <w:tab w:val="left" w:pos="2977"/>
                <w:tab w:val="left" w:pos="4395"/>
              </w:tabs>
              <w:spacing w:before="60" w:after="60" w:line="240" w:lineRule="auto"/>
              <w:ind w:left="57" w:right="57"/>
              <w:jc w:val="center"/>
              <w:rPr>
                <w:rFonts w:cs="Arial"/>
                <w:b/>
                <w:sz w:val="18"/>
                <w:szCs w:val="18"/>
                <w:u w:val="single"/>
              </w:rPr>
            </w:pPr>
            <w:r w:rsidRPr="00E6157B">
              <w:rPr>
                <w:b/>
                <w:bCs/>
                <w:sz w:val="18"/>
                <w:szCs w:val="18"/>
                <w:u w:val="single"/>
              </w:rPr>
              <w:t>Référence</w:t>
            </w:r>
          </w:p>
        </w:tc>
        <w:tc>
          <w:tcPr>
            <w:tcW w:w="3992" w:type="dxa"/>
            <w:shd w:val="clear" w:color="auto" w:fill="auto"/>
            <w:vAlign w:val="center"/>
          </w:tcPr>
          <w:p w:rsidR="00E6157B" w:rsidRPr="00E6157B" w:rsidRDefault="00E6157B" w:rsidP="00AD367F">
            <w:pPr>
              <w:keepNext/>
              <w:tabs>
                <w:tab w:val="left" w:pos="1418"/>
                <w:tab w:val="left" w:pos="2977"/>
                <w:tab w:val="left" w:pos="4395"/>
              </w:tabs>
              <w:spacing w:before="60" w:after="60" w:line="240" w:lineRule="auto"/>
              <w:ind w:left="57" w:right="57"/>
              <w:jc w:val="center"/>
              <w:rPr>
                <w:rFonts w:cs="Arial"/>
                <w:b/>
                <w:sz w:val="18"/>
                <w:szCs w:val="18"/>
                <w:u w:val="single"/>
              </w:rPr>
            </w:pPr>
            <w:r w:rsidRPr="00E6157B">
              <w:rPr>
                <w:b/>
                <w:bCs/>
                <w:sz w:val="18"/>
                <w:szCs w:val="18"/>
                <w:u w:val="single"/>
              </w:rPr>
              <w:t>Titre du document</w:t>
            </w:r>
          </w:p>
        </w:tc>
        <w:tc>
          <w:tcPr>
            <w:tcW w:w="1559" w:type="dxa"/>
            <w:shd w:val="clear" w:color="auto" w:fill="auto"/>
          </w:tcPr>
          <w:p w:rsidR="00E6157B" w:rsidRPr="00E6157B" w:rsidRDefault="00E6157B" w:rsidP="00AD367F">
            <w:pPr>
              <w:keepNext/>
              <w:spacing w:before="60" w:after="60" w:line="240" w:lineRule="auto"/>
              <w:ind w:left="57" w:right="57"/>
              <w:jc w:val="center"/>
              <w:rPr>
                <w:b/>
                <w:sz w:val="18"/>
                <w:szCs w:val="18"/>
                <w:u w:val="single"/>
              </w:rPr>
            </w:pPr>
            <w:r w:rsidRPr="00E6157B">
              <w:rPr>
                <w:b/>
                <w:sz w:val="18"/>
                <w:szCs w:val="18"/>
                <w:u w:val="single"/>
              </w:rPr>
              <w:t>Applicable pour la</w:t>
            </w:r>
            <w:r w:rsidR="00B73323">
              <w:rPr>
                <w:b/>
                <w:sz w:val="18"/>
                <w:szCs w:val="18"/>
                <w:u w:val="single"/>
              </w:rPr>
              <w:t> </w:t>
            </w:r>
            <w:r w:rsidRPr="00E6157B">
              <w:rPr>
                <w:b/>
                <w:sz w:val="18"/>
                <w:szCs w:val="18"/>
                <w:u w:val="single"/>
              </w:rPr>
              <w:t>fabrication</w:t>
            </w:r>
          </w:p>
        </w:tc>
      </w:tr>
      <w:tr w:rsidR="00E6157B" w:rsidRPr="00E6157B" w:rsidTr="00B73323">
        <w:tc>
          <w:tcPr>
            <w:tcW w:w="1820" w:type="dxa"/>
            <w:shd w:val="clear" w:color="auto" w:fill="auto"/>
          </w:tcPr>
          <w:p w:rsidR="00E6157B" w:rsidRPr="00E6157B" w:rsidRDefault="00E6157B" w:rsidP="00B73323">
            <w:pPr>
              <w:spacing w:before="40" w:after="40" w:line="240" w:lineRule="auto"/>
              <w:ind w:left="57" w:right="57"/>
              <w:rPr>
                <w:rFonts w:cs="Arial"/>
                <w:sz w:val="18"/>
                <w:szCs w:val="18"/>
                <w:u w:val="single"/>
              </w:rPr>
            </w:pPr>
            <w:r w:rsidRPr="00E6157B">
              <w:rPr>
                <w:sz w:val="18"/>
                <w:szCs w:val="18"/>
                <w:u w:val="single"/>
              </w:rPr>
              <w:t xml:space="preserve">ISO </w:t>
            </w:r>
            <w:proofErr w:type="gramStart"/>
            <w:r w:rsidRPr="00E6157B">
              <w:rPr>
                <w:sz w:val="18"/>
                <w:szCs w:val="18"/>
                <w:u w:val="single"/>
              </w:rPr>
              <w:t>11117:</w:t>
            </w:r>
            <w:proofErr w:type="gramEnd"/>
            <w:r w:rsidRPr="00E6157B">
              <w:rPr>
                <w:sz w:val="18"/>
                <w:szCs w:val="18"/>
                <w:u w:val="single"/>
              </w:rPr>
              <w:t>1998</w:t>
            </w:r>
          </w:p>
        </w:tc>
        <w:tc>
          <w:tcPr>
            <w:tcW w:w="3992" w:type="dxa"/>
            <w:shd w:val="clear" w:color="auto" w:fill="auto"/>
          </w:tcPr>
          <w:p w:rsidR="00E6157B" w:rsidRPr="00E6157B" w:rsidRDefault="00E6157B" w:rsidP="00B73323">
            <w:pPr>
              <w:spacing w:before="40" w:after="40" w:line="240" w:lineRule="auto"/>
              <w:ind w:left="57" w:right="57"/>
              <w:rPr>
                <w:rFonts w:cs="Arial"/>
                <w:u w:val="single"/>
              </w:rPr>
            </w:pPr>
            <w:r w:rsidRPr="00E6157B">
              <w:rPr>
                <w:sz w:val="18"/>
                <w:szCs w:val="18"/>
                <w:u w:val="single"/>
              </w:rPr>
              <w:t xml:space="preserve">Bouteilles à gaz </w:t>
            </w:r>
            <w:r w:rsidR="00B73323">
              <w:rPr>
                <w:sz w:val="18"/>
                <w:szCs w:val="18"/>
                <w:u w:val="single"/>
              </w:rPr>
              <w:t>−</w:t>
            </w:r>
            <w:r w:rsidRPr="00E6157B">
              <w:rPr>
                <w:sz w:val="18"/>
                <w:szCs w:val="18"/>
                <w:u w:val="single"/>
              </w:rPr>
              <w:t xml:space="preserve"> Chapeaux fermés et chapeaux ouverts de protection des robinets de bouteilles à gaz industriels et médicaux </w:t>
            </w:r>
            <w:r w:rsidR="00B73323">
              <w:rPr>
                <w:sz w:val="18"/>
                <w:szCs w:val="18"/>
                <w:u w:val="single"/>
              </w:rPr>
              <w:t>−</w:t>
            </w:r>
            <w:r w:rsidRPr="00E6157B">
              <w:rPr>
                <w:sz w:val="18"/>
                <w:szCs w:val="18"/>
                <w:u w:val="single"/>
              </w:rPr>
              <w:t xml:space="preserve"> Conception, construction et</w:t>
            </w:r>
            <w:r w:rsidR="00B73323">
              <w:rPr>
                <w:sz w:val="18"/>
                <w:szCs w:val="18"/>
                <w:u w:val="single"/>
              </w:rPr>
              <w:t> </w:t>
            </w:r>
            <w:r w:rsidRPr="00E6157B">
              <w:rPr>
                <w:sz w:val="18"/>
                <w:szCs w:val="18"/>
                <w:u w:val="single"/>
              </w:rPr>
              <w:t>essais</w:t>
            </w:r>
          </w:p>
        </w:tc>
        <w:tc>
          <w:tcPr>
            <w:tcW w:w="1559" w:type="dxa"/>
            <w:shd w:val="clear" w:color="auto" w:fill="auto"/>
          </w:tcPr>
          <w:p w:rsidR="00E6157B" w:rsidRPr="00E6157B" w:rsidRDefault="00E6157B" w:rsidP="00B73323">
            <w:pPr>
              <w:spacing w:before="40" w:after="40" w:line="240" w:lineRule="auto"/>
              <w:ind w:left="57" w:right="57"/>
              <w:rPr>
                <w:rFonts w:cs="Arial"/>
                <w:sz w:val="18"/>
                <w:szCs w:val="18"/>
                <w:u w:val="single"/>
              </w:rPr>
            </w:pPr>
            <w:r w:rsidRPr="00E6157B">
              <w:rPr>
                <w:sz w:val="18"/>
                <w:szCs w:val="18"/>
                <w:u w:val="single"/>
              </w:rPr>
              <w:t>Jusqu’au 31</w:t>
            </w:r>
            <w:r w:rsidR="00B73323">
              <w:rPr>
                <w:sz w:val="18"/>
                <w:szCs w:val="18"/>
                <w:u w:val="single"/>
              </w:rPr>
              <w:t> </w:t>
            </w:r>
            <w:r w:rsidRPr="00E6157B">
              <w:rPr>
                <w:sz w:val="18"/>
                <w:szCs w:val="18"/>
                <w:u w:val="single"/>
              </w:rPr>
              <w:t>décembre 2014</w:t>
            </w:r>
          </w:p>
        </w:tc>
      </w:tr>
      <w:tr w:rsidR="00E6157B" w:rsidRPr="00E6157B" w:rsidTr="00B73323">
        <w:tc>
          <w:tcPr>
            <w:tcW w:w="1820" w:type="dxa"/>
            <w:shd w:val="clear" w:color="auto" w:fill="auto"/>
          </w:tcPr>
          <w:p w:rsidR="00E6157B" w:rsidRPr="00E6157B" w:rsidRDefault="00E6157B" w:rsidP="00B73323">
            <w:pPr>
              <w:spacing w:before="40" w:after="40" w:line="240" w:lineRule="auto"/>
              <w:ind w:left="57" w:right="57"/>
              <w:rPr>
                <w:rFonts w:cs="Arial"/>
                <w:sz w:val="18"/>
                <w:szCs w:val="18"/>
                <w:u w:val="single"/>
              </w:rPr>
            </w:pPr>
            <w:r w:rsidRPr="00E6157B">
              <w:rPr>
                <w:sz w:val="18"/>
                <w:szCs w:val="18"/>
                <w:u w:val="single"/>
              </w:rPr>
              <w:t xml:space="preserve">EN ISO </w:t>
            </w:r>
            <w:proofErr w:type="gramStart"/>
            <w:r w:rsidRPr="00E6157B">
              <w:rPr>
                <w:sz w:val="18"/>
                <w:szCs w:val="18"/>
                <w:u w:val="single"/>
              </w:rPr>
              <w:t>11117:</w:t>
            </w:r>
            <w:proofErr w:type="gramEnd"/>
            <w:r w:rsidRPr="00E6157B">
              <w:rPr>
                <w:sz w:val="18"/>
                <w:szCs w:val="18"/>
                <w:u w:val="single"/>
              </w:rPr>
              <w:t xml:space="preserve"> 2008 + Cor</w:t>
            </w:r>
            <w:r w:rsidR="00B73323">
              <w:rPr>
                <w:sz w:val="18"/>
                <w:szCs w:val="18"/>
                <w:u w:val="single"/>
              </w:rPr>
              <w:t xml:space="preserve"> 1</w:t>
            </w:r>
            <w:r w:rsidRPr="00E6157B">
              <w:rPr>
                <w:sz w:val="18"/>
                <w:szCs w:val="18"/>
                <w:u w:val="single"/>
              </w:rPr>
              <w:t>:2009</w:t>
            </w:r>
          </w:p>
        </w:tc>
        <w:tc>
          <w:tcPr>
            <w:tcW w:w="3992" w:type="dxa"/>
            <w:shd w:val="clear" w:color="auto" w:fill="auto"/>
          </w:tcPr>
          <w:p w:rsidR="00E6157B" w:rsidRPr="00E6157B" w:rsidRDefault="00E6157B" w:rsidP="00B73323">
            <w:pPr>
              <w:spacing w:before="40" w:after="40" w:line="240" w:lineRule="auto"/>
              <w:ind w:left="57" w:right="57"/>
              <w:rPr>
                <w:rFonts w:cs="Arial"/>
                <w:sz w:val="18"/>
                <w:szCs w:val="18"/>
                <w:u w:val="single"/>
              </w:rPr>
            </w:pPr>
            <w:r w:rsidRPr="00E6157B">
              <w:rPr>
                <w:sz w:val="18"/>
                <w:szCs w:val="18"/>
                <w:u w:val="single"/>
              </w:rPr>
              <w:t xml:space="preserve">Bouteilles à gaz </w:t>
            </w:r>
            <w:r w:rsidR="00B73323">
              <w:rPr>
                <w:sz w:val="18"/>
                <w:szCs w:val="18"/>
                <w:u w:val="single"/>
              </w:rPr>
              <w:t>−</w:t>
            </w:r>
            <w:r w:rsidRPr="00E6157B">
              <w:rPr>
                <w:sz w:val="18"/>
                <w:szCs w:val="18"/>
                <w:u w:val="single"/>
              </w:rPr>
              <w:t xml:space="preserve"> Chapeaux fermés et chapeaux ouverts de protection des robinets </w:t>
            </w:r>
            <w:r w:rsidR="00B73323">
              <w:rPr>
                <w:sz w:val="18"/>
                <w:szCs w:val="18"/>
                <w:u w:val="single"/>
              </w:rPr>
              <w:t>−</w:t>
            </w:r>
            <w:r w:rsidRPr="00E6157B">
              <w:rPr>
                <w:sz w:val="18"/>
                <w:szCs w:val="18"/>
                <w:u w:val="single"/>
              </w:rPr>
              <w:t xml:space="preserve"> Conception, construction et essais</w:t>
            </w:r>
          </w:p>
        </w:tc>
        <w:tc>
          <w:tcPr>
            <w:tcW w:w="1559" w:type="dxa"/>
            <w:shd w:val="clear" w:color="auto" w:fill="auto"/>
          </w:tcPr>
          <w:p w:rsidR="00E6157B" w:rsidRPr="00E6157B" w:rsidRDefault="00E6157B" w:rsidP="00B73323">
            <w:pPr>
              <w:spacing w:before="40" w:after="40" w:line="240" w:lineRule="auto"/>
              <w:ind w:left="57" w:right="57"/>
              <w:rPr>
                <w:rFonts w:cs="Arial"/>
                <w:u w:val="single"/>
              </w:rPr>
            </w:pPr>
            <w:r w:rsidRPr="00E6157B">
              <w:rPr>
                <w:sz w:val="18"/>
                <w:szCs w:val="18"/>
                <w:u w:val="single"/>
              </w:rPr>
              <w:t>Jusqu’au 31</w:t>
            </w:r>
            <w:r w:rsidR="00B73323">
              <w:rPr>
                <w:sz w:val="18"/>
                <w:szCs w:val="18"/>
                <w:u w:val="single"/>
              </w:rPr>
              <w:t> </w:t>
            </w:r>
            <w:r w:rsidRPr="00E6157B">
              <w:rPr>
                <w:sz w:val="18"/>
                <w:szCs w:val="18"/>
                <w:u w:val="single"/>
              </w:rPr>
              <w:t>décembre 2022</w:t>
            </w:r>
          </w:p>
        </w:tc>
      </w:tr>
      <w:tr w:rsidR="00E6157B" w:rsidRPr="00E6157B" w:rsidTr="00B73323">
        <w:tc>
          <w:tcPr>
            <w:tcW w:w="1820" w:type="dxa"/>
            <w:shd w:val="clear" w:color="auto" w:fill="auto"/>
          </w:tcPr>
          <w:p w:rsidR="00E6157B" w:rsidRPr="00E6157B" w:rsidRDefault="00E6157B" w:rsidP="00B73323">
            <w:pPr>
              <w:spacing w:before="40" w:after="40" w:line="240" w:lineRule="auto"/>
              <w:ind w:left="57" w:right="57"/>
              <w:rPr>
                <w:rFonts w:cs="Arial"/>
                <w:b/>
                <w:bCs/>
                <w:sz w:val="18"/>
                <w:szCs w:val="18"/>
                <w:u w:val="single"/>
              </w:rPr>
            </w:pPr>
            <w:r w:rsidRPr="00E6157B">
              <w:rPr>
                <w:b/>
                <w:bCs/>
                <w:sz w:val="18"/>
                <w:szCs w:val="18"/>
                <w:u w:val="single"/>
              </w:rPr>
              <w:t xml:space="preserve">EN ISO </w:t>
            </w:r>
            <w:proofErr w:type="gramStart"/>
            <w:r w:rsidRPr="00E6157B">
              <w:rPr>
                <w:b/>
                <w:bCs/>
                <w:sz w:val="18"/>
                <w:szCs w:val="18"/>
                <w:u w:val="single"/>
              </w:rPr>
              <w:t>11117:</w:t>
            </w:r>
            <w:proofErr w:type="gramEnd"/>
            <w:r w:rsidRPr="00E6157B">
              <w:rPr>
                <w:b/>
                <w:bCs/>
                <w:sz w:val="18"/>
                <w:szCs w:val="18"/>
                <w:u w:val="single"/>
              </w:rPr>
              <w:t>2019</w:t>
            </w:r>
          </w:p>
        </w:tc>
        <w:tc>
          <w:tcPr>
            <w:tcW w:w="3992" w:type="dxa"/>
            <w:shd w:val="clear" w:color="auto" w:fill="auto"/>
          </w:tcPr>
          <w:p w:rsidR="00E6157B" w:rsidRPr="00E6157B" w:rsidRDefault="00E6157B" w:rsidP="00B73323">
            <w:pPr>
              <w:spacing w:before="40" w:after="40" w:line="240" w:lineRule="auto"/>
              <w:ind w:left="57" w:right="57"/>
              <w:rPr>
                <w:rFonts w:cs="Arial"/>
                <w:b/>
                <w:bCs/>
                <w:sz w:val="18"/>
                <w:szCs w:val="18"/>
                <w:u w:val="single"/>
              </w:rPr>
            </w:pPr>
            <w:r w:rsidRPr="00E6157B">
              <w:rPr>
                <w:b/>
                <w:bCs/>
                <w:sz w:val="18"/>
                <w:szCs w:val="18"/>
                <w:u w:val="single"/>
              </w:rPr>
              <w:t xml:space="preserve">Bouteilles à gaz </w:t>
            </w:r>
            <w:r w:rsidR="00B73323">
              <w:rPr>
                <w:b/>
                <w:bCs/>
                <w:sz w:val="18"/>
                <w:szCs w:val="18"/>
                <w:u w:val="single"/>
              </w:rPr>
              <w:t>−</w:t>
            </w:r>
            <w:r w:rsidRPr="00E6157B">
              <w:rPr>
                <w:b/>
                <w:bCs/>
                <w:sz w:val="18"/>
                <w:szCs w:val="18"/>
                <w:u w:val="single"/>
              </w:rPr>
              <w:t xml:space="preserve"> Chapeaux fermés et chapeaux ouverts de protection des robinets </w:t>
            </w:r>
            <w:r w:rsidR="00B73323">
              <w:rPr>
                <w:b/>
                <w:bCs/>
                <w:sz w:val="18"/>
                <w:szCs w:val="18"/>
                <w:u w:val="single"/>
              </w:rPr>
              <w:t>−</w:t>
            </w:r>
            <w:r w:rsidRPr="00E6157B">
              <w:rPr>
                <w:b/>
                <w:bCs/>
                <w:sz w:val="18"/>
                <w:szCs w:val="18"/>
                <w:u w:val="single"/>
              </w:rPr>
              <w:t xml:space="preserve"> Conception, construction et essais</w:t>
            </w:r>
          </w:p>
        </w:tc>
        <w:tc>
          <w:tcPr>
            <w:tcW w:w="1559" w:type="dxa"/>
            <w:shd w:val="clear" w:color="auto" w:fill="auto"/>
          </w:tcPr>
          <w:p w:rsidR="00E6157B" w:rsidRPr="00E6157B" w:rsidRDefault="00E6157B" w:rsidP="00B73323">
            <w:pPr>
              <w:spacing w:before="40" w:after="40" w:line="240" w:lineRule="auto"/>
              <w:ind w:left="57" w:right="57"/>
              <w:rPr>
                <w:rFonts w:cs="Arial"/>
                <w:b/>
                <w:bCs/>
                <w:u w:val="single"/>
              </w:rPr>
            </w:pPr>
            <w:r w:rsidRPr="00E6157B">
              <w:rPr>
                <w:b/>
                <w:bCs/>
                <w:sz w:val="18"/>
                <w:szCs w:val="18"/>
                <w:u w:val="single"/>
              </w:rPr>
              <w:t>Jusqu’à nouvel ordre</w:t>
            </w:r>
          </w:p>
        </w:tc>
      </w:tr>
      <w:tr w:rsidR="00E6157B" w:rsidRPr="00E6157B" w:rsidTr="00B73323">
        <w:tc>
          <w:tcPr>
            <w:tcW w:w="1820" w:type="dxa"/>
            <w:shd w:val="clear" w:color="auto" w:fill="auto"/>
          </w:tcPr>
          <w:p w:rsidR="00E6157B" w:rsidRPr="00E6157B" w:rsidRDefault="00E6157B" w:rsidP="00B73323">
            <w:pPr>
              <w:spacing w:before="40" w:after="40" w:line="240" w:lineRule="auto"/>
              <w:ind w:left="57" w:right="57"/>
              <w:rPr>
                <w:rFonts w:cs="Arial"/>
                <w:u w:val="single"/>
              </w:rPr>
            </w:pPr>
            <w:r w:rsidRPr="00E6157B">
              <w:rPr>
                <w:sz w:val="18"/>
                <w:szCs w:val="18"/>
                <w:u w:val="single"/>
              </w:rPr>
              <w:t xml:space="preserve">EN </w:t>
            </w:r>
            <w:proofErr w:type="gramStart"/>
            <w:r w:rsidRPr="00E6157B">
              <w:rPr>
                <w:sz w:val="18"/>
                <w:szCs w:val="18"/>
                <w:u w:val="single"/>
              </w:rPr>
              <w:t>962:</w:t>
            </w:r>
            <w:proofErr w:type="gramEnd"/>
            <w:r w:rsidRPr="00E6157B">
              <w:rPr>
                <w:sz w:val="18"/>
                <w:szCs w:val="18"/>
                <w:u w:val="single"/>
              </w:rPr>
              <w:t>1996 +A2:2000</w:t>
            </w:r>
          </w:p>
        </w:tc>
        <w:tc>
          <w:tcPr>
            <w:tcW w:w="3992" w:type="dxa"/>
            <w:shd w:val="clear" w:color="auto" w:fill="auto"/>
          </w:tcPr>
          <w:p w:rsidR="00E6157B" w:rsidRPr="00E6157B" w:rsidRDefault="00E6157B" w:rsidP="00B73323">
            <w:pPr>
              <w:spacing w:before="40" w:after="40" w:line="240" w:lineRule="auto"/>
              <w:ind w:left="57" w:right="57"/>
              <w:rPr>
                <w:rFonts w:cs="Arial"/>
                <w:u w:val="single"/>
              </w:rPr>
            </w:pPr>
            <w:r w:rsidRPr="00E6157B">
              <w:rPr>
                <w:sz w:val="18"/>
                <w:szCs w:val="18"/>
                <w:u w:val="single"/>
              </w:rPr>
              <w:t xml:space="preserve">Bouteilles à gaz transportables </w:t>
            </w:r>
            <w:r w:rsidR="00B73323">
              <w:rPr>
                <w:sz w:val="18"/>
                <w:szCs w:val="18"/>
                <w:u w:val="single"/>
              </w:rPr>
              <w:t>−</w:t>
            </w:r>
            <w:r w:rsidRPr="00E6157B">
              <w:rPr>
                <w:sz w:val="18"/>
                <w:szCs w:val="18"/>
                <w:u w:val="single"/>
              </w:rPr>
              <w:t xml:space="preserve"> Chapeaux fermés et chapeaux ouverts de protection des robinets de bouteilles à gaz industriels et médicaux </w:t>
            </w:r>
            <w:r w:rsidR="00B73323">
              <w:rPr>
                <w:sz w:val="18"/>
                <w:szCs w:val="18"/>
                <w:u w:val="single"/>
              </w:rPr>
              <w:t xml:space="preserve">− </w:t>
            </w:r>
            <w:r w:rsidRPr="00E6157B">
              <w:rPr>
                <w:sz w:val="18"/>
                <w:szCs w:val="18"/>
                <w:u w:val="single"/>
              </w:rPr>
              <w:t>Conception, construction et essais</w:t>
            </w:r>
          </w:p>
        </w:tc>
        <w:tc>
          <w:tcPr>
            <w:tcW w:w="1559" w:type="dxa"/>
            <w:shd w:val="clear" w:color="auto" w:fill="auto"/>
          </w:tcPr>
          <w:p w:rsidR="00E6157B" w:rsidRPr="00E6157B" w:rsidRDefault="00E6157B" w:rsidP="00B73323">
            <w:pPr>
              <w:spacing w:before="40" w:after="40" w:line="240" w:lineRule="auto"/>
              <w:ind w:left="57" w:right="57"/>
              <w:rPr>
                <w:rFonts w:cs="Arial"/>
                <w:u w:val="single"/>
              </w:rPr>
            </w:pPr>
            <w:r w:rsidRPr="00E6157B">
              <w:rPr>
                <w:sz w:val="18"/>
                <w:szCs w:val="18"/>
                <w:u w:val="single"/>
              </w:rPr>
              <w:t>Jusqu’au 31</w:t>
            </w:r>
            <w:r w:rsidR="00B73323">
              <w:rPr>
                <w:sz w:val="18"/>
                <w:szCs w:val="18"/>
                <w:u w:val="single"/>
              </w:rPr>
              <w:t> </w:t>
            </w:r>
            <w:r w:rsidRPr="00E6157B">
              <w:rPr>
                <w:sz w:val="18"/>
                <w:szCs w:val="18"/>
                <w:u w:val="single"/>
              </w:rPr>
              <w:t>décembre 2014</w:t>
            </w:r>
          </w:p>
        </w:tc>
      </w:tr>
    </w:tbl>
    <w:p w:rsidR="00F9573C" w:rsidRPr="00E6157B" w:rsidRDefault="00E6157B" w:rsidP="00E6157B">
      <w:pPr>
        <w:pStyle w:val="SingleTxtG"/>
        <w:spacing w:before="240" w:after="0"/>
        <w:jc w:val="center"/>
        <w:rPr>
          <w:u w:val="single"/>
        </w:rPr>
      </w:pPr>
      <w:r w:rsidRPr="00E6157B">
        <w:rPr>
          <w:u w:val="single"/>
        </w:rPr>
        <w:tab/>
      </w:r>
      <w:r w:rsidRPr="00E6157B">
        <w:rPr>
          <w:u w:val="single"/>
        </w:rPr>
        <w:tab/>
      </w:r>
      <w:r w:rsidRPr="00E6157B">
        <w:rPr>
          <w:u w:val="single"/>
        </w:rPr>
        <w:tab/>
      </w:r>
    </w:p>
    <w:sectPr w:rsidR="00F9573C" w:rsidRPr="00E6157B" w:rsidSect="000F64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3DF" w:rsidRDefault="00E453DF" w:rsidP="00F95C08">
      <w:pPr>
        <w:spacing w:line="240" w:lineRule="auto"/>
      </w:pPr>
    </w:p>
  </w:endnote>
  <w:endnote w:type="continuationSeparator" w:id="0">
    <w:p w:rsidR="00E453DF" w:rsidRPr="00AC3823" w:rsidRDefault="00E453DF" w:rsidP="00AC3823">
      <w:pPr>
        <w:pStyle w:val="Footer"/>
      </w:pPr>
    </w:p>
  </w:endnote>
  <w:endnote w:type="continuationNotice" w:id="1">
    <w:p w:rsidR="00E453DF" w:rsidRDefault="00E453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43" w:rsidRPr="000F6443" w:rsidRDefault="000F6443" w:rsidP="000F6443">
    <w:pPr>
      <w:pStyle w:val="Footer"/>
      <w:tabs>
        <w:tab w:val="right" w:pos="9638"/>
      </w:tabs>
    </w:pPr>
    <w:r w:rsidRPr="000F6443">
      <w:rPr>
        <w:b/>
        <w:sz w:val="18"/>
      </w:rPr>
      <w:fldChar w:fldCharType="begin"/>
    </w:r>
    <w:r w:rsidRPr="000F6443">
      <w:rPr>
        <w:b/>
        <w:sz w:val="18"/>
      </w:rPr>
      <w:instrText xml:space="preserve"> PAGE  \* MERGEFORMAT </w:instrText>
    </w:r>
    <w:r w:rsidRPr="000F6443">
      <w:rPr>
        <w:b/>
        <w:sz w:val="18"/>
      </w:rPr>
      <w:fldChar w:fldCharType="separate"/>
    </w:r>
    <w:r w:rsidRPr="000F6443">
      <w:rPr>
        <w:b/>
        <w:noProof/>
        <w:sz w:val="18"/>
      </w:rPr>
      <w:t>2</w:t>
    </w:r>
    <w:r w:rsidRPr="000F6443">
      <w:rPr>
        <w:b/>
        <w:sz w:val="18"/>
      </w:rPr>
      <w:fldChar w:fldCharType="end"/>
    </w:r>
    <w:r>
      <w:rPr>
        <w:b/>
        <w:sz w:val="18"/>
      </w:rPr>
      <w:tab/>
    </w:r>
    <w:r>
      <w:t>GE.20-07561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43" w:rsidRPr="000F6443" w:rsidRDefault="000F6443" w:rsidP="000F6443">
    <w:pPr>
      <w:pStyle w:val="Footer"/>
      <w:tabs>
        <w:tab w:val="right" w:pos="9638"/>
      </w:tabs>
      <w:rPr>
        <w:b/>
        <w:sz w:val="18"/>
      </w:rPr>
    </w:pPr>
    <w:r>
      <w:t>GE.20-07561</w:t>
    </w:r>
    <w:r>
      <w:tab/>
    </w:r>
    <w:r w:rsidRPr="000F6443">
      <w:rPr>
        <w:b/>
        <w:sz w:val="18"/>
      </w:rPr>
      <w:fldChar w:fldCharType="begin"/>
    </w:r>
    <w:r w:rsidRPr="000F6443">
      <w:rPr>
        <w:b/>
        <w:sz w:val="18"/>
      </w:rPr>
      <w:instrText xml:space="preserve"> PAGE  \* MERGEFORMAT </w:instrText>
    </w:r>
    <w:r w:rsidRPr="000F6443">
      <w:rPr>
        <w:b/>
        <w:sz w:val="18"/>
      </w:rPr>
      <w:fldChar w:fldCharType="separate"/>
    </w:r>
    <w:r w:rsidRPr="000F6443">
      <w:rPr>
        <w:b/>
        <w:noProof/>
        <w:sz w:val="18"/>
      </w:rPr>
      <w:t>3</w:t>
    </w:r>
    <w:r w:rsidRPr="000F64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F6443" w:rsidRDefault="000F6443" w:rsidP="000F644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07561</w:t>
    </w:r>
    <w:r w:rsidR="00E6157B">
      <w:rPr>
        <w:sz w:val="20"/>
      </w:rPr>
      <w:t xml:space="preserve">  </w:t>
    </w:r>
    <w:r>
      <w:rPr>
        <w:sz w:val="20"/>
      </w:rPr>
      <w:t>(</w:t>
    </w:r>
    <w:proofErr w:type="gramEnd"/>
    <w:r>
      <w:rPr>
        <w:sz w:val="20"/>
      </w:rPr>
      <w:t>F)</w:t>
    </w:r>
    <w:r w:rsidR="00E6157B">
      <w:rPr>
        <w:sz w:val="20"/>
      </w:rPr>
      <w:t xml:space="preserve">    </w:t>
    </w:r>
    <w:r>
      <w:rPr>
        <w:sz w:val="20"/>
      </w:rPr>
      <w:t>020720</w:t>
    </w:r>
    <w:r w:rsidR="00E6157B">
      <w:rPr>
        <w:sz w:val="20"/>
      </w:rPr>
      <w:t xml:space="preserve">    </w:t>
    </w:r>
    <w:r>
      <w:rPr>
        <w:sz w:val="20"/>
      </w:rPr>
      <w:t>020720</w:t>
    </w:r>
    <w:r>
      <w:rPr>
        <w:sz w:val="20"/>
      </w:rPr>
      <w:br/>
    </w:r>
    <w:r w:rsidRPr="000F6443">
      <w:rPr>
        <w:rFonts w:ascii="C39T30Lfz" w:hAnsi="C39T30Lfz"/>
        <w:sz w:val="56"/>
      </w:rPr>
      <w:t></w:t>
    </w:r>
    <w:r w:rsidRPr="000F6443">
      <w:rPr>
        <w:rFonts w:ascii="C39T30Lfz" w:hAnsi="C39T30Lfz"/>
        <w:sz w:val="56"/>
      </w:rPr>
      <w:t></w:t>
    </w:r>
    <w:r w:rsidRPr="000F6443">
      <w:rPr>
        <w:rFonts w:ascii="C39T30Lfz" w:hAnsi="C39T30Lfz"/>
        <w:sz w:val="56"/>
      </w:rPr>
      <w:t></w:t>
    </w:r>
    <w:r w:rsidRPr="000F6443">
      <w:rPr>
        <w:rFonts w:ascii="C39T30Lfz" w:hAnsi="C39T30Lfz"/>
        <w:sz w:val="56"/>
      </w:rPr>
      <w:t></w:t>
    </w:r>
    <w:r w:rsidRPr="000F6443">
      <w:rPr>
        <w:rFonts w:ascii="C39T30Lfz" w:hAnsi="C39T30Lfz"/>
        <w:sz w:val="56"/>
      </w:rPr>
      <w:t></w:t>
    </w:r>
    <w:r w:rsidRPr="000F6443">
      <w:rPr>
        <w:rFonts w:ascii="C39T30Lfz" w:hAnsi="C39T30Lfz"/>
        <w:sz w:val="56"/>
      </w:rPr>
      <w:t></w:t>
    </w:r>
    <w:r w:rsidRPr="000F6443">
      <w:rPr>
        <w:rFonts w:ascii="C39T30Lfz" w:hAnsi="C39T30Lfz"/>
        <w:sz w:val="56"/>
      </w:rPr>
      <w:t></w:t>
    </w:r>
    <w:r w:rsidRPr="000F6443">
      <w:rPr>
        <w:rFonts w:ascii="C39T30Lfz" w:hAnsi="C39T30Lfz"/>
        <w:sz w:val="56"/>
      </w:rPr>
      <w:t></w:t>
    </w:r>
    <w:r w:rsidRPr="000F644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3DF" w:rsidRPr="00AC3823" w:rsidRDefault="00E453DF" w:rsidP="00AC3823">
      <w:pPr>
        <w:pStyle w:val="Footer"/>
        <w:tabs>
          <w:tab w:val="right" w:pos="2155"/>
        </w:tabs>
        <w:spacing w:after="80" w:line="240" w:lineRule="atLeast"/>
        <w:ind w:left="680"/>
        <w:rPr>
          <w:u w:val="single"/>
        </w:rPr>
      </w:pPr>
      <w:r>
        <w:rPr>
          <w:u w:val="single"/>
        </w:rPr>
        <w:tab/>
      </w:r>
    </w:p>
  </w:footnote>
  <w:footnote w:type="continuationSeparator" w:id="0">
    <w:p w:rsidR="00E453DF" w:rsidRPr="00AC3823" w:rsidRDefault="00E453DF" w:rsidP="00AC3823">
      <w:pPr>
        <w:pStyle w:val="Footer"/>
        <w:tabs>
          <w:tab w:val="right" w:pos="2155"/>
        </w:tabs>
        <w:spacing w:after="80" w:line="240" w:lineRule="atLeast"/>
        <w:ind w:left="680"/>
        <w:rPr>
          <w:u w:val="single"/>
        </w:rPr>
      </w:pPr>
      <w:r>
        <w:rPr>
          <w:u w:val="single"/>
        </w:rPr>
        <w:tab/>
      </w:r>
    </w:p>
  </w:footnote>
  <w:footnote w:type="continuationNotice" w:id="1">
    <w:p w:rsidR="00E453DF" w:rsidRPr="00AC3823" w:rsidRDefault="00E453DF">
      <w:pPr>
        <w:spacing w:line="240" w:lineRule="auto"/>
        <w:rPr>
          <w:sz w:val="2"/>
          <w:szCs w:val="2"/>
        </w:rPr>
      </w:pPr>
    </w:p>
  </w:footnote>
  <w:footnote w:id="2">
    <w:p w:rsidR="00E6157B" w:rsidRPr="00E76913" w:rsidRDefault="00E6157B" w:rsidP="00E6157B">
      <w:pPr>
        <w:pStyle w:val="FootnoteText"/>
        <w:rPr>
          <w:sz w:val="20"/>
        </w:rPr>
      </w:pPr>
      <w:r w:rsidRPr="00E6157B">
        <w:rPr>
          <w:sz w:val="20"/>
        </w:rPr>
        <w:tab/>
      </w:r>
      <w:r w:rsidRPr="00E6157B">
        <w:rPr>
          <w:rStyle w:val="FootnoteReference"/>
          <w:sz w:val="20"/>
          <w:vertAlign w:val="baseline"/>
        </w:rPr>
        <w:t>*</w:t>
      </w:r>
      <w:r w:rsidRPr="00E6157B">
        <w:rPr>
          <w:sz w:val="20"/>
        </w:rPr>
        <w:tab/>
      </w:r>
      <w:r w:rsidRPr="00E76913">
        <w:t>Sous-programme 2 du budget-programme pour 2020 (A/74/6 (Sect.</w:t>
      </w:r>
      <w:r w:rsidR="00AD367F">
        <w:t> </w:t>
      </w:r>
      <w:r w:rsidRPr="00E76913">
        <w:t>20)) et informations complémentaires.</w:t>
      </w:r>
    </w:p>
  </w:footnote>
  <w:footnote w:id="3">
    <w:p w:rsidR="00E6157B" w:rsidRPr="00E76913" w:rsidRDefault="00E6157B" w:rsidP="00E6157B">
      <w:pPr>
        <w:pStyle w:val="FootnoteText"/>
        <w:rPr>
          <w:sz w:val="20"/>
        </w:rPr>
      </w:pPr>
      <w:r w:rsidRPr="00E6157B">
        <w:rPr>
          <w:rStyle w:val="FootnoteReference"/>
          <w:sz w:val="20"/>
          <w:vertAlign w:val="baseline"/>
        </w:rPr>
        <w:tab/>
        <w:t>**</w:t>
      </w:r>
      <w:r w:rsidRPr="00E6157B">
        <w:rPr>
          <w:sz w:val="20"/>
        </w:rPr>
        <w:tab/>
      </w:r>
      <w:r w:rsidRPr="00E76913">
        <w:t>Diffusée par l’Organisation intergouvernementale pour les transports internationaux ferroviaires sous la cote OTIF/RID/RC/2020/46.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43" w:rsidRPr="000F6443" w:rsidRDefault="00E72201">
    <w:pPr>
      <w:pStyle w:val="Header"/>
    </w:pPr>
    <w:r>
      <w:fldChar w:fldCharType="begin"/>
    </w:r>
    <w:r>
      <w:instrText xml:space="preserve"> TITLE  \* MERGEFORMAT </w:instrText>
    </w:r>
    <w:r>
      <w:fldChar w:fldCharType="separate"/>
    </w:r>
    <w:r w:rsidR="000F6443">
      <w:t>ECE/TRANS/WP.15/AC.1/2020/46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43" w:rsidRPr="000F6443" w:rsidRDefault="00E72201" w:rsidP="000F6443">
    <w:pPr>
      <w:pStyle w:val="Header"/>
      <w:jc w:val="right"/>
    </w:pPr>
    <w:r>
      <w:fldChar w:fldCharType="begin"/>
    </w:r>
    <w:r>
      <w:instrText xml:space="preserve"> TITLE  \* MERGEFORMAT </w:instrText>
    </w:r>
    <w:r>
      <w:fldChar w:fldCharType="separate"/>
    </w:r>
    <w:r w:rsidR="000F6443">
      <w:t>ECE/TRANS/WP.15/AC.1/2020/46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A17DE9"/>
    <w:multiLevelType w:val="hybridMultilevel"/>
    <w:tmpl w:val="05A029FA"/>
    <w:lvl w:ilvl="0" w:tplc="1FF0B20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DF"/>
    <w:rsid w:val="00017F94"/>
    <w:rsid w:val="00023842"/>
    <w:rsid w:val="000334F9"/>
    <w:rsid w:val="00045FEB"/>
    <w:rsid w:val="00057BBA"/>
    <w:rsid w:val="0007796D"/>
    <w:rsid w:val="000B7790"/>
    <w:rsid w:val="000F6443"/>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C3823"/>
    <w:rsid w:val="00AD367F"/>
    <w:rsid w:val="00AE323C"/>
    <w:rsid w:val="00AF0CB5"/>
    <w:rsid w:val="00B00181"/>
    <w:rsid w:val="00B00B0D"/>
    <w:rsid w:val="00B45F2E"/>
    <w:rsid w:val="00B73323"/>
    <w:rsid w:val="00B765F7"/>
    <w:rsid w:val="00BA0CA9"/>
    <w:rsid w:val="00C02897"/>
    <w:rsid w:val="00C97039"/>
    <w:rsid w:val="00D3439C"/>
    <w:rsid w:val="00DB1831"/>
    <w:rsid w:val="00DD3BFD"/>
    <w:rsid w:val="00DF6678"/>
    <w:rsid w:val="00E0299A"/>
    <w:rsid w:val="00E453DF"/>
    <w:rsid w:val="00E6157B"/>
    <w:rsid w:val="00E72201"/>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8E4997-2B94-4A83-B14D-717CAD61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E6157B"/>
    <w:rPr>
      <w:rFonts w:ascii="Times New Roman" w:eastAsiaTheme="minorHAnsi" w:hAnsi="Times New Roman" w:cs="Times New Roman"/>
      <w:sz w:val="20"/>
      <w:szCs w:val="20"/>
      <w:lang w:eastAsia="en-US"/>
    </w:rPr>
  </w:style>
  <w:style w:type="paragraph" w:styleId="BodyTextIndent2">
    <w:name w:val="Body Text Indent 2"/>
    <w:basedOn w:val="Normal"/>
    <w:link w:val="BodyTextIndent2Char"/>
    <w:rsid w:val="00E6157B"/>
    <w:pPr>
      <w:spacing w:after="120" w:line="480" w:lineRule="auto"/>
      <w:ind w:left="283"/>
    </w:pPr>
  </w:style>
  <w:style w:type="character" w:customStyle="1" w:styleId="BodyTextIndent2Char">
    <w:name w:val="Body Text Indent 2 Char"/>
    <w:basedOn w:val="DefaultParagraphFont"/>
    <w:link w:val="BodyTextIndent2"/>
    <w:rsid w:val="00E6157B"/>
    <w:rPr>
      <w:rFonts w:ascii="Times New Roman" w:eastAsiaTheme="minorHAnsi" w:hAnsi="Times New Roman" w:cs="Times New Roman"/>
      <w:sz w:val="20"/>
      <w:szCs w:val="20"/>
      <w:lang w:eastAsia="en-US"/>
    </w:rPr>
  </w:style>
  <w:style w:type="character" w:customStyle="1" w:styleId="HChGChar">
    <w:name w:val="_ H _Ch_G Char"/>
    <w:link w:val="HChG"/>
    <w:rsid w:val="00E6157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ECE/TRANS/WP.15/AC.1/2020/46</vt:lpstr>
      <vt:lpstr>ECE/TRANS/WP.15/AC.1/2020/46</vt:lpstr>
    </vt:vector>
  </TitlesOfParts>
  <Company>DCM</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ECE/TRANS/WP.15/AC.1/2020/46</dc:title>
  <dc:subject/>
  <dc:creator>Nicolas MORIN</dc:creator>
  <cp:keywords/>
  <cp:lastModifiedBy>Christine Barrio-Champeau</cp:lastModifiedBy>
  <cp:revision>2</cp:revision>
  <cp:lastPrinted>2014-05-14T10:59:00Z</cp:lastPrinted>
  <dcterms:created xsi:type="dcterms:W3CDTF">2020-07-02T12:48:00Z</dcterms:created>
  <dcterms:modified xsi:type="dcterms:W3CDTF">2020-07-02T12:48:00Z</dcterms:modified>
</cp:coreProperties>
</file>