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09F3A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CAD18A" w14:textId="77777777" w:rsidR="002D5AAC" w:rsidRDefault="002D5AAC" w:rsidP="00051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BD5528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1CB019F" w14:textId="77777777" w:rsidR="002D5AAC" w:rsidRDefault="00051DF7" w:rsidP="00051DF7">
            <w:pPr>
              <w:jc w:val="right"/>
            </w:pPr>
            <w:r w:rsidRPr="00051DF7">
              <w:rPr>
                <w:sz w:val="40"/>
              </w:rPr>
              <w:t>ECE</w:t>
            </w:r>
            <w:r>
              <w:t>/TRANS/WP.15/AC.1/2020/41</w:t>
            </w:r>
          </w:p>
        </w:tc>
      </w:tr>
      <w:tr w:rsidR="002D5AAC" w:rsidRPr="00051DF7" w14:paraId="164BDF9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D5EF3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552C68" wp14:editId="0F95840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45FF3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65DE28F" w14:textId="77777777" w:rsidR="002D5AAC" w:rsidRDefault="00051DF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AC97D82" w14:textId="77777777" w:rsidR="00051DF7" w:rsidRDefault="00051DF7" w:rsidP="00051D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2020</w:t>
            </w:r>
          </w:p>
          <w:p w14:paraId="4EE0E434" w14:textId="77777777" w:rsidR="00051DF7" w:rsidRDefault="00051DF7" w:rsidP="00051D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9F8206" w14:textId="77777777" w:rsidR="00051DF7" w:rsidRPr="008D53B6" w:rsidRDefault="00051DF7" w:rsidP="00051D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7CCB123" w14:textId="77777777" w:rsidR="00051DF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2B48866" w14:textId="77777777" w:rsidR="00051DF7" w:rsidRPr="00051DF7" w:rsidRDefault="00051DF7" w:rsidP="00051DF7">
      <w:pPr>
        <w:spacing w:before="120"/>
        <w:rPr>
          <w:sz w:val="28"/>
          <w:szCs w:val="28"/>
        </w:rPr>
      </w:pPr>
      <w:r w:rsidRPr="00051DF7">
        <w:rPr>
          <w:sz w:val="28"/>
          <w:szCs w:val="28"/>
        </w:rPr>
        <w:t>Комитет по внутреннему транспорту</w:t>
      </w:r>
    </w:p>
    <w:p w14:paraId="62E16E1F" w14:textId="77777777" w:rsidR="00051DF7" w:rsidRPr="00051DF7" w:rsidRDefault="00051DF7" w:rsidP="00051DF7">
      <w:pPr>
        <w:spacing w:before="120" w:after="120"/>
        <w:rPr>
          <w:b/>
          <w:sz w:val="24"/>
          <w:szCs w:val="24"/>
        </w:rPr>
      </w:pPr>
      <w:r w:rsidRPr="00051DF7">
        <w:rPr>
          <w:b/>
          <w:bCs/>
          <w:sz w:val="24"/>
          <w:szCs w:val="24"/>
        </w:rPr>
        <w:t>Рабочая группа по перевозкам опасных грузов</w:t>
      </w:r>
    </w:p>
    <w:p w14:paraId="7D4A7686" w14:textId="77777777" w:rsidR="00051DF7" w:rsidRPr="00CB2C5F" w:rsidRDefault="00051DF7" w:rsidP="00051DF7">
      <w:pPr>
        <w:rPr>
          <w:b/>
          <w:bCs/>
        </w:rPr>
      </w:pPr>
      <w:r w:rsidRPr="00CB2C5F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CB2C5F">
        <w:rPr>
          <w:b/>
          <w:bCs/>
        </w:rPr>
        <w:t>и Рабочей группы по перевозкам опасных грузов</w:t>
      </w:r>
    </w:p>
    <w:p w14:paraId="2CB1ECAA" w14:textId="77777777" w:rsidR="00051DF7" w:rsidRPr="00CB2C5F" w:rsidRDefault="00051DF7" w:rsidP="00051DF7">
      <w:r w:rsidRPr="00CB2C5F">
        <w:t>Берн, 16</w:t>
      </w:r>
      <w:r>
        <w:rPr>
          <w:lang w:val="en-US"/>
        </w:rPr>
        <w:t>–</w:t>
      </w:r>
      <w:r w:rsidRPr="00CB2C5F">
        <w:t>20 марта 2020 года</w:t>
      </w:r>
    </w:p>
    <w:p w14:paraId="40D10482" w14:textId="77777777" w:rsidR="00051DF7" w:rsidRPr="00CB2C5F" w:rsidRDefault="00051DF7" w:rsidP="00051DF7">
      <w:r w:rsidRPr="00CB2C5F">
        <w:t>Пункт 5 а) предварительной повестки дня</w:t>
      </w:r>
    </w:p>
    <w:p w14:paraId="2DA6C565" w14:textId="77777777" w:rsidR="00E12C5F" w:rsidRDefault="00051DF7" w:rsidP="00051DF7">
      <w:r w:rsidRPr="00CB2C5F">
        <w:rPr>
          <w:b/>
          <w:bCs/>
        </w:rPr>
        <w:t>Предложения о внесении поправок в МПОГ/ДОПОГ/ВОПОГ</w:t>
      </w:r>
      <w:r>
        <w:rPr>
          <w:b/>
          <w:bCs/>
        </w:rPr>
        <w:br/>
      </w:r>
      <w:r w:rsidRPr="00CB2C5F">
        <w:rPr>
          <w:b/>
          <w:bCs/>
        </w:rPr>
        <w:t>Нерассмотренные вопросы</w:t>
      </w:r>
    </w:p>
    <w:p w14:paraId="71EF892F" w14:textId="77777777" w:rsidR="00051DF7" w:rsidRPr="00051DF7" w:rsidRDefault="00051DF7" w:rsidP="00051DF7">
      <w:pPr>
        <w:pStyle w:val="HChG"/>
      </w:pPr>
      <w:r>
        <w:tab/>
      </w:r>
      <w:r>
        <w:tab/>
      </w:r>
      <w:r w:rsidRPr="00051DF7">
        <w:t>Наименование и описание для номеров ООН в Типовых правилах и МПОГ/ДОПОГ: № ООН 2426 Аммония нитрат</w:t>
      </w:r>
    </w:p>
    <w:p w14:paraId="0D6EB395" w14:textId="77777777" w:rsidR="00051DF7" w:rsidRDefault="00051DF7" w:rsidP="00051DF7">
      <w:pPr>
        <w:pStyle w:val="H1G"/>
      </w:pPr>
      <w:r w:rsidRPr="00051DF7">
        <w:tab/>
      </w:r>
      <w:r w:rsidRPr="00051DF7">
        <w:tab/>
        <w:t>Передано правительством Испании</w:t>
      </w:r>
      <w:r w:rsidRPr="00051DF7">
        <w:rPr>
          <w:b w:val="0"/>
          <w:sz w:val="20"/>
        </w:rPr>
        <w:footnoteReference w:customMarkFollows="1" w:id="1"/>
        <w:t>*</w:t>
      </w:r>
      <w:r w:rsidRPr="00051DF7">
        <w:rPr>
          <w:b w:val="0"/>
          <w:sz w:val="20"/>
          <w:lang w:val="en-US"/>
        </w:rPr>
        <w:t xml:space="preserve"> </w:t>
      </w:r>
      <w:r w:rsidRPr="00051DF7">
        <w:rPr>
          <w:b w:val="0"/>
          <w:sz w:val="20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51DF7" w:rsidRPr="00051DF7" w14:paraId="7E3B137E" w14:textId="77777777" w:rsidTr="00051DF7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6AEC16FF" w14:textId="77777777" w:rsidR="00051DF7" w:rsidRPr="00051DF7" w:rsidRDefault="00051DF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51DF7">
              <w:rPr>
                <w:rFonts w:cs="Times New Roman"/>
              </w:rPr>
              <w:tab/>
            </w:r>
            <w:r w:rsidRPr="00051DF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51DF7" w:rsidRPr="00051DF7" w14:paraId="50BA8538" w14:textId="77777777" w:rsidTr="00051DF7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B67C77A" w14:textId="77777777" w:rsidR="00051DF7" w:rsidRDefault="00051DF7" w:rsidP="00051DF7">
            <w:pPr>
              <w:pStyle w:val="SingleTxtG"/>
              <w:ind w:left="3402" w:hanging="2268"/>
            </w:pPr>
            <w:r w:rsidRPr="00051DF7">
              <w:rPr>
                <w:b/>
                <w:bCs/>
              </w:rPr>
              <w:t>Существо предложения:</w:t>
            </w:r>
            <w:r w:rsidRPr="00051DF7">
              <w:t xml:space="preserve"> </w:t>
            </w:r>
            <w:r w:rsidRPr="00051DF7">
              <w:tab/>
              <w:t>Устранить различия в наименовании и описании для №</w:t>
            </w:r>
            <w:r>
              <w:rPr>
                <w:lang w:val="en-US"/>
              </w:rPr>
              <w:t> </w:t>
            </w:r>
            <w:r w:rsidRPr="00051DF7">
              <w:t>ООН 2426 АММОНИЯ НИТРАТ</w:t>
            </w:r>
            <w:r w:rsidR="000A5651">
              <w:t>.</w:t>
            </w:r>
          </w:p>
          <w:p w14:paraId="175C7328" w14:textId="77777777" w:rsidR="00051DF7" w:rsidRPr="00051DF7" w:rsidRDefault="00051DF7" w:rsidP="00051DF7">
            <w:pPr>
              <w:pStyle w:val="SingleTxtG"/>
              <w:ind w:left="3402" w:hanging="2268"/>
            </w:pPr>
            <w:r w:rsidRPr="00051DF7">
              <w:rPr>
                <w:b/>
                <w:bCs/>
              </w:rPr>
              <w:t>Предлагаемое решение:</w:t>
            </w:r>
            <w:r w:rsidRPr="00051DF7">
              <w:tab/>
              <w:t>Согласовать наименование и описание этого номера ООН с наименованием и описанием, содержащимися в Типовых правилах.</w:t>
            </w:r>
          </w:p>
        </w:tc>
      </w:tr>
      <w:tr w:rsidR="00051DF7" w:rsidRPr="00051DF7" w14:paraId="6CE7759F" w14:textId="77777777" w:rsidTr="00051DF7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1E959E52" w14:textId="77777777" w:rsidR="00051DF7" w:rsidRPr="00051DF7" w:rsidRDefault="00051DF7" w:rsidP="00850215">
            <w:pPr>
              <w:rPr>
                <w:rFonts w:cs="Times New Roman"/>
              </w:rPr>
            </w:pPr>
          </w:p>
        </w:tc>
      </w:tr>
    </w:tbl>
    <w:p w14:paraId="069839B2" w14:textId="77777777" w:rsidR="00051DF7" w:rsidRPr="00CB2C5F" w:rsidRDefault="00051DF7" w:rsidP="00051DF7">
      <w:pPr>
        <w:pStyle w:val="HChG"/>
      </w:pPr>
      <w:r>
        <w:rPr>
          <w:bCs/>
        </w:rPr>
        <w:tab/>
      </w:r>
      <w:r>
        <w:rPr>
          <w:bCs/>
        </w:rPr>
        <w:tab/>
      </w:r>
      <w:r w:rsidRPr="00CB2C5F">
        <w:rPr>
          <w:bCs/>
        </w:rPr>
        <w:t>Введение</w:t>
      </w:r>
    </w:p>
    <w:p w14:paraId="18EA088E" w14:textId="77777777" w:rsidR="00051DF7" w:rsidRPr="00CB2C5F" w:rsidRDefault="00051DF7" w:rsidP="00051DF7">
      <w:pPr>
        <w:pStyle w:val="SingleTxtG"/>
      </w:pPr>
      <w:r w:rsidRPr="00CB2C5F">
        <w:t>1.</w:t>
      </w:r>
      <w:r w:rsidRPr="00CB2C5F">
        <w:tab/>
        <w:t>Существуют различные случаи, когда наименование и описание номеров ООН являются неодинаковыми в Типовых правилах и МПОГ/ДОПОГ. В сентябре 2019 года Испания представила в качестве дискуссионного документ ECE/TRANS/WP.15/</w:t>
      </w:r>
      <w:r w:rsidRPr="00051DF7">
        <w:t xml:space="preserve"> </w:t>
      </w:r>
      <w:r w:rsidRPr="00CB2C5F">
        <w:t>AC.1/2019/32, в котором были показаны и проанализированы расхождения между различными номерами ООН.</w:t>
      </w:r>
    </w:p>
    <w:p w14:paraId="6556ED7A" w14:textId="77777777" w:rsidR="00051DF7" w:rsidRPr="00CB2C5F" w:rsidRDefault="00051DF7" w:rsidP="00051DF7">
      <w:pPr>
        <w:pStyle w:val="SingleTxtG"/>
      </w:pPr>
      <w:r w:rsidRPr="00CB2C5F">
        <w:t>2.</w:t>
      </w:r>
      <w:r w:rsidRPr="00CB2C5F">
        <w:tab/>
        <w:t xml:space="preserve">Различные делегации высказали свои замечания по поводу предыстории существующих различий, и к Испании </w:t>
      </w:r>
      <w:r>
        <w:t xml:space="preserve">была </w:t>
      </w:r>
      <w:r w:rsidRPr="00CB2C5F">
        <w:t>обра</w:t>
      </w:r>
      <w:r>
        <w:t xml:space="preserve">щена </w:t>
      </w:r>
      <w:r w:rsidRPr="00CB2C5F">
        <w:t>просьб</w:t>
      </w:r>
      <w:r>
        <w:t>а</w:t>
      </w:r>
      <w:r w:rsidRPr="00CB2C5F">
        <w:t xml:space="preserve"> разработать </w:t>
      </w:r>
      <w:r w:rsidRPr="00CB2C5F">
        <w:lastRenderedPageBreak/>
        <w:t xml:space="preserve">предложения по обеспечению согласованности и представить их </w:t>
      </w:r>
      <w:r w:rsidRPr="00C879CD">
        <w:t>либо Совместному совещанию, либо Подкомитету, в зависимости от каждого конкретного случая</w:t>
      </w:r>
      <w:r w:rsidRPr="00CB2C5F">
        <w:t>.</w:t>
      </w:r>
    </w:p>
    <w:p w14:paraId="52E13C82" w14:textId="77777777" w:rsidR="00051DF7" w:rsidRPr="00CB2C5F" w:rsidRDefault="00051DF7" w:rsidP="00051DF7">
      <w:pPr>
        <w:pStyle w:val="SingleTxtG"/>
      </w:pPr>
      <w:r w:rsidRPr="00CB2C5F">
        <w:t>3.</w:t>
      </w:r>
      <w:r w:rsidRPr="00CB2C5F">
        <w:tab/>
      </w:r>
      <w:r w:rsidRPr="00C879CD">
        <w:t>Наличие одного и того же наименования и описания для одного и того же номера ООН в правилах всех видов транспорта благодаря согласованию с Типовыми правилами и правилами других видов транспорта позволило бы применять более рациональный подход и облегчить административную нагрузку во время перевозки.</w:t>
      </w:r>
      <w:r w:rsidRPr="00CB2C5F">
        <w:t xml:space="preserve"> </w:t>
      </w:r>
    </w:p>
    <w:p w14:paraId="25DB233E" w14:textId="77777777" w:rsidR="00051DF7" w:rsidRPr="00CB2C5F" w:rsidRDefault="00051DF7" w:rsidP="00051DF7">
      <w:pPr>
        <w:pStyle w:val="HChG"/>
        <w:rPr>
          <w:rFonts w:eastAsiaTheme="minorEastAsia"/>
        </w:rPr>
      </w:pPr>
      <w:r>
        <w:tab/>
      </w:r>
      <w:r>
        <w:tab/>
      </w:r>
      <w:r w:rsidRPr="00CB2C5F">
        <w:t>Справочная информация</w:t>
      </w:r>
    </w:p>
    <w:p w14:paraId="62E3B718" w14:textId="77777777" w:rsidR="00051DF7" w:rsidRPr="00CB2C5F" w:rsidRDefault="00051DF7" w:rsidP="00051DF7">
      <w:pPr>
        <w:pStyle w:val="SingleTxtG"/>
      </w:pPr>
      <w:r w:rsidRPr="00CB2C5F">
        <w:t>4.</w:t>
      </w:r>
      <w:r w:rsidRPr="00CB2C5F">
        <w:tab/>
        <w:t>Ниже приводятся наименование и описание № ООН 2426 АММОНИЯ НИТРАТ, содержащиеся в Типовых правилах и МПОГ/ДОПОГ: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3515"/>
      </w:tblGrid>
      <w:tr w:rsidR="00051DF7" w:rsidRPr="00CB2C5F" w14:paraId="53A5A207" w14:textId="77777777" w:rsidTr="000A5651">
        <w:tc>
          <w:tcPr>
            <w:tcW w:w="1271" w:type="dxa"/>
          </w:tcPr>
          <w:p w14:paraId="54F40F0D" w14:textId="77777777" w:rsidR="00051DF7" w:rsidRPr="00CB2C5F" w:rsidRDefault="00051DF7" w:rsidP="000A5651">
            <w:pPr>
              <w:pStyle w:val="SingleTxtG"/>
              <w:spacing w:before="60" w:afterLines="60" w:after="144"/>
              <w:ind w:left="0" w:right="3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B2C5F">
              <w:t>Номер ООН</w:t>
            </w:r>
          </w:p>
        </w:tc>
        <w:tc>
          <w:tcPr>
            <w:tcW w:w="2693" w:type="dxa"/>
          </w:tcPr>
          <w:p w14:paraId="31F23ED0" w14:textId="77777777" w:rsidR="00051DF7" w:rsidRPr="00CB2C5F" w:rsidRDefault="00051DF7" w:rsidP="000A5651">
            <w:pPr>
              <w:pStyle w:val="SingleTxtG"/>
              <w:spacing w:before="60" w:afterLines="60" w:after="144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B2C5F">
              <w:t>Типовые правила</w:t>
            </w:r>
          </w:p>
        </w:tc>
        <w:tc>
          <w:tcPr>
            <w:tcW w:w="3515" w:type="dxa"/>
          </w:tcPr>
          <w:p w14:paraId="35608A47" w14:textId="77777777" w:rsidR="00051DF7" w:rsidRPr="00CB2C5F" w:rsidRDefault="00051DF7" w:rsidP="000A5651">
            <w:pPr>
              <w:pStyle w:val="SingleTxtG"/>
              <w:spacing w:before="60" w:afterLines="60" w:after="144"/>
              <w:ind w:left="57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B2C5F">
              <w:t>МПОГ/ДОПОГ</w:t>
            </w:r>
          </w:p>
        </w:tc>
      </w:tr>
      <w:tr w:rsidR="00051DF7" w:rsidRPr="00DD1F55" w14:paraId="5720BBC3" w14:textId="77777777" w:rsidTr="000A5651">
        <w:tc>
          <w:tcPr>
            <w:tcW w:w="1271" w:type="dxa"/>
            <w:vAlign w:val="center"/>
          </w:tcPr>
          <w:p w14:paraId="1445D763" w14:textId="77777777" w:rsidR="00051DF7" w:rsidRPr="00CB2C5F" w:rsidRDefault="00051DF7" w:rsidP="005A127E">
            <w:pPr>
              <w:spacing w:before="60" w:afterLines="60" w:after="144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B2C5F">
              <w:t>2426</w:t>
            </w:r>
          </w:p>
        </w:tc>
        <w:tc>
          <w:tcPr>
            <w:tcW w:w="2693" w:type="dxa"/>
          </w:tcPr>
          <w:p w14:paraId="5664B992" w14:textId="77777777" w:rsidR="00051DF7" w:rsidRPr="00CB2C5F" w:rsidRDefault="00051DF7" w:rsidP="000A5651">
            <w:pPr>
              <w:spacing w:before="60" w:afterLines="60" w:after="144" w:line="240" w:lineRule="auto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CB2C5F">
              <w:t>АММОНИЯ НИТРАТ ЖИДКИЙ (горячий концентрированный раствор)</w:t>
            </w:r>
          </w:p>
        </w:tc>
        <w:tc>
          <w:tcPr>
            <w:tcW w:w="3515" w:type="dxa"/>
          </w:tcPr>
          <w:p w14:paraId="712FF040" w14:textId="77777777" w:rsidR="00051DF7" w:rsidRPr="00CB2C5F" w:rsidRDefault="00051DF7" w:rsidP="000A5651">
            <w:pPr>
              <w:spacing w:before="60" w:afterLines="60" w:after="144" w:line="240" w:lineRule="auto"/>
              <w:ind w:left="57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B2C5F">
              <w:t xml:space="preserve">АММОНИЯ НИТРАТ ЖИДКИЙ </w:t>
            </w:r>
            <w:r w:rsidRPr="00CB2C5F">
              <w:rPr>
                <w:strike/>
              </w:rPr>
              <w:t>(</w:t>
            </w:r>
            <w:r w:rsidRPr="00CB2C5F">
              <w:t>,</w:t>
            </w:r>
            <w:r w:rsidR="000A5651">
              <w:t> </w:t>
            </w:r>
            <w:r w:rsidRPr="00CB2C5F">
              <w:t>горячий концентрированный раствор</w:t>
            </w:r>
            <w:r w:rsidRPr="00CB2C5F">
              <w:rPr>
                <w:strike/>
              </w:rPr>
              <w:t>)</w:t>
            </w:r>
            <w:r w:rsidRPr="00CB2C5F">
              <w:t xml:space="preserve"> </w:t>
            </w:r>
            <w:r w:rsidRPr="00CB2C5F">
              <w:rPr>
                <w:u w:val="single"/>
              </w:rPr>
              <w:t>концентрации более 80%, но не более 93%</w:t>
            </w:r>
          </w:p>
        </w:tc>
      </w:tr>
    </w:tbl>
    <w:p w14:paraId="1DD01311" w14:textId="77777777" w:rsidR="00051DF7" w:rsidRPr="00CB2C5F" w:rsidRDefault="00051DF7" w:rsidP="00051DF7">
      <w:pPr>
        <w:pStyle w:val="SingleTxtG"/>
        <w:spacing w:before="120"/>
      </w:pPr>
      <w:r w:rsidRPr="00CB2C5F">
        <w:t>5.</w:t>
      </w:r>
      <w:r w:rsidRPr="00CB2C5F">
        <w:tab/>
        <w:t>В наименовании, включенном в МПОГ/ДОПОГ, указаны ограничения на содержание нитрата аммония, в то время как в Типовых правилах т</w:t>
      </w:r>
      <w:r>
        <w:t>ак</w:t>
      </w:r>
      <w:r w:rsidRPr="00CB2C5F">
        <w:t>и</w:t>
      </w:r>
      <w:r>
        <w:t>е</w:t>
      </w:r>
      <w:r w:rsidRPr="00CB2C5F">
        <w:t xml:space="preserve"> ограничения </w:t>
      </w:r>
      <w:r>
        <w:t>отсутствуют</w:t>
      </w:r>
      <w:r w:rsidRPr="00CB2C5F">
        <w:t>.</w:t>
      </w:r>
    </w:p>
    <w:p w14:paraId="527823E1" w14:textId="77777777" w:rsidR="00051DF7" w:rsidRPr="00CB2C5F" w:rsidRDefault="00051DF7" w:rsidP="00051DF7">
      <w:pPr>
        <w:pStyle w:val="SingleTxtG"/>
        <w:spacing w:before="120"/>
      </w:pPr>
      <w:r w:rsidRPr="00CB2C5F">
        <w:t>6.</w:t>
      </w:r>
      <w:r w:rsidRPr="00CB2C5F">
        <w:tab/>
        <w:t>№ ООН 2426 как в Типовых правилах, так и в МПОГ/ДОПОГ назначено СП 252 следующего содержания:</w:t>
      </w:r>
    </w:p>
    <w:p w14:paraId="66054B1F" w14:textId="77777777" w:rsidR="00051DF7" w:rsidRPr="00CB2C5F" w:rsidRDefault="00051DF7" w:rsidP="00051DF7">
      <w:pPr>
        <w:pStyle w:val="SingleTxtG"/>
        <w:spacing w:before="120"/>
        <w:ind w:left="1701"/>
      </w:pPr>
      <w:r>
        <w:t>«</w:t>
      </w:r>
      <w:r w:rsidRPr="00CB2C5F">
        <w:t>Если нитрат аммония остается в растворе при любых условиях перевозки, водные растворы нитрата аммония с содержанием горючего материала не более 0,2% и с концентрацией не более 80% не подпадают под действие требований ДОПОГ.</w:t>
      </w:r>
      <w:r>
        <w:t>».</w:t>
      </w:r>
      <w:r w:rsidRPr="00CB2C5F">
        <w:t xml:space="preserve"> </w:t>
      </w:r>
    </w:p>
    <w:p w14:paraId="741FE30A" w14:textId="77777777" w:rsidR="00051DF7" w:rsidRPr="00CB2C5F" w:rsidRDefault="00051DF7" w:rsidP="00051DF7">
      <w:pPr>
        <w:pStyle w:val="SingleTxtG"/>
        <w:spacing w:before="120"/>
      </w:pPr>
      <w:r w:rsidRPr="00CB2C5F">
        <w:t>7.</w:t>
      </w:r>
      <w:r w:rsidRPr="00CB2C5F">
        <w:tab/>
        <w:t>Кроме того, в МПОГ/ДОПОГ № ООН 2426 (и только ему) назначено СП 644, которое гласит:</w:t>
      </w:r>
    </w:p>
    <w:p w14:paraId="0655DD5D" w14:textId="77777777" w:rsidR="00051DF7" w:rsidRPr="00CB2C5F" w:rsidRDefault="00051DF7" w:rsidP="00051DF7">
      <w:pPr>
        <w:pStyle w:val="SingleTxtG"/>
        <w:spacing w:before="120"/>
      </w:pPr>
      <w:r>
        <w:t>«</w:t>
      </w:r>
      <w:r w:rsidRPr="00CB2C5F">
        <w:t>Это вещество допускается к перевозке при условии, что:</w:t>
      </w:r>
    </w:p>
    <w:p w14:paraId="2719ED76" w14:textId="77777777" w:rsidR="00051DF7" w:rsidRPr="00CB2C5F" w:rsidRDefault="00051DF7" w:rsidP="00051DF7">
      <w:pPr>
        <w:pStyle w:val="SingleTxtG"/>
        <w:spacing w:before="120"/>
        <w:ind w:left="1701"/>
      </w:pPr>
      <w:r w:rsidRPr="00CB2C5F">
        <w:t>1.</w:t>
      </w:r>
      <w:r w:rsidRPr="00CB2C5F">
        <w:tab/>
        <w:t>значение рН, измеренное в 10-процентном водном растворе перевозимого вещества, находится в диапазоне 5</w:t>
      </w:r>
      <w:r>
        <w:t>–</w:t>
      </w:r>
      <w:r w:rsidRPr="00CB2C5F">
        <w:t>7;</w:t>
      </w:r>
    </w:p>
    <w:p w14:paraId="28B795F2" w14:textId="77777777" w:rsidR="00051DF7" w:rsidRPr="00CB2C5F" w:rsidRDefault="00051DF7" w:rsidP="00051DF7">
      <w:pPr>
        <w:pStyle w:val="SingleTxtG"/>
        <w:spacing w:before="120"/>
        <w:ind w:left="1701"/>
      </w:pPr>
      <w:r w:rsidRPr="00CB2C5F">
        <w:t>2.</w:t>
      </w:r>
      <w:r w:rsidRPr="00CB2C5F">
        <w:tab/>
        <w:t>раствор содержит не более 0,2% горючего материала или содержит соединения хлора в количествах, при которых содержание хлора не превышает 0,02%.</w:t>
      </w:r>
      <w:r>
        <w:t>».</w:t>
      </w:r>
    </w:p>
    <w:p w14:paraId="260022BB" w14:textId="77777777" w:rsidR="00051DF7" w:rsidRPr="00CB2C5F" w:rsidRDefault="00051DF7" w:rsidP="00051DF7">
      <w:pPr>
        <w:pStyle w:val="SingleTxtG"/>
        <w:spacing w:before="120"/>
      </w:pPr>
      <w:r w:rsidRPr="00CB2C5F">
        <w:t>8.</w:t>
      </w:r>
      <w:r w:rsidRPr="00CB2C5F">
        <w:tab/>
        <w:t>Как было отмечено в ходе обсуждения документа ECE/TRANS/WP.15/</w:t>
      </w:r>
      <w:r>
        <w:t xml:space="preserve"> </w:t>
      </w:r>
      <w:r w:rsidRPr="00CB2C5F">
        <w:t xml:space="preserve">AC.1/2019/32, в специальном положении СП 252 </w:t>
      </w:r>
      <w:r>
        <w:t xml:space="preserve">приводится </w:t>
      </w:r>
      <w:r w:rsidRPr="00CB2C5F">
        <w:t>нижний пороговый уровень, включенный в описание № ООН 2426.</w:t>
      </w:r>
    </w:p>
    <w:p w14:paraId="6E413427" w14:textId="77777777" w:rsidR="00051DF7" w:rsidRPr="00CB2C5F" w:rsidRDefault="00051DF7" w:rsidP="00051DF7">
      <w:pPr>
        <w:pStyle w:val="SingleTxtG"/>
        <w:spacing w:before="120"/>
      </w:pPr>
      <w:r w:rsidRPr="00CB2C5F">
        <w:t>9.</w:t>
      </w:r>
      <w:r w:rsidRPr="00CB2C5F">
        <w:tab/>
      </w:r>
      <w:r>
        <w:t>Указание</w:t>
      </w:r>
      <w:r w:rsidRPr="00CB2C5F">
        <w:t xml:space="preserve"> верхнего порогового уровня связано с условиями перевозки №</w:t>
      </w:r>
      <w:r>
        <w:t> </w:t>
      </w:r>
      <w:r w:rsidRPr="00CB2C5F">
        <w:t>ООН</w:t>
      </w:r>
      <w:r>
        <w:t> </w:t>
      </w:r>
      <w:r w:rsidRPr="00CB2C5F">
        <w:t>2426 в соответствии с МКМПОГ.</w:t>
      </w:r>
    </w:p>
    <w:p w14:paraId="567A9C4D" w14:textId="77777777" w:rsidR="00051DF7" w:rsidRPr="00CB2C5F" w:rsidRDefault="00051DF7" w:rsidP="00051DF7">
      <w:pPr>
        <w:pStyle w:val="HChG"/>
        <w:rPr>
          <w:rFonts w:eastAsiaTheme="minorEastAsia"/>
        </w:rPr>
      </w:pPr>
      <w:r>
        <w:tab/>
      </w:r>
      <w:r>
        <w:tab/>
      </w:r>
      <w:r w:rsidRPr="00CB2C5F">
        <w:t>Перевозка НИТРАТА АММОНИЯ, ЖИДКОГО (горячий концентриров</w:t>
      </w:r>
      <w:r>
        <w:t>анный раствор) в соответствии с </w:t>
      </w:r>
      <w:r w:rsidRPr="00CB2C5F">
        <w:t>правилами других видов транспорта</w:t>
      </w:r>
    </w:p>
    <w:p w14:paraId="38CB119C" w14:textId="77777777" w:rsidR="00051DF7" w:rsidRPr="00CB2C5F" w:rsidRDefault="00051DF7" w:rsidP="00051DF7">
      <w:pPr>
        <w:pStyle w:val="H1G"/>
      </w:pPr>
      <w:r w:rsidRPr="00CB2C5F">
        <w:tab/>
      </w:r>
      <w:r w:rsidRPr="00CB2C5F">
        <w:tab/>
      </w:r>
      <w:r w:rsidRPr="00CB2C5F">
        <w:rPr>
          <w:bCs/>
        </w:rPr>
        <w:t>Перевозка № ООН 2426 в соответствии с МКМПОГ</w:t>
      </w:r>
    </w:p>
    <w:p w14:paraId="616F6D21" w14:textId="77777777" w:rsidR="00051DF7" w:rsidRPr="00CB2C5F" w:rsidRDefault="00051DF7" w:rsidP="00051DF7">
      <w:pPr>
        <w:pStyle w:val="SingleTxtG"/>
      </w:pPr>
      <w:r w:rsidRPr="00CB2C5F">
        <w:t>10.</w:t>
      </w:r>
      <w:r w:rsidRPr="00CB2C5F">
        <w:tab/>
        <w:t xml:space="preserve">В МКМПОГ на перевозку № ООН 2426 распространяются следующие условия, как это поясняется в колонке 17 </w:t>
      </w:r>
      <w:r>
        <w:t>«</w:t>
      </w:r>
      <w:r w:rsidRPr="00CB2C5F">
        <w:t>Свойства и замечания</w:t>
      </w:r>
      <w:r>
        <w:t>»</w:t>
      </w:r>
      <w:r w:rsidRPr="00CB2C5F">
        <w:t>:</w:t>
      </w:r>
    </w:p>
    <w:p w14:paraId="0ABA7491" w14:textId="77777777" w:rsidR="00051DF7" w:rsidRPr="00CB2C5F" w:rsidRDefault="00051DF7" w:rsidP="00051DF7">
      <w:pPr>
        <w:pStyle w:val="SingleTxtG"/>
        <w:ind w:left="1701"/>
      </w:pPr>
      <w:r>
        <w:t>«</w:t>
      </w:r>
      <w:r w:rsidRPr="00CB2C5F">
        <w:t xml:space="preserve">Горячий водный раствор с содержанием не более 93% нитрата аммония и не более чем 0,2% горючего материала (включая органический материал, </w:t>
      </w:r>
      <w:r w:rsidRPr="00CB2C5F">
        <w:lastRenderedPageBreak/>
        <w:t xml:space="preserve">рассчитанный </w:t>
      </w:r>
      <w:r>
        <w:t>по</w:t>
      </w:r>
      <w:r w:rsidRPr="00CB2C5F">
        <w:t xml:space="preserve"> углерод</w:t>
      </w:r>
      <w:r>
        <w:t>у</w:t>
      </w:r>
      <w:r w:rsidRPr="00CB2C5F">
        <w:t>) и свободный от любых других добавленных веществ, содержащий не менее 7% воды, при этом максимальное содержание ионов хлорида не должно превышать 0,02%. Может приводить к возгоранию и взрыву при контакте с горючими материалами (например</w:t>
      </w:r>
      <w:r>
        <w:t>,</w:t>
      </w:r>
      <w:r w:rsidRPr="00CB2C5F">
        <w:t xml:space="preserve"> деревом, соломой, хлопком, растительным маслом, сахаром и т.</w:t>
      </w:r>
      <w:r w:rsidR="000A5651">
        <w:t> </w:t>
      </w:r>
      <w:r w:rsidRPr="00CB2C5F">
        <w:t xml:space="preserve">д.), сильными кислотами и другими веществами класса 5.1, вызывая сильное горение. Максимально допустимая температура перевозимого раствора </w:t>
      </w:r>
      <w:r>
        <w:t xml:space="preserve">– </w:t>
      </w:r>
      <w:r w:rsidRPr="00CB2C5F">
        <w:t>140</w:t>
      </w:r>
      <w:r w:rsidR="000A5651">
        <w:t> </w:t>
      </w:r>
      <w:r w:rsidRPr="00CB2C5F">
        <w:t>°C. Эта температура должна быть указана на транспортной единице. Кислотность (pH) груза при его разбавлении десятью частями воды на одну часть груза, по массе, должна быть в пределах от 5,0 до 7,0. Концентрация и температура раствора в момент погрузки, процентное содержание в нем г</w:t>
      </w:r>
      <w:r>
        <w:t>орючих материалов и хлоридов, а </w:t>
      </w:r>
      <w:r w:rsidRPr="00CB2C5F">
        <w:t xml:space="preserve">также содержание свободной кислоты должны быть </w:t>
      </w:r>
      <w:r>
        <w:t>подтверждены»</w:t>
      </w:r>
      <w:r w:rsidRPr="00CB2C5F">
        <w:t>.</w:t>
      </w:r>
    </w:p>
    <w:p w14:paraId="2E168F88" w14:textId="77777777" w:rsidR="00051DF7" w:rsidRPr="00CB2C5F" w:rsidRDefault="00051DF7" w:rsidP="00051DF7">
      <w:pPr>
        <w:pStyle w:val="SingleTxtG"/>
      </w:pPr>
      <w:r w:rsidRPr="00CB2C5F">
        <w:t>11.</w:t>
      </w:r>
      <w:r w:rsidRPr="00CB2C5F">
        <w:tab/>
        <w:t>Помимо СП 252 (см. текст в пункте 6) действует также СП 942 (только морская перевозка):</w:t>
      </w:r>
    </w:p>
    <w:p w14:paraId="328D185E" w14:textId="77777777" w:rsidR="00051DF7" w:rsidRPr="00CB2C5F" w:rsidRDefault="00051DF7" w:rsidP="00051DF7">
      <w:pPr>
        <w:pStyle w:val="SingleTxtG"/>
        <w:ind w:left="1701"/>
      </w:pPr>
      <w:r>
        <w:t>«</w:t>
      </w:r>
      <w:r w:rsidRPr="00CB2C5F">
        <w:t xml:space="preserve">СП 942: Концентрация и температура раствора в момент погрузки, процентное содержание в нем горючих материалов и хлоридов, а также содержание свободной кислоты должны быть </w:t>
      </w:r>
      <w:r w:rsidRPr="00D35A78">
        <w:t>подтверждены</w:t>
      </w:r>
      <w:r>
        <w:t>»</w:t>
      </w:r>
      <w:r w:rsidRPr="00CB2C5F">
        <w:t>.</w:t>
      </w:r>
    </w:p>
    <w:p w14:paraId="69EC9E52" w14:textId="77777777" w:rsidR="00051DF7" w:rsidRPr="00CB2C5F" w:rsidRDefault="00051DF7" w:rsidP="00051DF7">
      <w:pPr>
        <w:pStyle w:val="SingleTxtG"/>
        <w:rPr>
          <w:b/>
        </w:rPr>
      </w:pPr>
      <w:r w:rsidRPr="00CB2C5F">
        <w:rPr>
          <w:b/>
          <w:bCs/>
        </w:rPr>
        <w:t>Перевозка № ООН 2426 в соответствии с ТИ</w:t>
      </w:r>
    </w:p>
    <w:p w14:paraId="35829744" w14:textId="77777777" w:rsidR="00051DF7" w:rsidRPr="00CB2C5F" w:rsidRDefault="00051DF7" w:rsidP="00051DF7">
      <w:pPr>
        <w:pStyle w:val="SingleTxtG"/>
      </w:pPr>
      <w:r w:rsidRPr="00CB2C5F">
        <w:t>12.</w:t>
      </w:r>
      <w:r w:rsidRPr="00CB2C5F">
        <w:tab/>
        <w:t xml:space="preserve">В ТИ перевозка </w:t>
      </w:r>
      <w:r w:rsidR="000A5651">
        <w:t xml:space="preserve">№ </w:t>
      </w:r>
      <w:r w:rsidRPr="00CB2C5F">
        <w:t>ООН 2426 запрещена как для пассажирских, так и для грузовых самолетов, при этом дополнительно указывается номер специального положения А129, которое эквивалентно СП 252 Типовых правил и МПОГ/ДОПОГ.</w:t>
      </w:r>
    </w:p>
    <w:p w14:paraId="6DF1DF9F" w14:textId="77777777" w:rsidR="00051DF7" w:rsidRPr="00CB2C5F" w:rsidRDefault="00051DF7" w:rsidP="00051DF7">
      <w:pPr>
        <w:pStyle w:val="HChG"/>
        <w:rPr>
          <w:rFonts w:eastAsiaTheme="minorEastAsia"/>
        </w:rPr>
      </w:pPr>
      <w:r>
        <w:tab/>
      </w:r>
      <w:r>
        <w:tab/>
      </w:r>
      <w:r w:rsidRPr="00CB2C5F">
        <w:t>Анализ</w:t>
      </w:r>
    </w:p>
    <w:p w14:paraId="731CC162" w14:textId="77777777" w:rsidR="00051DF7" w:rsidRPr="00CB2C5F" w:rsidRDefault="00051DF7" w:rsidP="00051DF7">
      <w:pPr>
        <w:pStyle w:val="SingleTxtG"/>
      </w:pPr>
      <w:r w:rsidRPr="00CB2C5F">
        <w:t>13.</w:t>
      </w:r>
      <w:r w:rsidRPr="00CB2C5F">
        <w:tab/>
        <w:t>Верхний предел концентрации нитрата аммония, по-видимому, напрямую связан со свойствами и замечаниями, включенными в колонку 17 МКМПОГ для данного продукта.</w:t>
      </w:r>
    </w:p>
    <w:p w14:paraId="3133B8B9" w14:textId="77777777" w:rsidR="00051DF7" w:rsidRPr="00CB2C5F" w:rsidRDefault="00051DF7" w:rsidP="00051DF7">
      <w:pPr>
        <w:pStyle w:val="SingleTxtG"/>
      </w:pPr>
      <w:r w:rsidRPr="00CB2C5F">
        <w:t>14.</w:t>
      </w:r>
      <w:r w:rsidRPr="00CB2C5F">
        <w:tab/>
        <w:t>Тем не менее, МКМПОГ не ограничивается только установлением максимального значения концентрации нитрата аммония, но дополнительно:</w:t>
      </w:r>
    </w:p>
    <w:p w14:paraId="28426F3E" w14:textId="77777777" w:rsidR="00051DF7" w:rsidRPr="00CB2C5F" w:rsidRDefault="00051DF7" w:rsidP="00051DF7">
      <w:pPr>
        <w:pStyle w:val="SingleTxtG"/>
        <w:ind w:left="1701"/>
      </w:pPr>
      <w:r w:rsidRPr="00CB2C5F">
        <w:t>a)</w:t>
      </w:r>
      <w:r w:rsidRPr="00CB2C5F">
        <w:tab/>
        <w:t>содержит указания на другие вещества, которые в случае МПОГ/ДОПОГ приводятся аналогичным образом в СП 644;</w:t>
      </w:r>
    </w:p>
    <w:p w14:paraId="17B275CB" w14:textId="77777777" w:rsidR="00051DF7" w:rsidRPr="00CB2C5F" w:rsidRDefault="00051DF7" w:rsidP="00051DF7">
      <w:pPr>
        <w:pStyle w:val="SingleTxtG"/>
        <w:ind w:left="1701"/>
      </w:pPr>
      <w:r w:rsidRPr="00CB2C5F">
        <w:t>b)</w:t>
      </w:r>
      <w:r w:rsidRPr="00CB2C5F">
        <w:tab/>
        <w:t>ограничивает температуру при перевозке 140 ºC;</w:t>
      </w:r>
    </w:p>
    <w:p w14:paraId="345D9F2D" w14:textId="77777777" w:rsidR="00051DF7" w:rsidRPr="00CB2C5F" w:rsidRDefault="00051DF7" w:rsidP="00051DF7">
      <w:pPr>
        <w:pStyle w:val="SingleTxtG"/>
        <w:ind w:left="1701"/>
      </w:pPr>
      <w:r w:rsidRPr="00CB2C5F">
        <w:t>c)</w:t>
      </w:r>
      <w:r w:rsidRPr="00CB2C5F">
        <w:tab/>
        <w:t>требует подтверждения температуры в момент загрузки, а также содержания хлоридов и свободной кислоты;</w:t>
      </w:r>
    </w:p>
    <w:p w14:paraId="06B03E31" w14:textId="77777777" w:rsidR="00051DF7" w:rsidRPr="00CB2C5F" w:rsidRDefault="00051DF7" w:rsidP="00051DF7">
      <w:pPr>
        <w:pStyle w:val="SingleTxtG"/>
        <w:ind w:left="1701"/>
      </w:pPr>
      <w:r w:rsidRPr="00CB2C5F">
        <w:t>d)</w:t>
      </w:r>
      <w:r w:rsidRPr="00CB2C5F">
        <w:tab/>
        <w:t>сообщает о возможных опасностях;</w:t>
      </w:r>
    </w:p>
    <w:p w14:paraId="324EA429" w14:textId="77777777" w:rsidR="00051DF7" w:rsidRPr="00CB2C5F" w:rsidRDefault="00051DF7" w:rsidP="00051DF7">
      <w:pPr>
        <w:pStyle w:val="SingleTxtG"/>
        <w:ind w:left="1701"/>
      </w:pPr>
      <w:r w:rsidRPr="00CB2C5F">
        <w:t>e)</w:t>
      </w:r>
      <w:r w:rsidRPr="00CB2C5F">
        <w:tab/>
        <w:t>предусматривает указание температуры на транспортной единице.</w:t>
      </w:r>
    </w:p>
    <w:p w14:paraId="0DFC81E1" w14:textId="77777777" w:rsidR="00051DF7" w:rsidRPr="00CB2C5F" w:rsidRDefault="00051DF7" w:rsidP="00051DF7">
      <w:pPr>
        <w:pStyle w:val="SingleTxtG"/>
      </w:pPr>
      <w:r w:rsidRPr="00CB2C5F">
        <w:t>15.</w:t>
      </w:r>
      <w:r w:rsidRPr="00CB2C5F">
        <w:tab/>
        <w:t>Два последних пункта, как представляется, актуальны не столько для МПОГ/ДОПОГ, сколько для морской перевозки опасных грузов, однако остальные указания, приведенные в МКМПОГ, имеют значение и для МПОГ/ДОПОГ.</w:t>
      </w:r>
    </w:p>
    <w:p w14:paraId="2B0F4512" w14:textId="77777777" w:rsidR="00051DF7" w:rsidRPr="00CB2C5F" w:rsidRDefault="00051DF7" w:rsidP="00051DF7">
      <w:pPr>
        <w:pStyle w:val="SingleTxtG"/>
      </w:pPr>
      <w:r w:rsidRPr="00CB2C5F">
        <w:t>16.</w:t>
      </w:r>
      <w:r w:rsidRPr="00CB2C5F">
        <w:tab/>
        <w:t>Как представляется, есть несколько возможных путей продвижения вперед:</w:t>
      </w:r>
    </w:p>
    <w:p w14:paraId="03D97D17" w14:textId="77777777" w:rsidR="00051DF7" w:rsidRPr="00CB2C5F" w:rsidRDefault="00051DF7" w:rsidP="00051DF7">
      <w:pPr>
        <w:pStyle w:val="SingleTxtG"/>
        <w:ind w:left="1701"/>
      </w:pPr>
      <w:r w:rsidRPr="00CB2C5F">
        <w:t>a)</w:t>
      </w:r>
      <w:r w:rsidRPr="00CB2C5F">
        <w:tab/>
        <w:t>Сохранение нынешнего положения, в</w:t>
      </w:r>
      <w:r>
        <w:t>ключая указание в описании № </w:t>
      </w:r>
      <w:r w:rsidRPr="00CB2C5F">
        <w:t>ООН 2426 верхнего и нижнего предела концентрации аммония.</w:t>
      </w:r>
    </w:p>
    <w:p w14:paraId="49A07BA6" w14:textId="77777777" w:rsidR="00051DF7" w:rsidRPr="00CB2C5F" w:rsidRDefault="00051DF7" w:rsidP="00051DF7">
      <w:pPr>
        <w:pStyle w:val="SingleTxtG"/>
        <w:ind w:left="1701"/>
      </w:pPr>
      <w:r w:rsidRPr="00CB2C5F">
        <w:t>Это будет означать, что наименование и описание не согласованы с правилами перевозки другими видами транспорта, однако в действительности вещества, перевозимые под этим номером ООН, буд</w:t>
      </w:r>
      <w:r>
        <w:t>у</w:t>
      </w:r>
      <w:r w:rsidRPr="00CB2C5F">
        <w:t>т практически таким</w:t>
      </w:r>
      <w:r>
        <w:t>и</w:t>
      </w:r>
      <w:r w:rsidRPr="00CB2C5F">
        <w:t xml:space="preserve"> же, даже если некоторые указания МКМПОГ не войдут в МПОГ/ДОПОГ.</w:t>
      </w:r>
    </w:p>
    <w:p w14:paraId="2CB47429" w14:textId="77777777" w:rsidR="00051DF7" w:rsidRPr="00CB2C5F" w:rsidRDefault="00051DF7" w:rsidP="00051DF7">
      <w:pPr>
        <w:pStyle w:val="SingleTxtG"/>
        <w:ind w:left="1701"/>
      </w:pPr>
      <w:r w:rsidRPr="00CB2C5F">
        <w:t>b)</w:t>
      </w:r>
      <w:r w:rsidRPr="00CB2C5F">
        <w:tab/>
        <w:t>Полное согласование с МКМПОГ</w:t>
      </w:r>
      <w:r>
        <w:t xml:space="preserve"> путем исключения описания из № </w:t>
      </w:r>
      <w:r w:rsidRPr="00CB2C5F">
        <w:t>ООН 2426 и включения специального положения, эквивалентного тексту, содержащемуся в МКМПОГ.</w:t>
      </w:r>
    </w:p>
    <w:p w14:paraId="21D90F1B" w14:textId="77777777" w:rsidR="00051DF7" w:rsidRPr="00CB2C5F" w:rsidRDefault="00051DF7" w:rsidP="00051DF7">
      <w:pPr>
        <w:pStyle w:val="SingleTxtG"/>
        <w:ind w:firstLine="567"/>
      </w:pPr>
      <w:r w:rsidRPr="00CB2C5F">
        <w:lastRenderedPageBreak/>
        <w:t>Такое согласование может быть достигнуто путем вне</w:t>
      </w:r>
      <w:r w:rsidR="001616DA">
        <w:t>сения изменений в СП </w:t>
      </w:r>
      <w:r w:rsidRPr="00CB2C5F">
        <w:t>644, в которое, в измененном виде, войдут условия, изложенные в колонке 17 МКМПОГ</w:t>
      </w:r>
      <w:r>
        <w:t>. У</w:t>
      </w:r>
      <w:r w:rsidRPr="00CB2C5F">
        <w:t>словия, включенные в СП 942, являются излишними для этого текст</w:t>
      </w:r>
      <w:r>
        <w:t>а</w:t>
      </w:r>
      <w:r w:rsidRPr="00CB2C5F">
        <w:t>.</w:t>
      </w:r>
    </w:p>
    <w:p w14:paraId="1F2539DB" w14:textId="77777777" w:rsidR="00051DF7" w:rsidRPr="00CB2C5F" w:rsidRDefault="00051DF7" w:rsidP="00051DF7">
      <w:pPr>
        <w:pStyle w:val="SingleTxtG"/>
        <w:ind w:left="1701"/>
      </w:pPr>
      <w:r w:rsidRPr="00CB2C5F">
        <w:t>c)</w:t>
      </w:r>
      <w:r w:rsidRPr="00CB2C5F">
        <w:tab/>
      </w:r>
      <w:r>
        <w:t xml:space="preserve">Достижение </w:t>
      </w:r>
      <w:r w:rsidRPr="00CB2C5F">
        <w:t>согласованности на уровне Организации Объединенных Наций в виде предложения изменить СП 252 путем включения в него верхн</w:t>
      </w:r>
      <w:r>
        <w:t>его</w:t>
      </w:r>
      <w:r w:rsidRPr="00CB2C5F">
        <w:t xml:space="preserve"> и нижн</w:t>
      </w:r>
      <w:r>
        <w:t>его</w:t>
      </w:r>
      <w:r w:rsidRPr="00CB2C5F">
        <w:t xml:space="preserve"> пределов концентрации и других положений, содержащихся в МКМПОГ.</w:t>
      </w:r>
    </w:p>
    <w:p w14:paraId="72293F20" w14:textId="77777777" w:rsidR="00051DF7" w:rsidRPr="00CB2C5F" w:rsidRDefault="00051DF7" w:rsidP="001616DA">
      <w:pPr>
        <w:pStyle w:val="HChG"/>
        <w:rPr>
          <w:rFonts w:eastAsiaTheme="minorEastAsia"/>
        </w:rPr>
      </w:pPr>
      <w:r w:rsidRPr="00CB2C5F">
        <w:tab/>
      </w:r>
      <w:r w:rsidRPr="00CB2C5F">
        <w:tab/>
        <w:t>Предложения</w:t>
      </w:r>
    </w:p>
    <w:p w14:paraId="3367B426" w14:textId="77777777" w:rsidR="00051DF7" w:rsidRPr="00CB2C5F" w:rsidRDefault="00051DF7" w:rsidP="00051DF7">
      <w:pPr>
        <w:pStyle w:val="SingleTxtG"/>
      </w:pPr>
      <w:r w:rsidRPr="00CB2C5F">
        <w:t>17.</w:t>
      </w:r>
      <w:r w:rsidRPr="00CB2C5F">
        <w:tab/>
        <w:t>Испания предлагает придерживаться подхода, изложенного в пункте 16 b) выше.</w:t>
      </w:r>
    </w:p>
    <w:p w14:paraId="2C76E3A8" w14:textId="77777777" w:rsidR="00051DF7" w:rsidRPr="00CB2C5F" w:rsidRDefault="00051DF7" w:rsidP="00051DF7">
      <w:pPr>
        <w:pStyle w:val="SingleTxtG"/>
      </w:pPr>
      <w:r w:rsidRPr="00CB2C5F">
        <w:t>18.</w:t>
      </w:r>
      <w:r w:rsidRPr="00CB2C5F">
        <w:tab/>
        <w:t>Необходимые поправки будут заключаться в изменении наименования и описания № ООН 2426 и в изменении СП 644 для этого номера ООН на основе текста, взятого из МКМПОГ. СП 252 останется без изменений.</w:t>
      </w:r>
    </w:p>
    <w:p w14:paraId="6808734E" w14:textId="77777777" w:rsidR="00051DF7" w:rsidRPr="00CB2C5F" w:rsidRDefault="00051DF7" w:rsidP="00051DF7">
      <w:pPr>
        <w:pStyle w:val="SingleTxtG"/>
      </w:pPr>
      <w:r w:rsidRPr="00CB2C5F">
        <w:t>19.</w:t>
      </w:r>
      <w:r w:rsidRPr="00CB2C5F">
        <w:tab/>
        <w:t xml:space="preserve">Исключенный текст </w:t>
      </w:r>
      <w:r w:rsidRPr="00CB2C5F">
        <w:rPr>
          <w:strike/>
        </w:rPr>
        <w:t>зачеркнут</w:t>
      </w:r>
      <w:r w:rsidRPr="00CB2C5F">
        <w:t xml:space="preserve">, новый текст </w:t>
      </w:r>
      <w:r w:rsidRPr="00CB2C5F">
        <w:rPr>
          <w:u w:val="single"/>
        </w:rPr>
        <w:t>подчеркнут</w:t>
      </w:r>
      <w:r w:rsidRPr="00CB2C5F">
        <w:t xml:space="preserve">. </w:t>
      </w:r>
    </w:p>
    <w:p w14:paraId="273C57EC" w14:textId="77777777" w:rsidR="00051DF7" w:rsidRPr="00CB2C5F" w:rsidRDefault="00051DF7" w:rsidP="00051DF7">
      <w:pPr>
        <w:pStyle w:val="SingleTxtG"/>
      </w:pPr>
      <w:r w:rsidRPr="00CB2C5F">
        <w:t>20.</w:t>
      </w:r>
      <w:r w:rsidRPr="00CB2C5F">
        <w:tab/>
        <w:t>В таблицах А и В изменить № ООН 2426 следующим образом:</w:t>
      </w:r>
    </w:p>
    <w:p w14:paraId="5105B161" w14:textId="77777777" w:rsidR="00051DF7" w:rsidRPr="00CB2C5F" w:rsidRDefault="00051DF7" w:rsidP="00051DF7">
      <w:pPr>
        <w:pStyle w:val="SingleTxtG"/>
      </w:pPr>
      <w:r w:rsidRPr="00CB2C5F">
        <w:t>ООН 2426 АММОНИЯ НИТРАТ ЖИДКИЙ, горячий концентрированный раствор</w:t>
      </w:r>
      <w:r w:rsidRPr="00CB2C5F">
        <w:rPr>
          <w:strike/>
        </w:rPr>
        <w:t xml:space="preserve"> концентрации более 80%, но не более 93%</w:t>
      </w:r>
    </w:p>
    <w:p w14:paraId="6272BC5D" w14:textId="77777777" w:rsidR="00051DF7" w:rsidRPr="00CB2C5F" w:rsidRDefault="00051DF7" w:rsidP="00051DF7">
      <w:pPr>
        <w:pStyle w:val="SingleTxtG"/>
      </w:pPr>
      <w:r w:rsidRPr="00CB2C5F">
        <w:t>21.</w:t>
      </w:r>
      <w:r w:rsidRPr="00CB2C5F">
        <w:tab/>
        <w:t>Изменить СП 644 следующим образом:</w:t>
      </w:r>
    </w:p>
    <w:p w14:paraId="66B12BBA" w14:textId="77777777" w:rsidR="00051DF7" w:rsidRPr="00CB2C5F" w:rsidRDefault="00051DF7" w:rsidP="00051DF7">
      <w:pPr>
        <w:pStyle w:val="SingleTxtG"/>
      </w:pPr>
      <w:r w:rsidRPr="00CB2C5F">
        <w:t>СП 644:</w:t>
      </w:r>
    </w:p>
    <w:p w14:paraId="35E766A6" w14:textId="77777777" w:rsidR="00051DF7" w:rsidRPr="00CB2C5F" w:rsidRDefault="001616DA" w:rsidP="00051DF7">
      <w:pPr>
        <w:pStyle w:val="SingleTxtG"/>
      </w:pPr>
      <w:r>
        <w:t>«</w:t>
      </w:r>
      <w:r w:rsidR="00051DF7" w:rsidRPr="00CB2C5F">
        <w:t>Это вещество допускается к перевозке при условии, что:</w:t>
      </w:r>
    </w:p>
    <w:p w14:paraId="0959AD40" w14:textId="77777777" w:rsidR="00051DF7" w:rsidRPr="00CB2C5F" w:rsidRDefault="00051DF7" w:rsidP="00051DF7">
      <w:pPr>
        <w:pStyle w:val="SingleTxtG"/>
        <w:ind w:left="1701"/>
      </w:pPr>
      <w:r w:rsidRPr="00CB2C5F">
        <w:t>1.</w:t>
      </w:r>
      <w:r w:rsidRPr="00CB2C5F">
        <w:tab/>
        <w:t>значение рН, измеренное в 10-процентном водном растворе перевозимого вещества, находится в диапазоне 5</w:t>
      </w:r>
      <w:r w:rsidR="001616DA">
        <w:t>–</w:t>
      </w:r>
      <w:r w:rsidRPr="00CB2C5F">
        <w:t>7.</w:t>
      </w:r>
    </w:p>
    <w:p w14:paraId="5058138A" w14:textId="77777777" w:rsidR="00051DF7" w:rsidRPr="00CB2C5F" w:rsidRDefault="00051DF7" w:rsidP="00051DF7">
      <w:pPr>
        <w:pStyle w:val="SingleTxtG"/>
        <w:ind w:left="1701"/>
        <w:rPr>
          <w:u w:val="single"/>
        </w:rPr>
      </w:pPr>
      <w:r w:rsidRPr="00CB2C5F">
        <w:t>2.</w:t>
      </w:r>
      <w:r w:rsidRPr="00CB2C5F">
        <w:tab/>
        <w:t xml:space="preserve">Раствор содержит </w:t>
      </w:r>
      <w:r w:rsidRPr="00CB2C5F">
        <w:rPr>
          <w:u w:val="single"/>
        </w:rPr>
        <w:t>не более 93% нитрата</w:t>
      </w:r>
      <w:r w:rsidRPr="00C879CD">
        <w:rPr>
          <w:u w:val="single"/>
        </w:rPr>
        <w:t xml:space="preserve"> </w:t>
      </w:r>
      <w:r w:rsidRPr="00CB2C5F">
        <w:rPr>
          <w:u w:val="single"/>
        </w:rPr>
        <w:t>аммония.</w:t>
      </w:r>
    </w:p>
    <w:p w14:paraId="5DF2842D" w14:textId="77777777" w:rsidR="00051DF7" w:rsidRPr="00CB2C5F" w:rsidRDefault="00051DF7" w:rsidP="00051DF7">
      <w:pPr>
        <w:pStyle w:val="SingleTxtG"/>
        <w:ind w:left="1701"/>
      </w:pPr>
      <w:r w:rsidRPr="00CB2C5F">
        <w:t>3.</w:t>
      </w:r>
      <w:r w:rsidRPr="00CB2C5F">
        <w:tab/>
      </w:r>
      <w:r w:rsidRPr="00CB2C5F">
        <w:rPr>
          <w:u w:val="single"/>
        </w:rPr>
        <w:t>Раствор содержит не более</w:t>
      </w:r>
      <w:r w:rsidRPr="00CB2C5F">
        <w:t xml:space="preserve"> 0,2% горючего материала или содержит соединения хлора в количествах, при которых содержание хлора не превышает 0,02%.</w:t>
      </w:r>
    </w:p>
    <w:p w14:paraId="3BC59388" w14:textId="77777777" w:rsidR="00051DF7" w:rsidRPr="00CB2C5F" w:rsidRDefault="00051DF7" w:rsidP="00051DF7">
      <w:pPr>
        <w:pStyle w:val="SingleTxtG"/>
        <w:ind w:left="1701"/>
        <w:rPr>
          <w:u w:val="single"/>
        </w:rPr>
      </w:pPr>
      <w:r w:rsidRPr="00CB2C5F">
        <w:t>4.</w:t>
      </w:r>
      <w:r w:rsidRPr="00CB2C5F">
        <w:tab/>
      </w:r>
      <w:r w:rsidRPr="00CB2C5F">
        <w:rPr>
          <w:u w:val="single"/>
        </w:rPr>
        <w:t>Максимально допустимая температура перевозимого раствора должна составлять 140°C.</w:t>
      </w:r>
    </w:p>
    <w:p w14:paraId="25B99270" w14:textId="77777777" w:rsidR="00051DF7" w:rsidRDefault="00051DF7" w:rsidP="00051DF7">
      <w:pPr>
        <w:pStyle w:val="SingleTxtG"/>
      </w:pPr>
      <w:r w:rsidRPr="00CB2C5F">
        <w:rPr>
          <w:u w:val="single"/>
        </w:rPr>
        <w:t xml:space="preserve">Концентрация и температура раствора в момент погрузки, процентное содержание в нем горючих материалов и хлоридов, а также содержание свободной кислоты должны быть </w:t>
      </w:r>
      <w:r>
        <w:rPr>
          <w:u w:val="single"/>
        </w:rPr>
        <w:t>подтверждены</w:t>
      </w:r>
      <w:r w:rsidR="001616DA">
        <w:t>»</w:t>
      </w:r>
      <w:r w:rsidRPr="001616DA">
        <w:t>.</w:t>
      </w:r>
    </w:p>
    <w:p w14:paraId="5B3397D8" w14:textId="77777777" w:rsidR="00051DF7" w:rsidRPr="00051DF7" w:rsidRDefault="00051DF7" w:rsidP="00051DF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1DF7" w:rsidRPr="00051DF7" w:rsidSect="00051DF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AF899" w14:textId="77777777" w:rsidR="00E362A5" w:rsidRPr="00A312BC" w:rsidRDefault="00E362A5" w:rsidP="00A312BC"/>
  </w:endnote>
  <w:endnote w:type="continuationSeparator" w:id="0">
    <w:p w14:paraId="207F1EC0" w14:textId="77777777" w:rsidR="00E362A5" w:rsidRPr="00A312BC" w:rsidRDefault="00E362A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C029" w14:textId="77777777" w:rsidR="00051DF7" w:rsidRPr="00051DF7" w:rsidRDefault="00051DF7">
    <w:pPr>
      <w:pStyle w:val="Footer"/>
    </w:pPr>
    <w:r w:rsidRPr="00051DF7">
      <w:rPr>
        <w:b/>
        <w:sz w:val="18"/>
      </w:rPr>
      <w:fldChar w:fldCharType="begin"/>
    </w:r>
    <w:r w:rsidRPr="00051DF7">
      <w:rPr>
        <w:b/>
        <w:sz w:val="18"/>
      </w:rPr>
      <w:instrText xml:space="preserve"> PAGE  \* MERGEFORMAT </w:instrText>
    </w:r>
    <w:r w:rsidRPr="00051DF7">
      <w:rPr>
        <w:b/>
        <w:sz w:val="18"/>
      </w:rPr>
      <w:fldChar w:fldCharType="separate"/>
    </w:r>
    <w:r w:rsidR="00EC176B">
      <w:rPr>
        <w:b/>
        <w:noProof/>
        <w:sz w:val="18"/>
      </w:rPr>
      <w:t>2</w:t>
    </w:r>
    <w:r w:rsidRPr="00051DF7">
      <w:rPr>
        <w:b/>
        <w:sz w:val="18"/>
      </w:rPr>
      <w:fldChar w:fldCharType="end"/>
    </w:r>
    <w:r>
      <w:rPr>
        <w:b/>
        <w:sz w:val="18"/>
      </w:rPr>
      <w:tab/>
    </w:r>
    <w:r>
      <w:t>GE.20-00115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CD06" w14:textId="77777777" w:rsidR="00051DF7" w:rsidRPr="00051DF7" w:rsidRDefault="00051DF7" w:rsidP="00051DF7">
    <w:pPr>
      <w:pStyle w:val="Footer"/>
      <w:tabs>
        <w:tab w:val="clear" w:pos="9639"/>
        <w:tab w:val="right" w:pos="9638"/>
      </w:tabs>
      <w:rPr>
        <w:b/>
        <w:sz w:val="18"/>
      </w:rPr>
    </w:pPr>
    <w:r>
      <w:t>GE.20-00115</w:t>
    </w:r>
    <w:r>
      <w:tab/>
    </w:r>
    <w:r w:rsidRPr="00051DF7">
      <w:rPr>
        <w:b/>
        <w:sz w:val="18"/>
      </w:rPr>
      <w:fldChar w:fldCharType="begin"/>
    </w:r>
    <w:r w:rsidRPr="00051DF7">
      <w:rPr>
        <w:b/>
        <w:sz w:val="18"/>
      </w:rPr>
      <w:instrText xml:space="preserve"> PAGE  \* MERGEFORMAT </w:instrText>
    </w:r>
    <w:r w:rsidRPr="00051DF7">
      <w:rPr>
        <w:b/>
        <w:sz w:val="18"/>
      </w:rPr>
      <w:fldChar w:fldCharType="separate"/>
    </w:r>
    <w:r w:rsidR="00EC176B">
      <w:rPr>
        <w:b/>
        <w:noProof/>
        <w:sz w:val="18"/>
      </w:rPr>
      <w:t>3</w:t>
    </w:r>
    <w:r w:rsidRPr="00051D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E715" w14:textId="77777777" w:rsidR="00042B72" w:rsidRPr="00051DF7" w:rsidRDefault="00051DF7" w:rsidP="00051DF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842DDCB" wp14:editId="28438E3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20-00115  (R)</w:t>
    </w:r>
    <w:r>
      <w:rPr>
        <w:lang w:val="en-US"/>
      </w:rPr>
      <w:t xml:space="preserve">  200120  220120</w:t>
    </w:r>
    <w:r>
      <w:br/>
    </w:r>
    <w:r w:rsidRPr="00051DF7">
      <w:rPr>
        <w:rFonts w:ascii="C39T30Lfz" w:hAnsi="C39T30Lfz"/>
        <w:kern w:val="14"/>
        <w:sz w:val="56"/>
      </w:rPr>
      <w:t></w:t>
    </w:r>
    <w:r w:rsidRPr="00051DF7">
      <w:rPr>
        <w:rFonts w:ascii="C39T30Lfz" w:hAnsi="C39T30Lfz"/>
        <w:kern w:val="14"/>
        <w:sz w:val="56"/>
      </w:rPr>
      <w:t></w:t>
    </w:r>
    <w:r w:rsidRPr="00051DF7">
      <w:rPr>
        <w:rFonts w:ascii="C39T30Lfz" w:hAnsi="C39T30Lfz"/>
        <w:kern w:val="14"/>
        <w:sz w:val="56"/>
      </w:rPr>
      <w:t></w:t>
    </w:r>
    <w:r w:rsidRPr="00051DF7">
      <w:rPr>
        <w:rFonts w:ascii="C39T30Lfz" w:hAnsi="C39T30Lfz"/>
        <w:kern w:val="14"/>
        <w:sz w:val="56"/>
      </w:rPr>
      <w:t></w:t>
    </w:r>
    <w:r w:rsidRPr="00051DF7">
      <w:rPr>
        <w:rFonts w:ascii="C39T30Lfz" w:hAnsi="C39T30Lfz"/>
        <w:kern w:val="14"/>
        <w:sz w:val="56"/>
      </w:rPr>
      <w:t></w:t>
    </w:r>
    <w:r w:rsidRPr="00051DF7">
      <w:rPr>
        <w:rFonts w:ascii="C39T30Lfz" w:hAnsi="C39T30Lfz"/>
        <w:kern w:val="14"/>
        <w:sz w:val="56"/>
      </w:rPr>
      <w:t></w:t>
    </w:r>
    <w:r w:rsidRPr="00051DF7">
      <w:rPr>
        <w:rFonts w:ascii="C39T30Lfz" w:hAnsi="C39T30Lfz"/>
        <w:kern w:val="14"/>
        <w:sz w:val="56"/>
      </w:rPr>
      <w:t></w:t>
    </w:r>
    <w:r w:rsidRPr="00051DF7">
      <w:rPr>
        <w:rFonts w:ascii="C39T30Lfz" w:hAnsi="C39T30Lfz"/>
        <w:kern w:val="14"/>
        <w:sz w:val="56"/>
      </w:rPr>
      <w:t></w:t>
    </w:r>
    <w:r w:rsidRPr="00051DF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2B382D0" wp14:editId="7BAE2D3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4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4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9A45" w14:textId="77777777" w:rsidR="00E362A5" w:rsidRPr="001075E9" w:rsidRDefault="00E362A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67AFE2" w14:textId="77777777" w:rsidR="00E362A5" w:rsidRDefault="00E362A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408A384" w14:textId="77777777" w:rsidR="00051DF7" w:rsidRPr="008220D4" w:rsidRDefault="00051DF7" w:rsidP="00051DF7">
      <w:pPr>
        <w:pStyle w:val="FootnoteText"/>
      </w:pPr>
      <w:r>
        <w:tab/>
      </w:r>
      <w:r w:rsidRPr="00051DF7">
        <w:rPr>
          <w:sz w:val="20"/>
        </w:rPr>
        <w:t>*</w:t>
      </w:r>
      <w:r>
        <w:tab/>
        <w:t>2020 год (A/74/6 (Раздел 20) и дополнительная информация, Подпрограмма 2)</w:t>
      </w:r>
      <w:r w:rsidR="000A5651">
        <w:t>.</w:t>
      </w:r>
    </w:p>
  </w:footnote>
  <w:footnote w:id="2">
    <w:p w14:paraId="3A75DC64" w14:textId="77777777" w:rsidR="00051DF7" w:rsidRPr="008220D4" w:rsidRDefault="00051DF7" w:rsidP="00051DF7">
      <w:pPr>
        <w:pStyle w:val="FootnoteText"/>
        <w:rPr>
          <w:sz w:val="20"/>
        </w:rPr>
      </w:pPr>
      <w:r>
        <w:tab/>
      </w:r>
      <w:r w:rsidRPr="00051DF7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OTIF/RID/RC/2020/41.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4C52" w14:textId="75D77881" w:rsidR="00051DF7" w:rsidRPr="00051DF7" w:rsidRDefault="00D47EF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ECE/TRANS/WP.15/AC.1/2020/41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81C4" w14:textId="635FA070" w:rsidR="00051DF7" w:rsidRPr="00051DF7" w:rsidRDefault="00D47EF1" w:rsidP="00051DF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ECE/TRANS/WP.15/AC.1/2020/41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A5"/>
    <w:rsid w:val="00033EE1"/>
    <w:rsid w:val="00042B72"/>
    <w:rsid w:val="00051DF7"/>
    <w:rsid w:val="000558BD"/>
    <w:rsid w:val="000A5651"/>
    <w:rsid w:val="000B57E7"/>
    <w:rsid w:val="000B6373"/>
    <w:rsid w:val="000E4E5B"/>
    <w:rsid w:val="000F09DF"/>
    <w:rsid w:val="000F61B2"/>
    <w:rsid w:val="001075E9"/>
    <w:rsid w:val="0014152F"/>
    <w:rsid w:val="001616DA"/>
    <w:rsid w:val="00180183"/>
    <w:rsid w:val="0018024D"/>
    <w:rsid w:val="0018649F"/>
    <w:rsid w:val="00196389"/>
    <w:rsid w:val="001B3EF6"/>
    <w:rsid w:val="001C7A89"/>
    <w:rsid w:val="001E695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1238"/>
    <w:rsid w:val="008D53B6"/>
    <w:rsid w:val="008E37E9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7EF1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62A5"/>
    <w:rsid w:val="00E73F76"/>
    <w:rsid w:val="00EA2C9F"/>
    <w:rsid w:val="00EA420E"/>
    <w:rsid w:val="00EC176B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79194C"/>
  <w15:docId w15:val="{DF3A8B41-2E30-422F-A013-E063B247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51DF7"/>
    <w:rPr>
      <w:lang w:val="ru-RU" w:eastAsia="en-US"/>
    </w:rPr>
  </w:style>
  <w:style w:type="paragraph" w:customStyle="1" w:styleId="ParNoG">
    <w:name w:val="_ParNo_G"/>
    <w:basedOn w:val="SingleTxtG"/>
    <w:qFormat/>
    <w:rsid w:val="00051DF7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qFormat/>
    <w:locked/>
    <w:rsid w:val="00051DF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ECE/TRANS/WP.15/AC.1/2020/41</vt:lpstr>
      <vt:lpstr>ECE/TRANS/WP.15/AC.1/2020/41</vt:lpstr>
      <vt:lpstr>A/</vt:lpstr>
    </vt:vector>
  </TitlesOfParts>
  <Company>DCM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ECE/TRANS/WP.15/AC.1/2020/41</dc:title>
  <dc:subject/>
  <dc:creator>Marina KOROTKOVA</dc:creator>
  <cp:keywords/>
  <cp:lastModifiedBy>Laurence Berthet</cp:lastModifiedBy>
  <cp:revision>3</cp:revision>
  <cp:lastPrinted>2020-03-10T10:54:00Z</cp:lastPrinted>
  <dcterms:created xsi:type="dcterms:W3CDTF">2020-03-10T10:54:00Z</dcterms:created>
  <dcterms:modified xsi:type="dcterms:W3CDTF">2020-03-10T10:54:00Z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