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993B62" w:rsidRPr="004E4862" w:rsidTr="00770C1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993B62" w:rsidRDefault="00993B62" w:rsidP="00770C19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bookmark_16"/>
            <w:bookmarkStart w:id="1" w:name="bookmark_18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993B62" w:rsidRPr="00BD33EE" w:rsidRDefault="00993B62" w:rsidP="00770C1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993B62" w:rsidRPr="00050F29" w:rsidRDefault="00993B62" w:rsidP="00770C19">
            <w:pPr>
              <w:jc w:val="right"/>
              <w:rPr>
                <w:lang w:val="en-US"/>
              </w:rPr>
            </w:pPr>
            <w:r w:rsidRPr="00050F29">
              <w:rPr>
                <w:sz w:val="40"/>
                <w:lang w:val="en-US"/>
              </w:rPr>
              <w:t>ECE</w:t>
            </w:r>
            <w:r w:rsidRPr="00050F29">
              <w:rPr>
                <w:lang w:val="en-US"/>
              </w:rPr>
              <w:t>/TRANS/WP.15/AC.1/2020/</w:t>
            </w:r>
            <w:r>
              <w:rPr>
                <w:lang w:val="en-US"/>
              </w:rPr>
              <w:t>34</w:t>
            </w:r>
          </w:p>
        </w:tc>
      </w:tr>
      <w:tr w:rsidR="00993B62" w:rsidRPr="004E4862" w:rsidTr="00770C1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93B62" w:rsidRDefault="00993B62" w:rsidP="00770C1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898243" wp14:editId="04570FCC">
                  <wp:extent cx="714375" cy="590550"/>
                  <wp:effectExtent l="0" t="0" r="0" b="0"/>
                  <wp:docPr id="4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93B62" w:rsidRPr="00033EE1" w:rsidRDefault="00993B62" w:rsidP="00770C19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993B62" w:rsidRDefault="00993B62" w:rsidP="00770C1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93B62" w:rsidRPr="004E4862" w:rsidRDefault="00A05933" w:rsidP="00770C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  <w:bookmarkStart w:id="2" w:name="_GoBack"/>
            <w:bookmarkEnd w:id="2"/>
            <w:r w:rsidR="00993B62" w:rsidRPr="004E4862">
              <w:rPr>
                <w:lang w:val="en-US"/>
              </w:rPr>
              <w:t xml:space="preserve"> </w:t>
            </w:r>
            <w:r w:rsidR="00993B62">
              <w:rPr>
                <w:lang w:val="en-US"/>
              </w:rPr>
              <w:t>December</w:t>
            </w:r>
            <w:r w:rsidR="00993B62" w:rsidRPr="004E4862">
              <w:rPr>
                <w:lang w:val="en-US"/>
              </w:rPr>
              <w:t xml:space="preserve"> 2019</w:t>
            </w:r>
          </w:p>
          <w:p w:rsidR="00993B62" w:rsidRPr="004E4862" w:rsidRDefault="00993B62" w:rsidP="00770C19">
            <w:pPr>
              <w:spacing w:line="240" w:lineRule="exact"/>
              <w:rPr>
                <w:lang w:val="en-US"/>
              </w:rPr>
            </w:pPr>
          </w:p>
          <w:p w:rsidR="00993B62" w:rsidRPr="004E4862" w:rsidRDefault="00993B62" w:rsidP="00770C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4E4862">
              <w:rPr>
                <w:lang w:val="en-US"/>
              </w:rPr>
              <w:t xml:space="preserve">: </w:t>
            </w:r>
            <w:r>
              <w:rPr>
                <w:lang w:val="en-US"/>
              </w:rPr>
              <w:t>Russian</w:t>
            </w:r>
          </w:p>
        </w:tc>
      </w:tr>
    </w:tbl>
    <w:bookmarkEnd w:id="0"/>
    <w:bookmarkEnd w:id="1"/>
    <w:p w:rsidR="00993B62" w:rsidRDefault="00993B62" w:rsidP="00770C1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Европейская экономическая комиссия</w:t>
      </w:r>
    </w:p>
    <w:p w:rsidR="00993B62" w:rsidRDefault="00993B62" w:rsidP="00770C19">
      <w:pPr>
        <w:pStyle w:val="SingleTxtGR"/>
        <w:spacing w:before="120"/>
        <w:ind w:left="0"/>
        <w:jc w:val="left"/>
        <w:rPr>
          <w:sz w:val="28"/>
          <w:szCs w:val="28"/>
        </w:rPr>
      </w:pPr>
      <w:bookmarkStart w:id="3" w:name="bookmark_10"/>
      <w:r>
        <w:rPr>
          <w:sz w:val="28"/>
          <w:szCs w:val="28"/>
        </w:rPr>
        <w:t>Комитет по внутреннему транспорту</w:t>
      </w:r>
      <w:bookmarkEnd w:id="3"/>
    </w:p>
    <w:p w:rsidR="00993B62" w:rsidRDefault="00993B62" w:rsidP="00770C19">
      <w:pPr>
        <w:pStyle w:val="SingleTxtGR"/>
        <w:ind w:left="0"/>
        <w:jc w:val="left"/>
        <w:rPr>
          <w:b/>
          <w:sz w:val="24"/>
          <w:szCs w:val="24"/>
        </w:rPr>
      </w:pPr>
      <w:bookmarkStart w:id="4" w:name="bookmark_11"/>
      <w:r>
        <w:rPr>
          <w:b/>
          <w:sz w:val="24"/>
          <w:szCs w:val="24"/>
        </w:rPr>
        <w:t>Рабочая группа по перевозкам опасных грузов</w:t>
      </w:r>
      <w:bookmarkEnd w:id="4"/>
    </w:p>
    <w:p w:rsidR="00993B62" w:rsidRDefault="00993B62" w:rsidP="00770C19">
      <w:pPr>
        <w:pStyle w:val="SingleTxtGR"/>
        <w:spacing w:after="0"/>
        <w:ind w:left="0"/>
        <w:jc w:val="left"/>
        <w:rPr>
          <w:b/>
        </w:rPr>
      </w:pPr>
      <w:bookmarkStart w:id="5" w:name="bookmark_12"/>
      <w:r>
        <w:rPr>
          <w:b/>
        </w:rPr>
        <w:t>Совместное совещание Комиссии экспертов МПОГ</w:t>
      </w:r>
      <w:bookmarkStart w:id="6" w:name="bookmark_13"/>
      <w:bookmarkEnd w:id="5"/>
      <w:r>
        <w:rPr>
          <w:b/>
        </w:rPr>
        <w:br/>
        <w:t>и Рабочей группы по перевозкам опасных грузов</w:t>
      </w:r>
      <w:bookmarkEnd w:id="6"/>
    </w:p>
    <w:p w:rsidR="00993B62" w:rsidRDefault="00993B62" w:rsidP="00770C19">
      <w:pPr>
        <w:pStyle w:val="SingleTxtGR"/>
        <w:spacing w:after="0"/>
        <w:ind w:left="0"/>
        <w:jc w:val="left"/>
      </w:pPr>
      <w:bookmarkStart w:id="7" w:name="bookmark_14"/>
      <w:r>
        <w:t>Берн, 16–20 марта 2020 года</w:t>
      </w:r>
      <w:bookmarkEnd w:id="7"/>
    </w:p>
    <w:p w:rsidR="00EC01D5" w:rsidRDefault="00EC01D5" w:rsidP="00EC01D5">
      <w:pPr>
        <w:ind w:right="1134"/>
      </w:pPr>
      <w:r>
        <w:t xml:space="preserve">Пункт </w:t>
      </w:r>
      <w:r>
        <w:rPr>
          <w:lang w:val="fr-CH"/>
        </w:rPr>
        <w:t>2</w:t>
      </w:r>
      <w:r>
        <w:t xml:space="preserve"> предварительной повестки дня</w:t>
      </w:r>
    </w:p>
    <w:p w:rsidR="00993B62" w:rsidRPr="00AA6E44" w:rsidRDefault="00EC01D5" w:rsidP="00EC01D5">
      <w:pPr>
        <w:ind w:right="1134"/>
        <w:rPr>
          <w:b/>
        </w:rPr>
      </w:pPr>
      <w:r w:rsidRPr="00BB7983">
        <w:rPr>
          <w:b/>
        </w:rPr>
        <w:t>Цистерны</w:t>
      </w:r>
      <w:r w:rsidR="00993B62">
        <w:rPr>
          <w:b/>
        </w:rPr>
        <w:t xml:space="preserve"> </w:t>
      </w:r>
      <w:r w:rsidR="00993B62" w:rsidRPr="0069701D">
        <w:rPr>
          <w:b/>
        </w:rPr>
        <w:t xml:space="preserve"> </w:t>
      </w:r>
    </w:p>
    <w:p w:rsidR="00993B62" w:rsidRPr="000C6C0A" w:rsidRDefault="00993B62" w:rsidP="00770C19">
      <w:pPr>
        <w:pStyle w:val="H1GR"/>
        <w:rPr>
          <w:lang w:val="fr-CH"/>
        </w:rPr>
      </w:pPr>
      <w:r w:rsidRPr="007F1481">
        <w:tab/>
      </w:r>
      <w:r w:rsidRPr="007F1481">
        <w:tab/>
      </w:r>
      <w:r w:rsidRPr="007739DC">
        <w:t xml:space="preserve">Материал емкости для </w:t>
      </w:r>
      <w:r>
        <w:t>концентрированной</w:t>
      </w:r>
      <w:r w:rsidRPr="007739DC">
        <w:t xml:space="preserve"> азотной кислоты ООН 2031 (с содержанием азотной кислоты более 70%)</w:t>
      </w:r>
      <w:r>
        <w:t xml:space="preserve"> </w:t>
      </w:r>
      <w:r w:rsidRPr="007739DC">
        <w:t>(специальное положение ТС 6 раздела 6.8.4)</w:t>
      </w:r>
    </w:p>
    <w:p w:rsidR="00993B62" w:rsidRDefault="00993B62" w:rsidP="00993B62">
      <w:pPr>
        <w:suppressAutoHyphens w:val="0"/>
        <w:spacing w:after="120" w:line="240" w:lineRule="auto"/>
        <w:rPr>
          <w:rFonts w:eastAsia="Times New Roman" w:cs="Times New Roman"/>
          <w:sz w:val="24"/>
          <w:szCs w:val="24"/>
          <w:lang w:val="fr-CH" w:eastAsia="zh-CN"/>
        </w:rPr>
      </w:pPr>
      <w:r>
        <w:tab/>
      </w:r>
      <w:r>
        <w:tab/>
      </w:r>
      <w:r>
        <w:rPr>
          <w:rStyle w:val="H1GChar"/>
        </w:rPr>
        <w:t>Передано правительством Российской Федерации</w:t>
      </w:r>
      <w:r>
        <w:rPr>
          <w:rStyle w:val="FootnoteReference"/>
          <w:b/>
          <w:bCs/>
          <w:szCs w:val="20"/>
          <w:lang w:val="en-US"/>
        </w:rPr>
        <w:footnoteReference w:customMarkFollows="1" w:id="1"/>
        <w:t>*</w:t>
      </w:r>
      <w:r>
        <w:rPr>
          <w:b/>
          <w:bCs/>
          <w:szCs w:val="20"/>
          <w:vertAlign w:val="superscript"/>
          <w:lang w:val="fr-CH"/>
        </w:rPr>
        <w:t>,</w:t>
      </w:r>
      <w:r>
        <w:rPr>
          <w:rStyle w:val="FootnoteReference"/>
          <w:b/>
          <w:bCs/>
          <w:szCs w:val="20"/>
        </w:rPr>
        <w:footnoteReference w:customMarkFollows="1" w:id="2"/>
        <w:t>**</w:t>
      </w:r>
      <w:r>
        <w:rPr>
          <w:rFonts w:eastAsia="Times New Roman" w:cs="Times New Roman"/>
          <w:sz w:val="24"/>
          <w:szCs w:val="24"/>
          <w:lang w:val="en-GB" w:eastAsia="zh-CN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37"/>
      </w:tblGrid>
      <w:tr w:rsidR="00B035C7" w:rsidRPr="00B035C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035C7" w:rsidRPr="00CF5CEC" w:rsidRDefault="00B035C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F5CEC">
              <w:rPr>
                <w:rFonts w:cs="Times New Roman"/>
              </w:rPr>
              <w:tab/>
            </w:r>
            <w:r w:rsidRPr="00CF5CE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035C7" w:rsidRPr="00B035C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035C7" w:rsidRPr="009D098C" w:rsidRDefault="00B035C7" w:rsidP="009D75ED">
            <w:pPr>
              <w:pStyle w:val="SingleTxtG"/>
              <w:tabs>
                <w:tab w:val="left" w:pos="3677"/>
              </w:tabs>
              <w:ind w:left="3677" w:hanging="2543"/>
            </w:pPr>
            <w:r w:rsidRPr="00CF5CEC">
              <w:rPr>
                <w:b/>
                <w:bCs/>
              </w:rPr>
              <w:t>Существо предложения:</w:t>
            </w:r>
            <w:r w:rsidRPr="00CF5CEC">
              <w:t xml:space="preserve"> </w:t>
            </w:r>
            <w:r w:rsidRPr="00CF5CEC">
              <w:tab/>
              <w:t xml:space="preserve">Цель настоящего документа состоит в том, чтобы уточнить </w:t>
            </w:r>
            <w:r w:rsidR="007E1F01">
              <w:t xml:space="preserve">требования </w:t>
            </w:r>
            <w:r w:rsidR="009D75ED">
              <w:t>к материалу цистерны для перевозки концентрированной азотной кислоты ООН 2031 (с содержанием азотной кислоты более 70 %)</w:t>
            </w:r>
            <w:r w:rsidR="007E1F01">
              <w:t>.</w:t>
            </w:r>
          </w:p>
        </w:tc>
      </w:tr>
      <w:tr w:rsidR="00B035C7" w:rsidRPr="00B035C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035C7" w:rsidRPr="00757AFC" w:rsidRDefault="00B035C7" w:rsidP="00B20E52">
            <w:pPr>
              <w:pStyle w:val="SingleTxtG"/>
              <w:tabs>
                <w:tab w:val="left" w:pos="3677"/>
              </w:tabs>
              <w:ind w:left="3677" w:hanging="2543"/>
            </w:pPr>
            <w:r w:rsidRPr="00757AFC">
              <w:rPr>
                <w:b/>
                <w:bCs/>
              </w:rPr>
              <w:t>Предлагаемое решение:</w:t>
            </w:r>
            <w:r w:rsidRPr="00757AFC">
              <w:tab/>
            </w:r>
            <w:r w:rsidR="00D3520D" w:rsidRPr="00D3520D">
              <w:t xml:space="preserve">Дополнить </w:t>
            </w:r>
            <w:r w:rsidR="00B20E52">
              <w:t>специальное положение T</w:t>
            </w:r>
            <w:r w:rsidR="00B20E52">
              <w:rPr>
                <w:lang w:val="en-US"/>
              </w:rPr>
              <w:t>C </w:t>
            </w:r>
            <w:r w:rsidR="00B20E52" w:rsidRPr="00B20E52">
              <w:t xml:space="preserve">6 </w:t>
            </w:r>
            <w:r w:rsidR="00B20E52">
              <w:t>раздела 6.8.4 требованием о возможности применения алюминиевых сплавов для изготовления котлов вагонов-цистерн</w:t>
            </w:r>
            <w:r w:rsidR="00D3520D" w:rsidRPr="00D3520D">
              <w:t>.</w:t>
            </w:r>
          </w:p>
        </w:tc>
      </w:tr>
      <w:tr w:rsidR="00B035C7" w:rsidRPr="00B035C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035C7" w:rsidRPr="00B035C7" w:rsidRDefault="00B035C7" w:rsidP="00850215">
            <w:pPr>
              <w:rPr>
                <w:rFonts w:cs="Times New Roman"/>
              </w:rPr>
            </w:pPr>
          </w:p>
        </w:tc>
      </w:tr>
    </w:tbl>
    <w:p w:rsidR="00B035C7" w:rsidRPr="008B1DCB" w:rsidRDefault="00B035C7" w:rsidP="00B035C7">
      <w:pPr>
        <w:pStyle w:val="HChG"/>
        <w:jc w:val="both"/>
      </w:pPr>
      <w:r>
        <w:tab/>
      </w:r>
      <w:r>
        <w:tab/>
      </w:r>
      <w:r w:rsidRPr="007927B0">
        <w:rPr>
          <w:bCs/>
        </w:rPr>
        <w:t>Введение</w:t>
      </w:r>
    </w:p>
    <w:p w:rsidR="006E1709" w:rsidRDefault="00B035C7" w:rsidP="00B035C7">
      <w:pPr>
        <w:pStyle w:val="SingleTxtG"/>
      </w:pPr>
      <w:r>
        <w:t>1.</w:t>
      </w:r>
      <w:r>
        <w:tab/>
      </w:r>
      <w:r w:rsidR="006E1709" w:rsidRPr="006E1709">
        <w:t xml:space="preserve">Для транспортировки концентрированной азотной кислоты </w:t>
      </w:r>
      <w:r w:rsidR="006E1709">
        <w:t xml:space="preserve">ООН 2031 </w:t>
      </w:r>
      <w:r w:rsidR="006E1709" w:rsidRPr="006E1709">
        <w:t xml:space="preserve">(с содержанием азотной кислоты более 70%) установлены различные требования к материалу котла вагонов-цистерн, таре и переносным цистернам. Производители вагонов-цистерн для изготовления котла в соответствии с существующими требованиями должны использовать алюминия чистотой не менее 99,5 %. Алюминий такой чистоты обладает низкими механическими характеристиками. Это приводит к значительному росту толщины стенки котла вагона-цистерны и соответственно к </w:t>
      </w:r>
      <w:r w:rsidR="006E1709" w:rsidRPr="006E1709">
        <w:lastRenderedPageBreak/>
        <w:t>росту массы тары вагона-цистерны. В такой ситуации производители и пользователи вагонов-цистерн оказываются в проигрышной ситуации.</w:t>
      </w:r>
    </w:p>
    <w:p w:rsidR="009D75ED" w:rsidRPr="009D75ED" w:rsidRDefault="006E1709" w:rsidP="00B035C7">
      <w:pPr>
        <w:pStyle w:val="SingleTxtG"/>
      </w:pPr>
      <w:r>
        <w:t>2.</w:t>
      </w:r>
      <w:r>
        <w:tab/>
      </w:r>
      <w:r w:rsidR="009D75ED">
        <w:t xml:space="preserve">Для перевозки концентрированной азотной кислоты ООН 2031 (с содержанием азотной кислоты более 70 %) в вагонах-цистернах действует специальное положение </w:t>
      </w:r>
      <w:r w:rsidR="009D75ED">
        <w:rPr>
          <w:lang w:val="en-US"/>
        </w:rPr>
        <w:t>TC </w:t>
      </w:r>
      <w:r w:rsidR="009D75ED">
        <w:t xml:space="preserve">6 раздела 6.8.4. Для перевозки тары необходимо руководствоваться требованиями Инструкции по упаковке </w:t>
      </w:r>
      <w:r w:rsidR="009D75ED">
        <w:rPr>
          <w:lang w:val="en-US"/>
        </w:rPr>
        <w:t>P </w:t>
      </w:r>
      <w:r w:rsidR="009D75ED">
        <w:t>001.</w:t>
      </w:r>
    </w:p>
    <w:p w:rsidR="00B035C7" w:rsidRDefault="006E1709" w:rsidP="00B035C7">
      <w:pPr>
        <w:pStyle w:val="SingleTxtG"/>
      </w:pPr>
      <w:r>
        <w:t>3</w:t>
      </w:r>
      <w:r w:rsidR="009D75ED">
        <w:t>.</w:t>
      </w:r>
      <w:r w:rsidR="009D75ED">
        <w:tab/>
      </w:r>
      <w:r w:rsidR="00757AFC" w:rsidRPr="00757AFC">
        <w:t xml:space="preserve">Существующая редакция </w:t>
      </w:r>
      <w:r w:rsidR="00B20E52">
        <w:t xml:space="preserve">специального положения </w:t>
      </w:r>
      <w:r w:rsidR="00B20E52">
        <w:rPr>
          <w:lang w:val="en-US"/>
        </w:rPr>
        <w:t>TC</w:t>
      </w:r>
      <w:r w:rsidR="00B20E52">
        <w:t> 6 раздела 6.8.4 содержит требование о том, что при использовании алюминия для изготовления цистерн чистота алюминия должна составлять не менее 99,5 %</w:t>
      </w:r>
      <w:r w:rsidR="00757AFC">
        <w:t xml:space="preserve"> (данное упоминание выделено </w:t>
      </w:r>
      <w:r w:rsidR="00757AFC" w:rsidRPr="00757AFC">
        <w:rPr>
          <w:i/>
        </w:rPr>
        <w:t>курсивом</w:t>
      </w:r>
      <w:r w:rsidR="00757AFC">
        <w:t>):</w:t>
      </w:r>
    </w:p>
    <w:p w:rsidR="00757AFC" w:rsidRPr="008B1DCB" w:rsidRDefault="00B20E52" w:rsidP="009D098C">
      <w:pPr>
        <w:pStyle w:val="SingleTxtG"/>
        <w:ind w:left="2268" w:hanging="1134"/>
      </w:pPr>
      <w:r>
        <w:rPr>
          <w:lang w:val="en-US"/>
        </w:rPr>
        <w:t>TC</w:t>
      </w:r>
      <w:r>
        <w:t> 6</w:t>
      </w:r>
      <w:r w:rsidR="00757AFC" w:rsidRPr="00757AFC">
        <w:tab/>
      </w:r>
      <w:r w:rsidRPr="00B20E52">
        <w:t xml:space="preserve">При необходимости использования алюминия для изготовления цистерн такие цистерны </w:t>
      </w:r>
      <w:r w:rsidRPr="009D75ED">
        <w:rPr>
          <w:i/>
        </w:rPr>
        <w:t>должны изготавливаться из алюминия чистотой не менее 99,5</w:t>
      </w:r>
      <w:r w:rsidR="009D75ED">
        <w:rPr>
          <w:i/>
        </w:rPr>
        <w:t> </w:t>
      </w:r>
      <w:r w:rsidRPr="009D75ED">
        <w:rPr>
          <w:i/>
        </w:rPr>
        <w:t>%</w:t>
      </w:r>
      <w:r w:rsidRPr="00B20E52">
        <w:t>; не требуется, чт</w:t>
      </w:r>
      <w:r w:rsidR="009D75ED">
        <w:t>обы толщина стенок превышала 15 </w:t>
      </w:r>
      <w:r w:rsidRPr="00B20E52">
        <w:t>мм, даже если расчеты в соответствии с пунктом 6.8.2.1.17 дают более высокое значение.</w:t>
      </w:r>
    </w:p>
    <w:p w:rsidR="00B035C7" w:rsidRDefault="006E1709" w:rsidP="00B035C7">
      <w:pPr>
        <w:pStyle w:val="SingleTxtG"/>
      </w:pPr>
      <w:r>
        <w:t>4</w:t>
      </w:r>
      <w:r w:rsidR="00B035C7">
        <w:t>.</w:t>
      </w:r>
      <w:r w:rsidR="00B035C7">
        <w:tab/>
      </w:r>
      <w:r w:rsidR="009D098C" w:rsidRPr="00757AFC">
        <w:t xml:space="preserve">Существующая </w:t>
      </w:r>
      <w:r w:rsidR="009D75ED">
        <w:t>требования к таре при перевозке концентрированной азотной кислоты ООН 2031 (с содержанием азотной кислоты более 70 %) допускают возможность ее изготовления из алюминиевых сплавов</w:t>
      </w:r>
      <w:r w:rsidR="009D098C">
        <w:t xml:space="preserve"> (данн</w:t>
      </w:r>
      <w:r w:rsidR="009D75ED">
        <w:t>ы</w:t>
      </w:r>
      <w:r w:rsidR="009D098C">
        <w:t>е упоминани</w:t>
      </w:r>
      <w:r w:rsidR="00A152DB">
        <w:t>я</w:t>
      </w:r>
      <w:r w:rsidR="009D098C">
        <w:t xml:space="preserve"> выделен</w:t>
      </w:r>
      <w:r w:rsidR="009D75ED">
        <w:t>ы</w:t>
      </w:r>
      <w:r w:rsidR="009D098C">
        <w:t xml:space="preserve"> </w:t>
      </w:r>
      <w:r w:rsidR="009D098C" w:rsidRPr="00757AFC">
        <w:rPr>
          <w:i/>
        </w:rPr>
        <w:t>курсивом</w:t>
      </w:r>
      <w:r w:rsidR="009D098C">
        <w:t>):</w:t>
      </w:r>
    </w:p>
    <w:p w:rsidR="009D75ED" w:rsidRDefault="009D75ED" w:rsidP="009D75ED">
      <w:pPr>
        <w:pStyle w:val="SingleTxtG"/>
        <w:ind w:left="2268" w:hanging="1134"/>
      </w:pPr>
      <w:r>
        <w:t>Р 001</w:t>
      </w:r>
      <w:r>
        <w:tab/>
        <w:t>Инструкция по упаковке допускает использование алюминиевых барабанов и алюминиевых канистр.</w:t>
      </w:r>
    </w:p>
    <w:p w:rsidR="009D75ED" w:rsidRDefault="009D75ED" w:rsidP="009D75ED">
      <w:pPr>
        <w:pStyle w:val="SingleTxtG"/>
        <w:ind w:left="2268" w:hanging="1134"/>
      </w:pPr>
      <w:r>
        <w:t>6.1.4.2</w:t>
      </w:r>
      <w:r>
        <w:tab/>
        <w:t>Барабаны алюминиевые</w:t>
      </w:r>
    </w:p>
    <w:p w:rsidR="009D75ED" w:rsidRDefault="009D75ED" w:rsidP="009D75ED">
      <w:pPr>
        <w:pStyle w:val="SingleTxtG"/>
        <w:ind w:left="2268" w:hanging="1134"/>
      </w:pPr>
      <w:r>
        <w:t>6.1.4.2.1</w:t>
      </w:r>
      <w:r>
        <w:tab/>
        <w:t xml:space="preserve">Корпус и днища </w:t>
      </w:r>
      <w:r w:rsidRPr="00A152DB">
        <w:rPr>
          <w:i/>
        </w:rPr>
        <w:t xml:space="preserve">должны быть изготовлены </w:t>
      </w:r>
      <w:r>
        <w:t xml:space="preserve">из алюминия по меньшей мере 99-процентной чистоты или </w:t>
      </w:r>
      <w:r w:rsidRPr="00A152DB">
        <w:rPr>
          <w:i/>
        </w:rPr>
        <w:t>из сплава на основе алюминия</w:t>
      </w:r>
      <w:r>
        <w:t>. …</w:t>
      </w:r>
    </w:p>
    <w:p w:rsidR="009D75ED" w:rsidRDefault="009D75ED" w:rsidP="009D75ED">
      <w:pPr>
        <w:pStyle w:val="SingleTxtG"/>
        <w:ind w:left="2268" w:hanging="1134"/>
      </w:pPr>
      <w:r>
        <w:t>6.1.4.4</w:t>
      </w:r>
      <w:r>
        <w:tab/>
        <w:t>Канистры стальные или алюминиевые</w:t>
      </w:r>
    </w:p>
    <w:p w:rsidR="009D75ED" w:rsidRDefault="009D75ED" w:rsidP="009D75ED">
      <w:pPr>
        <w:pStyle w:val="SingleTxtG"/>
        <w:ind w:left="2268" w:hanging="1134"/>
      </w:pPr>
      <w:r>
        <w:t>6.1.4.4.1</w:t>
      </w:r>
      <w:r>
        <w:tab/>
        <w:t xml:space="preserve">Корпус и днища </w:t>
      </w:r>
      <w:r w:rsidRPr="00A152DB">
        <w:rPr>
          <w:i/>
        </w:rPr>
        <w:t xml:space="preserve">должны быть изготовлены </w:t>
      </w:r>
      <w:r>
        <w:t xml:space="preserve">из стального листа, из алюминия по меньшей мере 99-процентной чистоты или </w:t>
      </w:r>
      <w:r w:rsidRPr="00A152DB">
        <w:rPr>
          <w:i/>
        </w:rPr>
        <w:t>из сплава на основе алюминия</w:t>
      </w:r>
      <w:r>
        <w:t>. …</w:t>
      </w:r>
    </w:p>
    <w:p w:rsidR="009D098C" w:rsidRDefault="006E1709" w:rsidP="00B035C7">
      <w:pPr>
        <w:pStyle w:val="SingleTxtG"/>
      </w:pPr>
      <w:r>
        <w:t>5</w:t>
      </w:r>
      <w:r w:rsidR="009D098C">
        <w:t>.</w:t>
      </w:r>
      <w:r w:rsidR="009D098C">
        <w:tab/>
      </w:r>
      <w:r w:rsidR="009D098C" w:rsidRPr="009D098C">
        <w:t xml:space="preserve">Существующая редакция </w:t>
      </w:r>
      <w:r w:rsidR="00A152DB">
        <w:t>МПОГ не устанавливает требований к материалу котла переносных цистерн.</w:t>
      </w:r>
    </w:p>
    <w:p w:rsidR="00B035C7" w:rsidRPr="008B1DCB" w:rsidRDefault="00B035C7" w:rsidP="00B035C7">
      <w:pPr>
        <w:pStyle w:val="HChG"/>
      </w:pPr>
      <w:r>
        <w:tab/>
      </w:r>
      <w:r>
        <w:tab/>
      </w:r>
      <w:r w:rsidRPr="00757AFC">
        <w:rPr>
          <w:bCs/>
        </w:rPr>
        <w:t>Предложения</w:t>
      </w:r>
    </w:p>
    <w:p w:rsidR="006E1709" w:rsidRPr="008B1DCB" w:rsidRDefault="006E1709" w:rsidP="006E1709">
      <w:pPr>
        <w:pStyle w:val="SingleTxtG"/>
        <w:spacing w:before="120"/>
        <w:rPr>
          <w:rStyle w:val="H1GChar"/>
          <w:b w:val="0"/>
          <w:szCs w:val="24"/>
        </w:rPr>
      </w:pPr>
      <w:r w:rsidRPr="008B1DCB">
        <w:rPr>
          <w:b/>
          <w:bCs/>
          <w:sz w:val="24"/>
          <w:szCs w:val="24"/>
        </w:rPr>
        <w:t>Предложение 1</w:t>
      </w:r>
      <w:r>
        <w:t xml:space="preserve"> (новый текст напечатан </w:t>
      </w:r>
      <w:r>
        <w:rPr>
          <w:i/>
          <w:iCs/>
          <w:u w:val="single"/>
        </w:rPr>
        <w:t>курсивом/подчеркнут</w:t>
      </w:r>
      <w:r>
        <w:t>):</w:t>
      </w:r>
    </w:p>
    <w:p w:rsidR="006E1709" w:rsidRPr="008B1DCB" w:rsidRDefault="006E1709" w:rsidP="006E1709">
      <w:pPr>
        <w:pStyle w:val="H1G"/>
        <w:spacing w:before="120" w:after="120"/>
        <w:ind w:left="1843" w:hanging="709"/>
        <w:rPr>
          <w:b w:val="0"/>
        </w:rPr>
      </w:pPr>
      <w:r>
        <w:rPr>
          <w:b w:val="0"/>
          <w:bCs/>
          <w:sz w:val="20"/>
        </w:rPr>
        <w:t>T</w:t>
      </w:r>
      <w:r>
        <w:rPr>
          <w:b w:val="0"/>
          <w:bCs/>
          <w:sz w:val="20"/>
          <w:lang w:val="en-US"/>
        </w:rPr>
        <w:t>C</w:t>
      </w:r>
      <w:r>
        <w:rPr>
          <w:b w:val="0"/>
          <w:bCs/>
          <w:sz w:val="20"/>
        </w:rPr>
        <w:t> 6</w:t>
      </w:r>
      <w:r w:rsidRPr="00757AFC">
        <w:rPr>
          <w:b w:val="0"/>
          <w:bCs/>
          <w:sz w:val="20"/>
        </w:rPr>
        <w:tab/>
      </w:r>
      <w:r w:rsidRPr="006E1709">
        <w:rPr>
          <w:b w:val="0"/>
          <w:bCs/>
          <w:sz w:val="20"/>
        </w:rPr>
        <w:t xml:space="preserve">При необходимости использования алюминия для изготовления цистерн такие цистерны </w:t>
      </w:r>
      <w:r w:rsidRPr="006E1709">
        <w:rPr>
          <w:b w:val="0"/>
          <w:bCs/>
          <w:i/>
          <w:sz w:val="20"/>
          <w:u w:val="single"/>
        </w:rPr>
        <w:t>должны изготавливаться из алюминия по меньшей мере 99-процентной чистоты или из сплава на основе алюминия</w:t>
      </w:r>
      <w:r w:rsidRPr="006E1709">
        <w:rPr>
          <w:b w:val="0"/>
          <w:bCs/>
          <w:sz w:val="20"/>
        </w:rPr>
        <w:t>; не требуется, чтобы толщина стенок превышала 15 мм, даже если расчеты в соответствии с пунктом 6.8.2.1</w:t>
      </w:r>
      <w:r>
        <w:rPr>
          <w:b w:val="0"/>
          <w:bCs/>
          <w:sz w:val="20"/>
        </w:rPr>
        <w:t>.17 дают более высокое значение</w:t>
      </w:r>
      <w:r w:rsidRPr="00757AFC">
        <w:rPr>
          <w:b w:val="0"/>
          <w:bCs/>
          <w:sz w:val="20"/>
        </w:rPr>
        <w:t>.</w:t>
      </w:r>
    </w:p>
    <w:p w:rsidR="00B035C7" w:rsidRPr="00F74C0D" w:rsidRDefault="00B035C7" w:rsidP="00B035C7">
      <w:pPr>
        <w:pStyle w:val="HChG"/>
      </w:pPr>
      <w:r>
        <w:tab/>
      </w:r>
      <w:r>
        <w:tab/>
      </w:r>
      <w:r w:rsidRPr="007927B0">
        <w:t>Обоснование</w:t>
      </w:r>
    </w:p>
    <w:p w:rsidR="006E1709" w:rsidRDefault="006E1709" w:rsidP="006E1709">
      <w:pPr>
        <w:pStyle w:val="SingleTxtG"/>
      </w:pPr>
      <w:r>
        <w:t>6</w:t>
      </w:r>
      <w:r w:rsidR="00A66AAD">
        <w:t>.</w:t>
      </w:r>
      <w:r w:rsidR="00A66AAD">
        <w:tab/>
      </w:r>
      <w:r>
        <w:t>Проведен анализ существующих требований и рекомендаций по применению материалов для азотной кислоты различной концентрации:</w:t>
      </w:r>
    </w:p>
    <w:p w:rsidR="006E1709" w:rsidRPr="006E1709" w:rsidRDefault="006E1709" w:rsidP="00074237">
      <w:pPr>
        <w:pStyle w:val="SingleTxtG"/>
        <w:ind w:left="1701"/>
        <w:rPr>
          <w:lang w:val="en-US"/>
        </w:rPr>
      </w:pPr>
      <w:r>
        <w:rPr>
          <w:lang w:val="en-US"/>
        </w:rPr>
        <w:noBreakHyphen/>
      </w:r>
      <w:r w:rsidR="00074237">
        <w:rPr>
          <w:lang w:val="en-US"/>
        </w:rPr>
        <w:tab/>
      </w:r>
      <w:r w:rsidRPr="006E1709">
        <w:rPr>
          <w:lang w:val="en-US"/>
        </w:rPr>
        <w:t>Bruce D. Craig, David B. Anderson Handbook of Corrosion Data. – ASM International, Materials Park, OH 44073, 1995 - p.990;</w:t>
      </w:r>
    </w:p>
    <w:p w:rsidR="006E1709" w:rsidRPr="006E1709" w:rsidRDefault="006E1709" w:rsidP="00074237">
      <w:pPr>
        <w:pStyle w:val="SingleTxtG"/>
        <w:ind w:left="1701"/>
        <w:rPr>
          <w:lang w:val="en-US"/>
        </w:rPr>
      </w:pPr>
      <w:r>
        <w:rPr>
          <w:lang w:val="en-US"/>
        </w:rPr>
        <w:noBreakHyphen/>
      </w:r>
      <w:r w:rsidR="00074237">
        <w:rPr>
          <w:lang w:val="en-US"/>
        </w:rPr>
        <w:tab/>
      </w:r>
      <w:r w:rsidRPr="006E1709">
        <w:rPr>
          <w:lang w:val="en-US"/>
        </w:rPr>
        <w:t xml:space="preserve">Christian </w:t>
      </w:r>
      <w:proofErr w:type="spellStart"/>
      <w:r w:rsidRPr="006E1709">
        <w:rPr>
          <w:lang w:val="en-US"/>
        </w:rPr>
        <w:t>Vargel</w:t>
      </w:r>
      <w:proofErr w:type="spellEnd"/>
      <w:r w:rsidRPr="006E1709">
        <w:rPr>
          <w:lang w:val="en-US"/>
        </w:rPr>
        <w:t xml:space="preserve">. Corrosion of </w:t>
      </w:r>
      <w:proofErr w:type="spellStart"/>
      <w:r w:rsidRPr="006E1709">
        <w:rPr>
          <w:lang w:val="en-US"/>
        </w:rPr>
        <w:t>Aluminium</w:t>
      </w:r>
      <w:proofErr w:type="spellEnd"/>
      <w:r w:rsidRPr="006E1709">
        <w:rPr>
          <w:lang w:val="en-US"/>
        </w:rPr>
        <w:t>. 1st Edition. 2004, 700 p.;</w:t>
      </w:r>
    </w:p>
    <w:p w:rsidR="006E1709" w:rsidRPr="006E1709" w:rsidRDefault="006E1709" w:rsidP="00074237">
      <w:pPr>
        <w:pStyle w:val="SingleTxtG"/>
        <w:ind w:left="1701"/>
        <w:rPr>
          <w:lang w:val="en-US"/>
        </w:rPr>
      </w:pPr>
      <w:r>
        <w:rPr>
          <w:lang w:val="en-US"/>
        </w:rPr>
        <w:noBreakHyphen/>
      </w:r>
      <w:r w:rsidR="00074237">
        <w:rPr>
          <w:lang w:val="en-US"/>
        </w:rPr>
        <w:tab/>
      </w:r>
      <w:r w:rsidRPr="006E1709">
        <w:rPr>
          <w:lang w:val="en-US"/>
        </w:rPr>
        <w:t>Cramer, Stephen D., Covino, Bernard S., Jr. (Eds.). ASM Handbook, Volume 13C - Corrosion: Environments and Industries. 2006, 1342 p.;</w:t>
      </w:r>
    </w:p>
    <w:p w:rsidR="006E1709" w:rsidRPr="006E1709" w:rsidRDefault="006E1709" w:rsidP="00074237">
      <w:pPr>
        <w:pStyle w:val="SingleTxtG"/>
        <w:ind w:left="1701"/>
        <w:rPr>
          <w:lang w:val="en-US"/>
        </w:rPr>
      </w:pPr>
      <w:r>
        <w:rPr>
          <w:lang w:val="en-US"/>
        </w:rPr>
        <w:lastRenderedPageBreak/>
        <w:noBreakHyphen/>
      </w:r>
      <w:r w:rsidR="00074237">
        <w:rPr>
          <w:lang w:val="en-US"/>
        </w:rPr>
        <w:tab/>
      </w:r>
      <w:r w:rsidRPr="006E1709">
        <w:rPr>
          <w:lang w:val="en-US"/>
        </w:rPr>
        <w:t>J. R. Davis. Corrosion of Aluminum and Aluminum Alloys. ASM International. 1999, 313 p.;</w:t>
      </w:r>
    </w:p>
    <w:p w:rsidR="006E1709" w:rsidRDefault="006E1709" w:rsidP="00074237">
      <w:pPr>
        <w:pStyle w:val="SingleTxtG"/>
        <w:ind w:left="1701"/>
      </w:pPr>
      <w:r w:rsidRPr="004A28B5">
        <w:rPr>
          <w:lang w:val="en-US"/>
        </w:rPr>
        <w:noBreakHyphen/>
      </w:r>
      <w:r w:rsidR="00074237">
        <w:rPr>
          <w:lang w:val="en-US"/>
        </w:rPr>
        <w:tab/>
      </w:r>
      <w:r>
        <w:t>Альтман</w:t>
      </w:r>
      <w:r w:rsidRPr="004A28B5">
        <w:rPr>
          <w:lang w:val="en-US"/>
        </w:rPr>
        <w:t xml:space="preserve"> </w:t>
      </w:r>
      <w:r>
        <w:t>М</w:t>
      </w:r>
      <w:r w:rsidRPr="004A28B5">
        <w:rPr>
          <w:lang w:val="en-US"/>
        </w:rPr>
        <w:t xml:space="preserve">. </w:t>
      </w:r>
      <w:r>
        <w:t>Б</w:t>
      </w:r>
      <w:r w:rsidRPr="004A28B5">
        <w:rPr>
          <w:lang w:val="en-US"/>
        </w:rPr>
        <w:t xml:space="preserve">., </w:t>
      </w:r>
      <w:r>
        <w:t>Арбузов</w:t>
      </w:r>
      <w:r w:rsidRPr="004A28B5">
        <w:rPr>
          <w:lang w:val="en-US"/>
        </w:rPr>
        <w:t xml:space="preserve"> </w:t>
      </w:r>
      <w:r>
        <w:t>Ю</w:t>
      </w:r>
      <w:r w:rsidRPr="004A28B5">
        <w:rPr>
          <w:lang w:val="en-US"/>
        </w:rPr>
        <w:t xml:space="preserve">. </w:t>
      </w:r>
      <w:r>
        <w:t>П</w:t>
      </w:r>
      <w:r w:rsidRPr="004A28B5">
        <w:rPr>
          <w:lang w:val="en-US"/>
        </w:rPr>
        <w:t xml:space="preserve">., </w:t>
      </w:r>
      <w:r>
        <w:t>Бабичев</w:t>
      </w:r>
      <w:r w:rsidRPr="004A28B5">
        <w:rPr>
          <w:lang w:val="en-US"/>
        </w:rPr>
        <w:t xml:space="preserve"> </w:t>
      </w:r>
      <w:r>
        <w:t>Б</w:t>
      </w:r>
      <w:r w:rsidRPr="004A28B5">
        <w:rPr>
          <w:lang w:val="en-US"/>
        </w:rPr>
        <w:t xml:space="preserve">. </w:t>
      </w:r>
      <w:r>
        <w:t>И</w:t>
      </w:r>
      <w:r w:rsidRPr="004A28B5">
        <w:rPr>
          <w:lang w:val="en-US"/>
        </w:rPr>
        <w:t xml:space="preserve">. </w:t>
      </w:r>
      <w:r>
        <w:t>и</w:t>
      </w:r>
      <w:r w:rsidRPr="004A28B5">
        <w:rPr>
          <w:lang w:val="en-US"/>
        </w:rPr>
        <w:t xml:space="preserve"> </w:t>
      </w:r>
      <w:proofErr w:type="spellStart"/>
      <w:r>
        <w:t>др</w:t>
      </w:r>
      <w:proofErr w:type="spellEnd"/>
      <w:r w:rsidRPr="004A28B5">
        <w:rPr>
          <w:lang w:val="en-US"/>
        </w:rPr>
        <w:t xml:space="preserve">. </w:t>
      </w:r>
      <w:r>
        <w:t>Алюминиевые сплавы. Применение алюминиевых сплавов. Справочное руководство. – М.: «Металлургия», 1973. – 408 с.</w:t>
      </w:r>
    </w:p>
    <w:p w:rsidR="006E1709" w:rsidRDefault="006E1709" w:rsidP="00074237">
      <w:pPr>
        <w:pStyle w:val="SingleTxtG"/>
        <w:ind w:left="1701"/>
      </w:pPr>
      <w:r>
        <w:noBreakHyphen/>
      </w:r>
      <w:r w:rsidR="00074237">
        <w:tab/>
      </w:r>
      <w:proofErr w:type="spellStart"/>
      <w:r>
        <w:t>Баранник</w:t>
      </w:r>
      <w:proofErr w:type="spellEnd"/>
      <w:r>
        <w:t xml:space="preserve"> В.П. Краткий справочник по коррозии (химическая стойкость материалов). - М.: </w:t>
      </w:r>
      <w:proofErr w:type="spellStart"/>
      <w:r>
        <w:t>Госхимиздат</w:t>
      </w:r>
      <w:proofErr w:type="spellEnd"/>
      <w:r>
        <w:t>, 1953. – 456 с.</w:t>
      </w:r>
    </w:p>
    <w:p w:rsidR="006E1709" w:rsidRDefault="006E1709" w:rsidP="00074237">
      <w:pPr>
        <w:pStyle w:val="SingleTxtG"/>
        <w:ind w:left="1701"/>
      </w:pPr>
      <w:r>
        <w:noBreakHyphen/>
      </w:r>
      <w:r w:rsidR="00074237">
        <w:tab/>
      </w:r>
      <w:r>
        <w:t>Белецкий В.М., Кривов Г.А. Алюминиевые сплавы (состав, свойства, технология, применение). Справочник. 2005, 365 с;</w:t>
      </w:r>
    </w:p>
    <w:p w:rsidR="006E1709" w:rsidRDefault="006E1709" w:rsidP="00074237">
      <w:pPr>
        <w:pStyle w:val="SingleTxtG"/>
        <w:ind w:left="1701"/>
      </w:pPr>
      <w:r>
        <w:noBreakHyphen/>
      </w:r>
      <w:r w:rsidR="00074237">
        <w:tab/>
      </w:r>
      <w:r>
        <w:t>Воробьева Г.Я. Коррозионная стойкость материалов в агрессивных средах химических производств. – М.: «Химия», 1975. – 816 с.</w:t>
      </w:r>
    </w:p>
    <w:p w:rsidR="006E1709" w:rsidRDefault="006E1709" w:rsidP="00074237">
      <w:pPr>
        <w:pStyle w:val="SingleTxtG"/>
        <w:ind w:left="1701"/>
      </w:pPr>
      <w:r>
        <w:noBreakHyphen/>
      </w:r>
      <w:r w:rsidR="00074237">
        <w:tab/>
      </w:r>
      <w:r>
        <w:t>Дятлова В.Н., Золотницкий И.М., Доллежаль Н.А. Коррозионная и химическая стойкость материалов. Справочник. – М.: МАШГИЗ, 1954 – 570 с.</w:t>
      </w:r>
    </w:p>
    <w:p w:rsidR="006E1709" w:rsidRDefault="006E1709" w:rsidP="00074237">
      <w:pPr>
        <w:pStyle w:val="SingleTxtG"/>
        <w:ind w:left="1701"/>
      </w:pPr>
      <w:r>
        <w:noBreakHyphen/>
      </w:r>
      <w:r w:rsidR="00074237">
        <w:tab/>
      </w:r>
      <w:r>
        <w:t>Зубченко А.С., Каширский Ю.В. Марочник сталей и сплавов. 2014, 1216 с.;</w:t>
      </w:r>
    </w:p>
    <w:p w:rsidR="006E1709" w:rsidRDefault="006E1709" w:rsidP="00074237">
      <w:pPr>
        <w:pStyle w:val="SingleTxtG"/>
        <w:ind w:left="1701"/>
      </w:pPr>
      <w:r>
        <w:noBreakHyphen/>
      </w:r>
      <w:r w:rsidR="00074237">
        <w:tab/>
      </w:r>
      <w:proofErr w:type="spellStart"/>
      <w:r>
        <w:t>Рачев</w:t>
      </w:r>
      <w:proofErr w:type="spellEnd"/>
      <w:r>
        <w:t xml:space="preserve"> Х., Стефанова С. Справочник по коррозии: Пер, с </w:t>
      </w:r>
      <w:proofErr w:type="spellStart"/>
      <w:proofErr w:type="gramStart"/>
      <w:r>
        <w:t>болг</w:t>
      </w:r>
      <w:proofErr w:type="spellEnd"/>
      <w:r>
        <w:t>./</w:t>
      </w:r>
      <w:proofErr w:type="gramEnd"/>
      <w:r>
        <w:t xml:space="preserve">Перевод С.И. </w:t>
      </w:r>
      <w:proofErr w:type="spellStart"/>
      <w:r>
        <w:t>Нейковского</w:t>
      </w:r>
      <w:proofErr w:type="spellEnd"/>
      <w:r>
        <w:t>; под редакцией и с предисл. Н.И. Исаева. – М.: Мир, 1982. – 520 с.;</w:t>
      </w:r>
    </w:p>
    <w:p w:rsidR="00A66AAD" w:rsidRDefault="006E1709" w:rsidP="00074237">
      <w:pPr>
        <w:pStyle w:val="SingleTxtG"/>
        <w:ind w:left="1701"/>
      </w:pPr>
      <w:r>
        <w:noBreakHyphen/>
      </w:r>
      <w:r w:rsidR="00074237">
        <w:tab/>
      </w:r>
      <w:proofErr w:type="spellStart"/>
      <w:r>
        <w:t>Туфанов</w:t>
      </w:r>
      <w:proofErr w:type="spellEnd"/>
      <w:r>
        <w:t xml:space="preserve"> Д.Г. Коррозионная стойкость нержавеющих сталей, сплавов и чистых металлов. Справочник. – М.: Металлургия, 1990 – 320 с.</w:t>
      </w:r>
    </w:p>
    <w:p w:rsidR="006E1709" w:rsidRDefault="006E1709" w:rsidP="006E1709">
      <w:pPr>
        <w:pStyle w:val="SingleTxtG"/>
        <w:spacing w:before="120"/>
      </w:pPr>
      <w:r>
        <w:t>7</w:t>
      </w:r>
      <w:r w:rsidR="00B035C7">
        <w:t>.</w:t>
      </w:r>
      <w:r w:rsidR="00B035C7">
        <w:tab/>
      </w:r>
      <w:r>
        <w:t>По результатам выполненного анализа отечественной и зарубежной литературы можно отметить следующие моменты:</w:t>
      </w:r>
    </w:p>
    <w:p w:rsidR="006E1709" w:rsidRDefault="00074237" w:rsidP="006E1709">
      <w:pPr>
        <w:pStyle w:val="SingleTxtG"/>
        <w:spacing w:before="120"/>
      </w:pPr>
      <w:r>
        <w:tab/>
      </w:r>
      <w:r w:rsidR="006E1709">
        <w:noBreakHyphen/>
      </w:r>
      <w:r>
        <w:tab/>
      </w:r>
      <w:r w:rsidR="006E1709">
        <w:t>Для азотной кислоты высокой концентрации могут быть рекомендованы алюминий или алюминиевые сплавы, в том числе систем легирования Al-</w:t>
      </w:r>
      <w:proofErr w:type="spellStart"/>
      <w:r w:rsidR="006E1709">
        <w:t>Mn</w:t>
      </w:r>
      <w:proofErr w:type="spellEnd"/>
      <w:r w:rsidR="006E1709">
        <w:t xml:space="preserve"> и Al-</w:t>
      </w:r>
      <w:proofErr w:type="spellStart"/>
      <w:r w:rsidR="006E1709">
        <w:t>Mg</w:t>
      </w:r>
      <w:proofErr w:type="spellEnd"/>
      <w:r w:rsidR="006E1709">
        <w:t>;</w:t>
      </w:r>
    </w:p>
    <w:p w:rsidR="006E1709" w:rsidRDefault="00074237" w:rsidP="006E1709">
      <w:pPr>
        <w:pStyle w:val="SingleTxtG"/>
        <w:spacing w:before="120"/>
      </w:pPr>
      <w:r>
        <w:tab/>
      </w:r>
      <w:r w:rsidR="006E1709">
        <w:noBreakHyphen/>
      </w:r>
      <w:r>
        <w:tab/>
      </w:r>
      <w:r w:rsidR="006E1709">
        <w:t>«Удовлетворительная» скорость коррозии (сопоставимая с алюминием чистотой не менее 99,5 %) может быть достигнута при содержании алюминия в сплаве не менее 91 %.</w:t>
      </w:r>
    </w:p>
    <w:p w:rsidR="00A66AAD" w:rsidRDefault="006E1709" w:rsidP="006E1709">
      <w:pPr>
        <w:pStyle w:val="SingleTxtG"/>
        <w:spacing w:before="120"/>
      </w:pPr>
      <w:r>
        <w:t>8</w:t>
      </w:r>
      <w:r w:rsidR="004C0F8D">
        <w:t>.</w:t>
      </w:r>
      <w:r w:rsidR="004C0F8D">
        <w:tab/>
      </w:r>
      <w:r w:rsidRPr="006E1709">
        <w:t xml:space="preserve">Были проведены лабораторные исследования по определению скорости общей коррозии различных алюминиевых сплавов в среде азотной кислоты концентрации 99%. В качестве </w:t>
      </w:r>
      <w:r w:rsidR="008E3D24">
        <w:t>«</w:t>
      </w:r>
      <w:r w:rsidRPr="006E1709">
        <w:t>эталона</w:t>
      </w:r>
      <w:r w:rsidR="008E3D24">
        <w:t>»</w:t>
      </w:r>
      <w:r w:rsidRPr="006E1709">
        <w:t xml:space="preserve"> был использован алюминий марки АД0 (содержание Al</w:t>
      </w:r>
      <w:r>
        <w:t> ≥ </w:t>
      </w:r>
      <w:r w:rsidRPr="006E1709">
        <w:t>99,5</w:t>
      </w:r>
      <w:r>
        <w:t> </w:t>
      </w:r>
      <w:r w:rsidRPr="006E1709">
        <w:t>%). Полученные результаты испытаний алюминиевых сплавов систем легирования Al-</w:t>
      </w:r>
      <w:proofErr w:type="spellStart"/>
      <w:r w:rsidRPr="006E1709">
        <w:t>Mn</w:t>
      </w:r>
      <w:proofErr w:type="spellEnd"/>
      <w:r w:rsidRPr="006E1709">
        <w:t xml:space="preserve"> и Al-</w:t>
      </w:r>
      <w:proofErr w:type="spellStart"/>
      <w:r w:rsidRPr="006E1709">
        <w:t>Mg</w:t>
      </w:r>
      <w:proofErr w:type="spellEnd"/>
      <w:r w:rsidRPr="006E1709">
        <w:t xml:space="preserve"> подтвердили информацию, приведенную в отечественной и зарубежной литературе. При правильном подборе сплава (легирования) скорость его коррозии в азотной кислоте высокой концентрации может быть сопоставимой с алюминием марки АД0 (содержание </w:t>
      </w:r>
      <w:proofErr w:type="gramStart"/>
      <w:r w:rsidRPr="006E1709">
        <w:t>Al</w:t>
      </w:r>
      <w:r>
        <w:t> </w:t>
      </w:r>
      <w:r w:rsidRPr="006E1709">
        <w:t>&gt;</w:t>
      </w:r>
      <w:proofErr w:type="gramEnd"/>
      <w:r>
        <w:t> </w:t>
      </w:r>
      <w:r w:rsidRPr="006E1709">
        <w:t>99,5</w:t>
      </w:r>
      <w:r>
        <w:t> </w:t>
      </w:r>
      <w:r w:rsidRPr="006E1709">
        <w:t>%):</w:t>
      </w:r>
    </w:p>
    <w:tbl>
      <w:tblPr>
        <w:tblW w:w="3844" w:type="pct"/>
        <w:tblInd w:w="11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4"/>
        <w:gridCol w:w="3014"/>
        <w:gridCol w:w="3423"/>
      </w:tblGrid>
      <w:tr w:rsidR="006E1709" w:rsidRPr="006E1709" w:rsidTr="006E1709">
        <w:trPr>
          <w:trHeight w:val="18"/>
        </w:trPr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E1709">
              <w:rPr>
                <w:rFonts w:cs="Times New Roman"/>
                <w:b/>
                <w:szCs w:val="20"/>
              </w:rPr>
              <w:t>Сплав</w:t>
            </w:r>
          </w:p>
        </w:tc>
        <w:tc>
          <w:tcPr>
            <w:tcW w:w="1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E1709">
              <w:rPr>
                <w:rFonts w:cs="Times New Roman"/>
                <w:b/>
                <w:szCs w:val="20"/>
              </w:rPr>
              <w:t>Содержание алюминия, %</w:t>
            </w:r>
          </w:p>
        </w:tc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E1709">
              <w:rPr>
                <w:rFonts w:cs="Times New Roman"/>
                <w:b/>
                <w:szCs w:val="20"/>
              </w:rPr>
              <w:t xml:space="preserve">Скорость коррозии в 99% </w:t>
            </w:r>
            <w:r w:rsidRPr="006E1709">
              <w:rPr>
                <w:rFonts w:cs="Times New Roman"/>
                <w:b/>
                <w:szCs w:val="20"/>
                <w:lang w:val="en-US"/>
              </w:rPr>
              <w:t>HNO</w:t>
            </w:r>
            <w:r w:rsidRPr="006E1709">
              <w:rPr>
                <w:rFonts w:cs="Times New Roman"/>
                <w:b/>
                <w:szCs w:val="20"/>
                <w:vertAlign w:val="subscript"/>
              </w:rPr>
              <w:t>3</w:t>
            </w:r>
            <w:r w:rsidRPr="006E1709">
              <w:rPr>
                <w:rFonts w:cs="Times New Roman"/>
                <w:b/>
                <w:szCs w:val="20"/>
              </w:rPr>
              <w:t>, мм/год</w:t>
            </w:r>
          </w:p>
        </w:tc>
      </w:tr>
      <w:tr w:rsidR="006E1709" w:rsidRPr="006E1709" w:rsidTr="006E1709">
        <w:trPr>
          <w:trHeight w:val="18"/>
        </w:trPr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</w:rPr>
              <w:t>АД0</w:t>
            </w:r>
          </w:p>
        </w:tc>
        <w:tc>
          <w:tcPr>
            <w:tcW w:w="1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</w:rPr>
              <w:t>99,5</w:t>
            </w:r>
          </w:p>
        </w:tc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</w:rPr>
              <w:t>0,02</w:t>
            </w:r>
          </w:p>
        </w:tc>
      </w:tr>
      <w:tr w:rsidR="006E1709" w:rsidRPr="006E1709" w:rsidTr="006E1709">
        <w:trPr>
          <w:trHeight w:val="18"/>
        </w:trPr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  <w:lang w:val="en-US"/>
              </w:rPr>
              <w:t>Al-Mn</w:t>
            </w:r>
          </w:p>
        </w:tc>
        <w:tc>
          <w:tcPr>
            <w:tcW w:w="1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</w:rPr>
              <w:t>97,7</w:t>
            </w:r>
          </w:p>
        </w:tc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</w:rPr>
              <w:t>0,02</w:t>
            </w:r>
          </w:p>
        </w:tc>
      </w:tr>
      <w:tr w:rsidR="006E1709" w:rsidRPr="006E1709" w:rsidTr="006E1709">
        <w:trPr>
          <w:trHeight w:val="18"/>
        </w:trPr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  <w:lang w:val="en-US"/>
              </w:rPr>
              <w:t>Al-Mn</w:t>
            </w:r>
          </w:p>
        </w:tc>
        <w:tc>
          <w:tcPr>
            <w:tcW w:w="1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</w:rPr>
              <w:t>9</w:t>
            </w:r>
            <w:r w:rsidRPr="006E1709">
              <w:rPr>
                <w:rFonts w:cs="Times New Roman"/>
                <w:szCs w:val="20"/>
                <w:lang w:val="en-US"/>
              </w:rPr>
              <w:t>8</w:t>
            </w:r>
            <w:r w:rsidRPr="006E1709">
              <w:rPr>
                <w:rFonts w:cs="Times New Roman"/>
                <w:szCs w:val="20"/>
              </w:rPr>
              <w:t>,</w:t>
            </w:r>
            <w:r w:rsidRPr="006E1709">
              <w:rPr>
                <w:rFonts w:cs="Times New Roman"/>
                <w:szCs w:val="20"/>
                <w:lang w:val="en-US"/>
              </w:rPr>
              <w:t>0</w:t>
            </w:r>
          </w:p>
        </w:tc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  <w:lang w:val="en-US"/>
              </w:rPr>
              <w:t>0,03</w:t>
            </w:r>
          </w:p>
        </w:tc>
      </w:tr>
      <w:tr w:rsidR="006E1709" w:rsidRPr="006E1709" w:rsidTr="008E3D24">
        <w:trPr>
          <w:trHeight w:val="18"/>
        </w:trPr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  <w:lang w:val="en-US"/>
              </w:rPr>
              <w:t>Al-Mg</w:t>
            </w:r>
          </w:p>
        </w:tc>
        <w:tc>
          <w:tcPr>
            <w:tcW w:w="1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  <w:lang w:val="en-US"/>
              </w:rPr>
              <w:t>96,7</w:t>
            </w:r>
          </w:p>
        </w:tc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1709" w:rsidRPr="006E1709" w:rsidRDefault="006E1709" w:rsidP="00C168A1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6E1709">
              <w:rPr>
                <w:rFonts w:cs="Times New Roman"/>
                <w:szCs w:val="20"/>
                <w:lang w:val="en-US"/>
              </w:rPr>
              <w:t>0,04</w:t>
            </w:r>
          </w:p>
        </w:tc>
      </w:tr>
    </w:tbl>
    <w:p w:rsidR="00A66AAD" w:rsidRDefault="006E1709" w:rsidP="008E3D24">
      <w:pPr>
        <w:pStyle w:val="SingleTxtG"/>
        <w:spacing w:before="120"/>
      </w:pPr>
      <w:r>
        <w:t>9</w:t>
      </w:r>
      <w:r w:rsidR="00B035C7">
        <w:t>.</w:t>
      </w:r>
      <w:r w:rsidR="00B035C7">
        <w:tab/>
      </w:r>
      <w:r w:rsidR="008E3D24">
        <w:t>Предлагается д</w:t>
      </w:r>
      <w:r w:rsidR="008E3D24" w:rsidRPr="008E3D24">
        <w:t>опустить возможность изготовления котлов вагонов-цистерн для перевозки крепкой азотной кислоты ООН 2031 (с содержанием азотной кислоты более 70%) из алюминиевых сплавов аналогично требованиям к таре.</w:t>
      </w:r>
    </w:p>
    <w:p w:rsidR="00B035C7" w:rsidRPr="0043429F" w:rsidRDefault="00B035C7" w:rsidP="00B035C7">
      <w:pPr>
        <w:spacing w:before="240"/>
        <w:jc w:val="center"/>
        <w:rPr>
          <w:u w:val="single"/>
        </w:rPr>
      </w:pPr>
      <w:r w:rsidRPr="0043429F">
        <w:rPr>
          <w:u w:val="single"/>
        </w:rPr>
        <w:tab/>
      </w:r>
      <w:r w:rsidRPr="0043429F">
        <w:rPr>
          <w:u w:val="single"/>
        </w:rPr>
        <w:tab/>
      </w:r>
      <w:r w:rsidRPr="0043429F">
        <w:rPr>
          <w:u w:val="single"/>
        </w:rPr>
        <w:tab/>
      </w:r>
    </w:p>
    <w:sectPr w:rsidR="00B035C7" w:rsidRPr="0043429F" w:rsidSect="00B035C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A3" w:rsidRPr="00A312BC" w:rsidRDefault="008F38A3" w:rsidP="00A312BC"/>
  </w:endnote>
  <w:endnote w:type="continuationSeparator" w:id="0">
    <w:p w:rsidR="008F38A3" w:rsidRPr="00A312BC" w:rsidRDefault="008F38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2C2712">
    <w:pPr>
      <w:pStyle w:val="Footer"/>
    </w:pPr>
    <w:r w:rsidRPr="00B035C7">
      <w:rPr>
        <w:b/>
        <w:sz w:val="18"/>
      </w:rPr>
      <w:fldChar w:fldCharType="begin"/>
    </w:r>
    <w:r w:rsidR="00B035C7" w:rsidRPr="00B035C7">
      <w:rPr>
        <w:b/>
        <w:sz w:val="18"/>
      </w:rPr>
      <w:instrText xml:space="preserve"> PAGE  \* MERGEFORMAT </w:instrText>
    </w:r>
    <w:r w:rsidRPr="00B035C7">
      <w:rPr>
        <w:b/>
        <w:sz w:val="18"/>
      </w:rPr>
      <w:fldChar w:fldCharType="separate"/>
    </w:r>
    <w:r w:rsidR="004A28B5">
      <w:rPr>
        <w:b/>
        <w:noProof/>
        <w:sz w:val="18"/>
      </w:rPr>
      <w:t>2</w:t>
    </w:r>
    <w:r w:rsidRPr="00B035C7">
      <w:rPr>
        <w:b/>
        <w:sz w:val="18"/>
      </w:rPr>
      <w:fldChar w:fldCharType="end"/>
    </w:r>
    <w:r w:rsidR="00B035C7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B035C7" w:rsidP="00B035C7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="002C2712" w:rsidRPr="00B035C7">
      <w:rPr>
        <w:b/>
        <w:sz w:val="18"/>
      </w:rPr>
      <w:fldChar w:fldCharType="begin"/>
    </w:r>
    <w:r w:rsidRPr="00B035C7">
      <w:rPr>
        <w:b/>
        <w:sz w:val="18"/>
      </w:rPr>
      <w:instrText xml:space="preserve"> PAGE  \* MERGEFORMAT </w:instrText>
    </w:r>
    <w:r w:rsidR="002C2712" w:rsidRPr="00B035C7">
      <w:rPr>
        <w:b/>
        <w:sz w:val="18"/>
      </w:rPr>
      <w:fldChar w:fldCharType="separate"/>
    </w:r>
    <w:r w:rsidR="004A28B5">
      <w:rPr>
        <w:b/>
        <w:noProof/>
        <w:sz w:val="18"/>
      </w:rPr>
      <w:t>3</w:t>
    </w:r>
    <w:r w:rsidR="002C2712" w:rsidRPr="00B035C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A3" w:rsidRPr="001075E9" w:rsidRDefault="008F38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38A3" w:rsidRDefault="008F38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93B62" w:rsidRDefault="00993B62" w:rsidP="00993B62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</w:rPr>
        <w:t>*</w:t>
      </w:r>
      <w:r>
        <w:rPr>
          <w:rStyle w:val="FootnoteReference"/>
        </w:rPr>
        <w:tab/>
      </w:r>
      <w:r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993B62" w:rsidRDefault="00993B62" w:rsidP="00993B62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</w:rPr>
        <w:t>**</w:t>
      </w:r>
      <w:r>
        <w:rPr>
          <w:rStyle w:val="FootnoteReferenc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</w:t>
      </w:r>
      <w:r w:rsidR="00236FDB">
        <w:rPr>
          <w:lang w:val="fr-CH"/>
        </w:rPr>
        <w:t>20</w:t>
      </w:r>
      <w:r>
        <w:t>/</w:t>
      </w:r>
      <w:r>
        <w:rPr>
          <w:lang w:val="fr-CH"/>
        </w:rPr>
        <w:t>34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237" w:rsidRPr="00074237" w:rsidRDefault="00074237">
    <w:pPr>
      <w:pStyle w:val="Header"/>
      <w:rPr>
        <w:lang w:val="fr-CH"/>
      </w:rPr>
    </w:pPr>
    <w:r>
      <w:rPr>
        <w:lang w:val="fr-CH"/>
      </w:rPr>
      <w:t>ECE/TRANS/WP.15/AC.1/2020/34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074237" w:rsidP="00B035C7">
    <w:pPr>
      <w:pStyle w:val="Header"/>
      <w:jc w:val="right"/>
    </w:pPr>
    <w:r>
      <w:rPr>
        <w:lang w:val="fr-CH"/>
      </w:rPr>
      <w:t>ECE/TRANS/WP.15/AC.1/2020/34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39FE"/>
    <w:multiLevelType w:val="hybridMultilevel"/>
    <w:tmpl w:val="A10011AA"/>
    <w:lvl w:ilvl="0" w:tplc="6EFAC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1FAD"/>
    <w:multiLevelType w:val="hybridMultilevel"/>
    <w:tmpl w:val="92FAED3E"/>
    <w:lvl w:ilvl="0" w:tplc="99C23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53"/>
    <w:rsid w:val="00033EE1"/>
    <w:rsid w:val="00042B72"/>
    <w:rsid w:val="000558BD"/>
    <w:rsid w:val="00074237"/>
    <w:rsid w:val="00077825"/>
    <w:rsid w:val="000B57E7"/>
    <w:rsid w:val="000B6373"/>
    <w:rsid w:val="000E4E5B"/>
    <w:rsid w:val="000F09DF"/>
    <w:rsid w:val="000F61B2"/>
    <w:rsid w:val="001075E9"/>
    <w:rsid w:val="0014152F"/>
    <w:rsid w:val="00153E6F"/>
    <w:rsid w:val="00180183"/>
    <w:rsid w:val="0018024D"/>
    <w:rsid w:val="0018649F"/>
    <w:rsid w:val="00196389"/>
    <w:rsid w:val="001B3EF6"/>
    <w:rsid w:val="001C7A89"/>
    <w:rsid w:val="002121A1"/>
    <w:rsid w:val="00235153"/>
    <w:rsid w:val="00236FDB"/>
    <w:rsid w:val="00255343"/>
    <w:rsid w:val="0027151D"/>
    <w:rsid w:val="002A2EFC"/>
    <w:rsid w:val="002B0106"/>
    <w:rsid w:val="002B6A38"/>
    <w:rsid w:val="002B74B1"/>
    <w:rsid w:val="002C0E18"/>
    <w:rsid w:val="002C2712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43E5"/>
    <w:rsid w:val="003E0B46"/>
    <w:rsid w:val="003E7D46"/>
    <w:rsid w:val="00407B78"/>
    <w:rsid w:val="00422FE3"/>
    <w:rsid w:val="00424203"/>
    <w:rsid w:val="00452493"/>
    <w:rsid w:val="00453318"/>
    <w:rsid w:val="00454AF2"/>
    <w:rsid w:val="00454E07"/>
    <w:rsid w:val="00457413"/>
    <w:rsid w:val="00472C5C"/>
    <w:rsid w:val="00493D82"/>
    <w:rsid w:val="004A28B5"/>
    <w:rsid w:val="004C0F8D"/>
    <w:rsid w:val="004E05B7"/>
    <w:rsid w:val="004E6069"/>
    <w:rsid w:val="0050108D"/>
    <w:rsid w:val="00513081"/>
    <w:rsid w:val="00517901"/>
    <w:rsid w:val="00526683"/>
    <w:rsid w:val="0053199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582B"/>
    <w:rsid w:val="00680D03"/>
    <w:rsid w:val="00681A10"/>
    <w:rsid w:val="006A1ED8"/>
    <w:rsid w:val="006C2031"/>
    <w:rsid w:val="006D461A"/>
    <w:rsid w:val="006E1709"/>
    <w:rsid w:val="006F35EE"/>
    <w:rsid w:val="007021FF"/>
    <w:rsid w:val="00704488"/>
    <w:rsid w:val="00712895"/>
    <w:rsid w:val="00734ACB"/>
    <w:rsid w:val="00757357"/>
    <w:rsid w:val="00757AFC"/>
    <w:rsid w:val="00763BA6"/>
    <w:rsid w:val="007739DC"/>
    <w:rsid w:val="00792497"/>
    <w:rsid w:val="007927B0"/>
    <w:rsid w:val="007D2B41"/>
    <w:rsid w:val="007E1F01"/>
    <w:rsid w:val="00806737"/>
    <w:rsid w:val="00825F8D"/>
    <w:rsid w:val="00834B71"/>
    <w:rsid w:val="0086445C"/>
    <w:rsid w:val="00867365"/>
    <w:rsid w:val="00894693"/>
    <w:rsid w:val="008A08D7"/>
    <w:rsid w:val="008A37C8"/>
    <w:rsid w:val="008A54BD"/>
    <w:rsid w:val="008B6909"/>
    <w:rsid w:val="008D53B6"/>
    <w:rsid w:val="008E3147"/>
    <w:rsid w:val="008E3D24"/>
    <w:rsid w:val="008F38A3"/>
    <w:rsid w:val="008F7609"/>
    <w:rsid w:val="00906890"/>
    <w:rsid w:val="00911BE4"/>
    <w:rsid w:val="00951972"/>
    <w:rsid w:val="009608F3"/>
    <w:rsid w:val="00993B62"/>
    <w:rsid w:val="009A24AC"/>
    <w:rsid w:val="009C59D7"/>
    <w:rsid w:val="009C6FE6"/>
    <w:rsid w:val="009D098C"/>
    <w:rsid w:val="009D75ED"/>
    <w:rsid w:val="009D7E7D"/>
    <w:rsid w:val="00A05933"/>
    <w:rsid w:val="00A14DA8"/>
    <w:rsid w:val="00A152DB"/>
    <w:rsid w:val="00A1696B"/>
    <w:rsid w:val="00A270A0"/>
    <w:rsid w:val="00A312BC"/>
    <w:rsid w:val="00A66AAD"/>
    <w:rsid w:val="00A84021"/>
    <w:rsid w:val="00A84D35"/>
    <w:rsid w:val="00A917B3"/>
    <w:rsid w:val="00A953E0"/>
    <w:rsid w:val="00AB4B51"/>
    <w:rsid w:val="00AB7CA4"/>
    <w:rsid w:val="00B035C7"/>
    <w:rsid w:val="00B10CC7"/>
    <w:rsid w:val="00B20E52"/>
    <w:rsid w:val="00B36DF7"/>
    <w:rsid w:val="00B539E7"/>
    <w:rsid w:val="00B62458"/>
    <w:rsid w:val="00B844CF"/>
    <w:rsid w:val="00BC18B2"/>
    <w:rsid w:val="00BC5757"/>
    <w:rsid w:val="00BD33EE"/>
    <w:rsid w:val="00BE1CC7"/>
    <w:rsid w:val="00C106D6"/>
    <w:rsid w:val="00C119AE"/>
    <w:rsid w:val="00C471E2"/>
    <w:rsid w:val="00C60F0C"/>
    <w:rsid w:val="00C71E84"/>
    <w:rsid w:val="00C805C9"/>
    <w:rsid w:val="00C92939"/>
    <w:rsid w:val="00CA1679"/>
    <w:rsid w:val="00CB151C"/>
    <w:rsid w:val="00CE5A1A"/>
    <w:rsid w:val="00CF55F6"/>
    <w:rsid w:val="00CF5CEC"/>
    <w:rsid w:val="00D101C0"/>
    <w:rsid w:val="00D33D63"/>
    <w:rsid w:val="00D3520D"/>
    <w:rsid w:val="00D5253A"/>
    <w:rsid w:val="00D873A8"/>
    <w:rsid w:val="00D90028"/>
    <w:rsid w:val="00D90138"/>
    <w:rsid w:val="00D9145B"/>
    <w:rsid w:val="00DD78D1"/>
    <w:rsid w:val="00DE32CD"/>
    <w:rsid w:val="00DF556F"/>
    <w:rsid w:val="00DF5767"/>
    <w:rsid w:val="00DF71B9"/>
    <w:rsid w:val="00E12C5F"/>
    <w:rsid w:val="00E56AA5"/>
    <w:rsid w:val="00E73F76"/>
    <w:rsid w:val="00EA2C9F"/>
    <w:rsid w:val="00EA420E"/>
    <w:rsid w:val="00EC01D5"/>
    <w:rsid w:val="00ED0BDA"/>
    <w:rsid w:val="00EE142A"/>
    <w:rsid w:val="00EF1360"/>
    <w:rsid w:val="00EF3220"/>
    <w:rsid w:val="00F2523A"/>
    <w:rsid w:val="00F43903"/>
    <w:rsid w:val="00F4735D"/>
    <w:rsid w:val="00F67F9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5323B4"/>
  <w15:docId w15:val="{BC714894-D89D-4067-8672-E0073634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035C7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035C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B035C7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B035C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nl-NL" w:eastAsia="zh-CN"/>
    </w:rPr>
  </w:style>
  <w:style w:type="paragraph" w:customStyle="1" w:styleId="H1GR">
    <w:name w:val="_ H_1_GR"/>
    <w:basedOn w:val="Normal"/>
    <w:next w:val="Normal"/>
    <w:qFormat/>
    <w:rsid w:val="004A28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4A28B5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paragraph" w:customStyle="1" w:styleId="SMGR">
    <w:name w:val="__S_M_GR"/>
    <w:basedOn w:val="Normal"/>
    <w:next w:val="Normal"/>
    <w:qFormat/>
    <w:rsid w:val="004A28B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833</Words>
  <Characters>5774</Characters>
  <Application>Microsoft Office Word</Application>
  <DocSecurity>0</DocSecurity>
  <Lines>169</Lines>
  <Paragraphs>97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ECE/TRANS/WP.15/AC.1/2019/49</vt:lpstr>
      <vt:lpstr>ECE/TRANS/WP.15/AC.1/2019/49</vt:lpstr>
      <vt:lpstr>A/</vt:lpstr>
    </vt:vector>
  </TitlesOfParts>
  <Company>DCM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ECE/TRANS/WP.15/AC.1/2019/49</dc:title>
  <dc:subject/>
  <dc:creator>Uliana ANTIPOVA</dc:creator>
  <cp:keywords/>
  <cp:lastModifiedBy>Christine Barrio-Champeau</cp:lastModifiedBy>
  <cp:revision>7</cp:revision>
  <cp:lastPrinted>2019-07-08T09:09:00Z</cp:lastPrinted>
  <dcterms:created xsi:type="dcterms:W3CDTF">2019-12-21T11:15:00Z</dcterms:created>
  <dcterms:modified xsi:type="dcterms:W3CDTF">2019-12-30T13:22:00Z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