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C58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C583D" w:rsidP="00CC583D">
            <w:pPr>
              <w:jc w:val="right"/>
            </w:pPr>
            <w:r w:rsidRPr="00CC583D">
              <w:rPr>
                <w:sz w:val="40"/>
              </w:rPr>
              <w:t>ECE</w:t>
            </w:r>
            <w:r>
              <w:t>/TRANS/WP.15/AC.1/2020/30</w:t>
            </w:r>
          </w:p>
        </w:tc>
      </w:tr>
      <w:tr w:rsidR="002D5AAC" w:rsidRPr="00CC583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58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C583D" w:rsidRDefault="00CC583D" w:rsidP="00CC58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:rsidR="00CC583D" w:rsidRDefault="00CC583D" w:rsidP="00CC58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C583D" w:rsidRPr="008D53B6" w:rsidRDefault="00CC583D" w:rsidP="00CC58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CC583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C583D" w:rsidRPr="00CC583D" w:rsidRDefault="00CC583D" w:rsidP="00CC583D">
      <w:pPr>
        <w:spacing w:before="120" w:after="120"/>
        <w:rPr>
          <w:sz w:val="28"/>
          <w:szCs w:val="28"/>
        </w:rPr>
      </w:pPr>
      <w:r w:rsidRPr="00CC583D">
        <w:rPr>
          <w:sz w:val="28"/>
          <w:szCs w:val="28"/>
        </w:rPr>
        <w:t>Комитет по внутреннему транспорту</w:t>
      </w:r>
    </w:p>
    <w:p w:rsidR="00CC583D" w:rsidRPr="00CC583D" w:rsidRDefault="00CC583D" w:rsidP="00CC583D">
      <w:pPr>
        <w:spacing w:after="120"/>
        <w:rPr>
          <w:b/>
          <w:sz w:val="24"/>
          <w:szCs w:val="24"/>
        </w:rPr>
      </w:pPr>
      <w:r w:rsidRPr="00CC583D">
        <w:rPr>
          <w:b/>
          <w:bCs/>
          <w:sz w:val="24"/>
          <w:szCs w:val="24"/>
        </w:rPr>
        <w:t>Рабочая группа по перевозкам опасных грузов</w:t>
      </w:r>
    </w:p>
    <w:p w:rsidR="00CC583D" w:rsidRPr="00357D93" w:rsidRDefault="00CC583D" w:rsidP="00CC583D">
      <w:pPr>
        <w:rPr>
          <w:b/>
          <w:szCs w:val="24"/>
        </w:rPr>
      </w:pPr>
      <w:r w:rsidRPr="00357D93">
        <w:rPr>
          <w:b/>
          <w:szCs w:val="24"/>
        </w:rPr>
        <w:t xml:space="preserve">Совместное совещание Комиссии экспертов МПОГ </w:t>
      </w:r>
      <w:r>
        <w:rPr>
          <w:b/>
          <w:szCs w:val="24"/>
        </w:rPr>
        <w:br/>
      </w:r>
      <w:r w:rsidRPr="00357D93">
        <w:rPr>
          <w:b/>
          <w:szCs w:val="24"/>
        </w:rPr>
        <w:t>и Рабочей группы по перевозкам опасных грузов</w:t>
      </w:r>
    </w:p>
    <w:p w:rsidR="00CC583D" w:rsidRPr="00357D93" w:rsidRDefault="00CC583D" w:rsidP="00CC583D">
      <w:pPr>
        <w:rPr>
          <w:szCs w:val="24"/>
        </w:rPr>
      </w:pPr>
      <w:r w:rsidRPr="00357D93">
        <w:t>Берн, 16</w:t>
      </w:r>
      <w:r>
        <w:rPr>
          <w:lang w:val="en-US"/>
        </w:rPr>
        <w:t>–</w:t>
      </w:r>
      <w:r w:rsidRPr="00357D93">
        <w:t>20 марта 2020 года</w:t>
      </w:r>
    </w:p>
    <w:p w:rsidR="00CC583D" w:rsidRPr="00357D93" w:rsidRDefault="00CC583D" w:rsidP="00CC583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7D93">
        <w:t>Пункт 5 b) предварительной повестки дня</w:t>
      </w:r>
    </w:p>
    <w:p w:rsidR="00E12C5F" w:rsidRDefault="00CC583D" w:rsidP="00CC583D">
      <w:r w:rsidRPr="00357D93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357D93">
        <w:rPr>
          <w:b/>
          <w:bCs/>
        </w:rPr>
        <w:t>в МПОГ/ДОПОГ/ВОПОГ</w:t>
      </w:r>
      <w:r>
        <w:rPr>
          <w:b/>
          <w:bCs/>
        </w:rPr>
        <w:t>: н</w:t>
      </w:r>
      <w:r w:rsidRPr="00357D93">
        <w:rPr>
          <w:b/>
          <w:bCs/>
        </w:rPr>
        <w:t>овые предложения</w:t>
      </w:r>
    </w:p>
    <w:p w:rsidR="00CC583D" w:rsidRPr="00357D93" w:rsidRDefault="00CC583D" w:rsidP="00CC583D">
      <w:pPr>
        <w:pStyle w:val="HChG"/>
      </w:pPr>
      <w:bookmarkStart w:id="1" w:name="_Hlk30587246"/>
      <w:r>
        <w:rPr>
          <w:bCs/>
        </w:rPr>
        <w:tab/>
      </w:r>
      <w:r>
        <w:rPr>
          <w:bCs/>
        </w:rPr>
        <w:tab/>
      </w:r>
      <w:r w:rsidRPr="00357D93">
        <w:rPr>
          <w:bCs/>
        </w:rPr>
        <w:t>Различия в сфере применения между специальными положениями 666 и 669</w:t>
      </w:r>
      <w:bookmarkEnd w:id="1"/>
    </w:p>
    <w:p w:rsidR="00CC583D" w:rsidRDefault="00CC583D" w:rsidP="00CC583D">
      <w:pPr>
        <w:pStyle w:val="H1G"/>
      </w:pPr>
      <w:r w:rsidRPr="00357D93">
        <w:tab/>
      </w:r>
      <w:r w:rsidRPr="00357D93">
        <w:tab/>
        <w:t>Передано правительством Швейцарии</w:t>
      </w:r>
      <w:r w:rsidRPr="00CC583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C583D">
        <w:rPr>
          <w:b w:val="0"/>
          <w:lang w:val="en-US"/>
        </w:rPr>
        <w:t xml:space="preserve"> </w:t>
      </w:r>
      <w:r w:rsidRPr="00CC583D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C583D" w:rsidRPr="00CC583D" w:rsidTr="00CC583D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CC583D" w:rsidRPr="00CC583D" w:rsidRDefault="00CC583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C583D">
              <w:rPr>
                <w:rFonts w:cs="Times New Roman"/>
              </w:rPr>
              <w:tab/>
            </w:r>
            <w:r w:rsidRPr="00CC583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C583D" w:rsidRPr="00CC583D" w:rsidTr="00CC583D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CC583D" w:rsidRDefault="00CC583D" w:rsidP="00CC583D">
            <w:pPr>
              <w:pStyle w:val="SingleTxtG"/>
              <w:ind w:left="3402" w:hanging="2268"/>
            </w:pPr>
            <w:r w:rsidRPr="00CC583D">
              <w:rPr>
                <w:b/>
              </w:rPr>
              <w:t>Существо предложения:</w:t>
            </w:r>
            <w:r w:rsidRPr="00CC583D">
              <w:tab/>
              <w:t>Это предложение направлено на уточнение специального положения 666, с тем чтобы обеспечить единообразное применение исключений для оборудования, находящегося на прицепе или тягаче.</w:t>
            </w:r>
          </w:p>
          <w:p w:rsidR="00CC583D" w:rsidRPr="00CC583D" w:rsidRDefault="00CC583D" w:rsidP="00D6488B">
            <w:pPr>
              <w:pStyle w:val="SingleTxtG"/>
            </w:pPr>
            <w:r w:rsidRPr="00CC583D">
              <w:rPr>
                <w:b/>
                <w:bCs/>
              </w:rPr>
              <w:t>Предлагаемое решение:</w:t>
            </w:r>
            <w:r w:rsidRPr="00CC583D">
              <w:tab/>
              <w:t>Внести изменения в специальное положение 666.</w:t>
            </w:r>
          </w:p>
        </w:tc>
      </w:tr>
      <w:tr w:rsidR="00CC583D" w:rsidRPr="00CC583D" w:rsidTr="00CC583D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CC583D" w:rsidRPr="00CC583D" w:rsidRDefault="00CC583D" w:rsidP="00850215">
            <w:pPr>
              <w:rPr>
                <w:rFonts w:cs="Times New Roman"/>
              </w:rPr>
            </w:pPr>
          </w:p>
        </w:tc>
      </w:tr>
    </w:tbl>
    <w:p w:rsidR="00CC583D" w:rsidRPr="00357D93" w:rsidRDefault="00CC583D" w:rsidP="00CC583D">
      <w:pPr>
        <w:pStyle w:val="HChG"/>
      </w:pPr>
      <w:r w:rsidRPr="00357D93">
        <w:tab/>
      </w:r>
      <w:r>
        <w:tab/>
      </w:r>
      <w:r w:rsidRPr="00357D93">
        <w:rPr>
          <w:bCs/>
        </w:rPr>
        <w:t>Введение</w:t>
      </w:r>
    </w:p>
    <w:p w:rsidR="00CC583D" w:rsidRPr="00357D93" w:rsidRDefault="00CC583D" w:rsidP="00CC583D">
      <w:pPr>
        <w:pStyle w:val="SingleTxtG"/>
      </w:pPr>
      <w:r w:rsidRPr="00357D93">
        <w:t>1.</w:t>
      </w:r>
      <w:r w:rsidRPr="00357D93">
        <w:tab/>
        <w:t>Мы отметили следующие несоответствия в правилах: такое оборудование, как компрессоры, конвейерные ленты, краны и т.</w:t>
      </w:r>
      <w:r>
        <w:t> </w:t>
      </w:r>
      <w:r w:rsidRPr="00357D93">
        <w:t xml:space="preserve">д., стационарно установленное на транспортном средстве, </w:t>
      </w:r>
      <w:r>
        <w:t xml:space="preserve">имеет </w:t>
      </w:r>
      <w:r w:rsidRPr="00357D93">
        <w:t>разн</w:t>
      </w:r>
      <w:r>
        <w:t>ый режим</w:t>
      </w:r>
      <w:r w:rsidRPr="00357D93">
        <w:t xml:space="preserve"> в зависимости от того, находится ли оно на тягаче или на прицепе. Если оно установлено на тягаче и перевозится в качестве груза, то могут рассматриваться два специальных положения </w:t>
      </w:r>
      <w:r>
        <w:t>–</w:t>
      </w:r>
      <w:r w:rsidRPr="00357D93">
        <w:t xml:space="preserve"> специальное положение 666 или специальное положение 363. </w:t>
      </w:r>
      <w:r>
        <w:t>Е</w:t>
      </w:r>
      <w:r w:rsidRPr="00357D93">
        <w:t xml:space="preserve">сли это оборудование установлено на прицепе, который сам перевозится в качестве груза, применяется специальное положение 669, но только в том случае, если оборудование предназначено для использования во время перевозки. </w:t>
      </w:r>
    </w:p>
    <w:p w:rsidR="00CC583D" w:rsidRPr="00357D93" w:rsidRDefault="00CC583D" w:rsidP="00CC583D">
      <w:pPr>
        <w:pStyle w:val="SingleTxtG"/>
      </w:pPr>
      <w:r w:rsidRPr="00357D93">
        <w:lastRenderedPageBreak/>
        <w:t>2.</w:t>
      </w:r>
      <w:r w:rsidRPr="00357D93">
        <w:tab/>
        <w:t xml:space="preserve">Специальное положение 669 применяется к </w:t>
      </w:r>
      <w:r>
        <w:t>«</w:t>
      </w:r>
      <w:r w:rsidRPr="00357D93">
        <w:t>любому прицепу, оснащенному оборудованием, работающим на жидком или газообразном топливе</w:t>
      </w:r>
      <w:r>
        <w:t>,</w:t>
      </w:r>
      <w:r w:rsidRPr="00357D93">
        <w:t xml:space="preserve"> или использующему систему хранения и производства электрической энергии и предназначенному для использования во время перевозки</w:t>
      </w:r>
      <w:r>
        <w:t>». Специальное положение </w:t>
      </w:r>
      <w:r w:rsidRPr="00357D93">
        <w:t xml:space="preserve">666 применяется к </w:t>
      </w:r>
      <w:r>
        <w:t>«</w:t>
      </w:r>
      <w:r w:rsidRPr="00357D93">
        <w:t>оборудованию, работающему на аккумуляторных батареях, и транспортным средствам, упомянутым в специальном положении 388, когда они перевозятся в качестве груза, а также содержащимся в них опасным грузам, необходимым для их функционирования или эксплуатации их оборудования</w:t>
      </w:r>
      <w:r>
        <w:t>»</w:t>
      </w:r>
      <w:r w:rsidRPr="00357D93">
        <w:t>. То же оборудование, если оно установлено на прицепе, не освобождается</w:t>
      </w:r>
      <w:r>
        <w:t xml:space="preserve"> от действия положения</w:t>
      </w:r>
      <w:r w:rsidRPr="00357D93">
        <w:t xml:space="preserve">, если оно не предназначено для использования во время перевозки, в то время как </w:t>
      </w:r>
      <w:r>
        <w:t>данное</w:t>
      </w:r>
      <w:r w:rsidRPr="00357D93">
        <w:t xml:space="preserve"> ограничение </w:t>
      </w:r>
      <w:r>
        <w:t>– «</w:t>
      </w:r>
      <w:r w:rsidRPr="00357D93">
        <w:t>во время перевозки</w:t>
      </w:r>
      <w:r>
        <w:t>» –</w:t>
      </w:r>
      <w:r w:rsidRPr="00357D93">
        <w:t xml:space="preserve"> не существует при применении изъятия, предусмотренного в специальном положении 666. В силу этого последнее конкурирует со специальным положением 363, которое также предусмотрено для оборудования, не предназначенного для использования во время перевозки и содержащего жидкое топливо.</w:t>
      </w:r>
    </w:p>
    <w:p w:rsidR="00CC583D" w:rsidRPr="00357D93" w:rsidRDefault="00CC583D" w:rsidP="00CC583D">
      <w:pPr>
        <w:pStyle w:val="SingleTxtG"/>
      </w:pPr>
      <w:r w:rsidRPr="00357D93">
        <w:t>3.</w:t>
      </w:r>
      <w:r w:rsidRPr="00357D93">
        <w:tab/>
        <w:t xml:space="preserve">Специальное положение 669 было включено после специального </w:t>
      </w:r>
      <w:r>
        <w:t>положения </w:t>
      </w:r>
      <w:r w:rsidRPr="00357D93">
        <w:t>666, поскольку только в конце обсуждения было отмечено, что определение транспортного средства в специальном положении 388 не включает прицепы. Специальное положение 669 было сформулировано по аналогии с изъятиями для транспортных средств в подразделах 1.1.3.2 а) и 1.1.3.3 а), в которых соде</w:t>
      </w:r>
      <w:r>
        <w:t>ржится ссылка на оборудование, «</w:t>
      </w:r>
      <w:r w:rsidRPr="00357D93">
        <w:t>используемое или предназначенное для использования во время перевозки</w:t>
      </w:r>
      <w:r>
        <w:t>»</w:t>
      </w:r>
      <w:r w:rsidRPr="00357D93">
        <w:t>. Эта формулировка позволяет проводить различие между оборудованием, которое само по себе будет освобождено от действия специального положения 363 и которое никогда не используется во время перевозки (например</w:t>
      </w:r>
      <w:r>
        <w:t>,</w:t>
      </w:r>
      <w:r w:rsidRPr="00357D93">
        <w:t xml:space="preserve"> оборудование аварийного отопления зданий, компрессор и т.</w:t>
      </w:r>
      <w:r>
        <w:t> </w:t>
      </w:r>
      <w:r w:rsidRPr="00357D93">
        <w:t>д.), и оборудованием, которое предназначено для использования во время перевозки (например</w:t>
      </w:r>
      <w:r w:rsidR="00BE2B1B">
        <w:t>,</w:t>
      </w:r>
      <w:r w:rsidRPr="00357D93">
        <w:t xml:space="preserve"> рефрижератор</w:t>
      </w:r>
      <w:r>
        <w:t>ное оборудование</w:t>
      </w:r>
      <w:r w:rsidRPr="00357D93">
        <w:t>, обогреватели тента транспортного средства и т.</w:t>
      </w:r>
      <w:r>
        <w:t> </w:t>
      </w:r>
      <w:r w:rsidRPr="00357D93">
        <w:t>д.). Поскольку та</w:t>
      </w:r>
      <w:r>
        <w:t>кая</w:t>
      </w:r>
      <w:r w:rsidRPr="00357D93">
        <w:t xml:space="preserve"> особенность не указана в специальном положении 666, все равно проводится ненужное различие между оборудованием, установленным на перевозящем транспортном средстве, и оборудованием, установленным на прицепе. </w:t>
      </w:r>
    </w:p>
    <w:p w:rsidR="00CC583D" w:rsidRPr="00357D93" w:rsidRDefault="00CC583D" w:rsidP="00CC583D">
      <w:pPr>
        <w:pStyle w:val="SingleTxtG"/>
      </w:pPr>
      <w:r w:rsidRPr="00357D93">
        <w:t>4.</w:t>
      </w:r>
      <w:r w:rsidRPr="00357D93">
        <w:tab/>
      </w:r>
      <w:r>
        <w:t>Н</w:t>
      </w:r>
      <w:r w:rsidRPr="00357D93">
        <w:t>ынешн</w:t>
      </w:r>
      <w:r>
        <w:t>яя</w:t>
      </w:r>
      <w:r w:rsidRPr="00357D93">
        <w:t xml:space="preserve"> формулировк</w:t>
      </w:r>
      <w:r>
        <w:t>а</w:t>
      </w:r>
      <w:r w:rsidRPr="00357D93">
        <w:t xml:space="preserve"> </w:t>
      </w:r>
      <w:r>
        <w:t>с</w:t>
      </w:r>
      <w:r w:rsidRPr="00357D93">
        <w:t>пециально</w:t>
      </w:r>
      <w:r>
        <w:t>го</w:t>
      </w:r>
      <w:r w:rsidRPr="00357D93">
        <w:t xml:space="preserve"> положени</w:t>
      </w:r>
      <w:r>
        <w:t>я</w:t>
      </w:r>
      <w:r w:rsidRPr="00357D93">
        <w:t xml:space="preserve"> 666</w:t>
      </w:r>
      <w:r>
        <w:t xml:space="preserve"> </w:t>
      </w:r>
      <w:r w:rsidRPr="00357D93">
        <w:t>в избыточной манере исключает уже подпадающее под действие специального положения 363 оборудование, которое не предназначено для использования во время перевозки. Специальное положение 669 позволяет исправить это упущение.</w:t>
      </w:r>
    </w:p>
    <w:p w:rsidR="00CC583D" w:rsidRPr="00357D93" w:rsidRDefault="00CC583D" w:rsidP="00CC583D">
      <w:pPr>
        <w:pStyle w:val="SingleTxtG"/>
      </w:pPr>
      <w:r w:rsidRPr="00357D93">
        <w:t>5.</w:t>
      </w:r>
      <w:r w:rsidRPr="00357D93">
        <w:tab/>
        <w:t>Во избежание такой избыточности между</w:t>
      </w:r>
      <w:r>
        <w:t xml:space="preserve"> двумя специальными положениями </w:t>
      </w:r>
      <w:r w:rsidRPr="00357D93">
        <w:t>666 и 363 и для преодоления различия в сфере применения двух специальных положений 666 и 669, а также несоответствия между режимом обращения с одним и тем же оборудованием в зависимости от того, находится ли оно на тягаче или на прицепе, мы предлагаем согласовать положения специального положения 666 с положениями специального положения 669, изменив начало специального положения 666 указанным ниже образом.</w:t>
      </w:r>
    </w:p>
    <w:p w:rsidR="00CC583D" w:rsidRPr="00357D93" w:rsidRDefault="00CC583D" w:rsidP="00CC583D">
      <w:pPr>
        <w:pStyle w:val="HChG"/>
      </w:pPr>
      <w:r w:rsidRPr="00357D93">
        <w:tab/>
      </w:r>
      <w:r w:rsidRPr="00357D93">
        <w:tab/>
      </w:r>
      <w:r w:rsidRPr="00357D93">
        <w:tab/>
        <w:t>Предложение</w:t>
      </w:r>
    </w:p>
    <w:p w:rsidR="00CC583D" w:rsidRPr="00357D93" w:rsidRDefault="00CC583D" w:rsidP="00CC583D">
      <w:pPr>
        <w:pStyle w:val="SingleTxtG"/>
      </w:pPr>
      <w:r w:rsidRPr="00357D93">
        <w:t>6.</w:t>
      </w:r>
      <w:r w:rsidRPr="00357D93">
        <w:tab/>
        <w:t>Изменить начало специального положения 666 следующим образом (добавленный текст выделен жирным шрифтом):</w:t>
      </w:r>
    </w:p>
    <w:p w:rsidR="00CC583D" w:rsidRPr="00357D93" w:rsidRDefault="00CC583D" w:rsidP="00CC583D">
      <w:pPr>
        <w:pStyle w:val="SingleTxtG"/>
      </w:pPr>
      <w:r>
        <w:t>«</w:t>
      </w:r>
      <w:r w:rsidRPr="00357D93">
        <w:t>На оборудование, работающее на аккумуляторных батареях, и транспортные средства, упомянутые в специальном положении 388, когда они перевозятся в качестве груза, а также содержащиеся в них опасные грузы, необходимые для их функционирования или эксплуатации их оборудования</w:t>
      </w:r>
      <w:r w:rsidRPr="00357D93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 xml:space="preserve">в том случае, когда они </w:t>
      </w:r>
      <w:r w:rsidRPr="00357D93">
        <w:rPr>
          <w:b/>
          <w:bCs/>
          <w:u w:val="single"/>
        </w:rPr>
        <w:t>предназначен</w:t>
      </w:r>
      <w:r>
        <w:rPr>
          <w:b/>
          <w:bCs/>
          <w:u w:val="single"/>
        </w:rPr>
        <w:t>ы</w:t>
      </w:r>
      <w:r w:rsidRPr="00357D93">
        <w:rPr>
          <w:b/>
          <w:bCs/>
          <w:u w:val="single"/>
        </w:rPr>
        <w:t xml:space="preserve"> для использования во время перевозки, ...</w:t>
      </w:r>
      <w:r>
        <w:rPr>
          <w:bCs/>
        </w:rPr>
        <w:t>»</w:t>
      </w:r>
      <w:r w:rsidR="00BE2B1B">
        <w:rPr>
          <w:bCs/>
        </w:rPr>
        <w:t>.</w:t>
      </w:r>
    </w:p>
    <w:p w:rsidR="00BE2B1B" w:rsidRDefault="00BE2B1B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CC583D" w:rsidRPr="00357D93" w:rsidRDefault="00CC583D" w:rsidP="00CC583D">
      <w:pPr>
        <w:pStyle w:val="HChG"/>
      </w:pPr>
      <w:r w:rsidRPr="00357D93">
        <w:lastRenderedPageBreak/>
        <w:tab/>
      </w:r>
      <w:r w:rsidRPr="00357D93">
        <w:tab/>
      </w:r>
      <w:r w:rsidRPr="00357D93">
        <w:tab/>
        <w:t>Обоснование</w:t>
      </w:r>
    </w:p>
    <w:p w:rsidR="00CC583D" w:rsidRDefault="00CC583D" w:rsidP="00CC583D">
      <w:pPr>
        <w:pStyle w:val="SingleTxtG"/>
      </w:pPr>
      <w:r w:rsidRPr="00357D93">
        <w:t>7.</w:t>
      </w:r>
      <w:r w:rsidRPr="00357D93">
        <w:tab/>
        <w:t xml:space="preserve">Такое дополнение позволяет единообразно применять изъятия для оборудования, находящегося на прицепе или </w:t>
      </w:r>
      <w:r>
        <w:t>тягаче</w:t>
      </w:r>
      <w:r w:rsidRPr="00357D93">
        <w:t xml:space="preserve">. Кроме того, в нем разъясняется соответствующая сфера применения специального положения 666 в связи со специальным положением 333. Специальное положение 666 применяется только к оборудованию, предназначенному для использования во время перевозки. Специальное положение 333 применяется только к оборудованию, </w:t>
      </w:r>
      <w:r>
        <w:t xml:space="preserve">которое </w:t>
      </w:r>
      <w:r w:rsidRPr="00357D93">
        <w:t>не используе</w:t>
      </w:r>
      <w:r>
        <w:t xml:space="preserve">тся </w:t>
      </w:r>
      <w:r w:rsidRPr="00357D93">
        <w:t>во время перевозки.</w:t>
      </w:r>
    </w:p>
    <w:p w:rsidR="00CC583D" w:rsidRPr="00CC583D" w:rsidRDefault="00CC583D" w:rsidP="00CC58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583D" w:rsidRPr="00CC583D" w:rsidSect="00CC58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A7" w:rsidRPr="00A312BC" w:rsidRDefault="006F4FA7" w:rsidP="00A312BC"/>
  </w:endnote>
  <w:endnote w:type="continuationSeparator" w:id="0">
    <w:p w:rsidR="006F4FA7" w:rsidRPr="00A312BC" w:rsidRDefault="006F4F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83D" w:rsidRPr="00CC583D" w:rsidRDefault="00CC583D">
    <w:pPr>
      <w:pStyle w:val="Footer"/>
    </w:pPr>
    <w:r w:rsidRPr="00CC583D">
      <w:rPr>
        <w:b/>
        <w:sz w:val="18"/>
      </w:rPr>
      <w:fldChar w:fldCharType="begin"/>
    </w:r>
    <w:r w:rsidRPr="00CC583D">
      <w:rPr>
        <w:b/>
        <w:sz w:val="18"/>
      </w:rPr>
      <w:instrText xml:space="preserve"> PAGE  \* MERGEFORMAT </w:instrText>
    </w:r>
    <w:r w:rsidRPr="00CC583D">
      <w:rPr>
        <w:b/>
        <w:sz w:val="18"/>
      </w:rPr>
      <w:fldChar w:fldCharType="separate"/>
    </w:r>
    <w:r w:rsidR="00840818">
      <w:rPr>
        <w:b/>
        <w:noProof/>
        <w:sz w:val="18"/>
      </w:rPr>
      <w:t>2</w:t>
    </w:r>
    <w:r w:rsidRPr="00CC583D">
      <w:rPr>
        <w:b/>
        <w:sz w:val="18"/>
      </w:rPr>
      <w:fldChar w:fldCharType="end"/>
    </w:r>
    <w:r>
      <w:rPr>
        <w:b/>
        <w:sz w:val="18"/>
      </w:rPr>
      <w:tab/>
    </w:r>
    <w:r>
      <w:t>GE.20-00097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83D" w:rsidRPr="00CC583D" w:rsidRDefault="00CC583D" w:rsidP="00CC583D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GE.20-00097</w:t>
    </w:r>
    <w:r>
      <w:tab/>
    </w:r>
    <w:r w:rsidRPr="00CC583D">
      <w:rPr>
        <w:b/>
        <w:sz w:val="18"/>
      </w:rPr>
      <w:fldChar w:fldCharType="begin"/>
    </w:r>
    <w:r w:rsidRPr="00CC583D">
      <w:rPr>
        <w:b/>
        <w:sz w:val="18"/>
      </w:rPr>
      <w:instrText xml:space="preserve"> PAGE  \* MERGEFORMAT </w:instrText>
    </w:r>
    <w:r w:rsidRPr="00CC583D">
      <w:rPr>
        <w:b/>
        <w:sz w:val="18"/>
      </w:rPr>
      <w:fldChar w:fldCharType="separate"/>
    </w:r>
    <w:r w:rsidR="00840818">
      <w:rPr>
        <w:b/>
        <w:noProof/>
        <w:sz w:val="18"/>
      </w:rPr>
      <w:t>3</w:t>
    </w:r>
    <w:r w:rsidRPr="00CC58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C583D" w:rsidRDefault="00CC583D" w:rsidP="00CC583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20-00097  (R)</w:t>
    </w:r>
    <w:r>
      <w:rPr>
        <w:lang w:val="en-US"/>
      </w:rPr>
      <w:t xml:space="preserve">  220120  240120</w:t>
    </w:r>
    <w:r>
      <w:br/>
    </w:r>
    <w:r w:rsidRPr="00CC583D">
      <w:rPr>
        <w:rFonts w:ascii="C39T30Lfz" w:hAnsi="C39T30Lfz"/>
        <w:kern w:val="14"/>
        <w:sz w:val="56"/>
      </w:rPr>
      <w:t></w:t>
    </w:r>
    <w:r w:rsidRPr="00CC583D">
      <w:rPr>
        <w:rFonts w:ascii="C39T30Lfz" w:hAnsi="C39T30Lfz"/>
        <w:kern w:val="14"/>
        <w:sz w:val="56"/>
      </w:rPr>
      <w:t></w:t>
    </w:r>
    <w:r w:rsidRPr="00CC583D">
      <w:rPr>
        <w:rFonts w:ascii="C39T30Lfz" w:hAnsi="C39T30Lfz"/>
        <w:kern w:val="14"/>
        <w:sz w:val="56"/>
      </w:rPr>
      <w:t></w:t>
    </w:r>
    <w:r w:rsidRPr="00CC583D">
      <w:rPr>
        <w:rFonts w:ascii="C39T30Lfz" w:hAnsi="C39T30Lfz"/>
        <w:kern w:val="14"/>
        <w:sz w:val="56"/>
      </w:rPr>
      <w:t></w:t>
    </w:r>
    <w:r w:rsidRPr="00CC583D">
      <w:rPr>
        <w:rFonts w:ascii="C39T30Lfz" w:hAnsi="C39T30Lfz"/>
        <w:kern w:val="14"/>
        <w:sz w:val="56"/>
      </w:rPr>
      <w:t></w:t>
    </w:r>
    <w:r w:rsidRPr="00CC583D">
      <w:rPr>
        <w:rFonts w:ascii="C39T30Lfz" w:hAnsi="C39T30Lfz"/>
        <w:kern w:val="14"/>
        <w:sz w:val="56"/>
      </w:rPr>
      <w:t></w:t>
    </w:r>
    <w:r w:rsidRPr="00CC583D">
      <w:rPr>
        <w:rFonts w:ascii="C39T30Lfz" w:hAnsi="C39T30Lfz"/>
        <w:kern w:val="14"/>
        <w:sz w:val="56"/>
      </w:rPr>
      <w:t></w:t>
    </w:r>
    <w:r w:rsidRPr="00CC583D">
      <w:rPr>
        <w:rFonts w:ascii="C39T30Lfz" w:hAnsi="C39T30Lfz"/>
        <w:kern w:val="14"/>
        <w:sz w:val="56"/>
      </w:rPr>
      <w:t></w:t>
    </w:r>
    <w:r w:rsidRPr="00CC583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A7" w:rsidRPr="001075E9" w:rsidRDefault="006F4F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4FA7" w:rsidRDefault="006F4F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C583D" w:rsidRPr="00357D93" w:rsidRDefault="00CC583D" w:rsidP="00CC583D">
      <w:pPr>
        <w:pStyle w:val="FootnoteText"/>
      </w:pPr>
      <w:r>
        <w:tab/>
      </w:r>
      <w:r w:rsidRPr="00CC583D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:rsidR="00CC583D" w:rsidRPr="00357D93" w:rsidRDefault="00CC583D" w:rsidP="00CC583D">
      <w:pPr>
        <w:pStyle w:val="FootnoteText"/>
      </w:pPr>
      <w:r>
        <w:tab/>
      </w:r>
      <w:r w:rsidRPr="00CC583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</w:t>
      </w:r>
      <w:r w:rsidR="00BE2B1B">
        <w:t>20</w:t>
      </w:r>
      <w:r>
        <w:t>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83D" w:rsidRPr="00CC583D" w:rsidRDefault="00920B2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40818">
      <w:t>ECE/TRANS/WP.15/AC.1/2020/30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83D" w:rsidRPr="00CC583D" w:rsidRDefault="00920B2F" w:rsidP="00CC583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40818">
      <w:t>ECE/TRANS/WP.15/AC.1/2020/30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A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4FA7"/>
    <w:rsid w:val="007021FF"/>
    <w:rsid w:val="00712895"/>
    <w:rsid w:val="00734ACB"/>
    <w:rsid w:val="00757357"/>
    <w:rsid w:val="00792497"/>
    <w:rsid w:val="00806737"/>
    <w:rsid w:val="00825F8D"/>
    <w:rsid w:val="00834B71"/>
    <w:rsid w:val="0084081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B2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56EA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2B1B"/>
    <w:rsid w:val="00C106D6"/>
    <w:rsid w:val="00C119AE"/>
    <w:rsid w:val="00C60F0C"/>
    <w:rsid w:val="00C71E84"/>
    <w:rsid w:val="00C805C9"/>
    <w:rsid w:val="00C92939"/>
    <w:rsid w:val="00CA1679"/>
    <w:rsid w:val="00CB151C"/>
    <w:rsid w:val="00CC583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414976-DDB7-4F3A-A2E5-2C7DC8C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C583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C583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ECE/TRANS/WP.15/AC.1/2020/30</vt:lpstr>
      <vt:lpstr>ECE/TRANS/WP.15/AC.1/2020/30</vt:lpstr>
      <vt:lpstr>A/</vt:lpstr>
    </vt:vector>
  </TitlesOfParts>
  <Company>DCM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ECE/TRANS/WP.15/AC.1/2020/30</dc:title>
  <dc:subject/>
  <dc:creator>Marina KOROTKOVA</dc:creator>
  <cp:keywords/>
  <cp:lastModifiedBy>Christine Barrio-Champeau</cp:lastModifiedBy>
  <cp:revision>2</cp:revision>
  <cp:lastPrinted>2020-01-24T08:06:00Z</cp:lastPrinted>
  <dcterms:created xsi:type="dcterms:W3CDTF">2020-02-05T14:19:00Z</dcterms:created>
  <dcterms:modified xsi:type="dcterms:W3CDTF">2020-02-05T14:19:00Z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