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Default="002D5AAC" w:rsidP="0002286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Default="00022864" w:rsidP="00022864">
            <w:pPr>
              <w:jc w:val="right"/>
            </w:pPr>
            <w:r w:rsidRPr="00022864">
              <w:rPr>
                <w:sz w:val="40"/>
              </w:rPr>
              <w:t>ECE</w:t>
            </w:r>
            <w:r>
              <w:t>/TRANS/WP.15/AC.1/2020/27</w:t>
            </w:r>
          </w:p>
        </w:tc>
      </w:tr>
      <w:tr w:rsidR="002D5AAC" w:rsidRPr="00022864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022864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:rsidR="00022864" w:rsidRDefault="00022864" w:rsidP="00022864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6 January 2020</w:t>
            </w:r>
          </w:p>
          <w:p w:rsidR="00022864" w:rsidRDefault="00022864" w:rsidP="00022864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:rsidR="00022864" w:rsidRPr="008D53B6" w:rsidRDefault="00022864" w:rsidP="00022864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:rsidR="00022864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022864" w:rsidRPr="000D2D39" w:rsidRDefault="00022864" w:rsidP="00022864">
      <w:pPr>
        <w:spacing w:before="120"/>
        <w:rPr>
          <w:sz w:val="28"/>
          <w:szCs w:val="28"/>
        </w:rPr>
      </w:pPr>
      <w:r w:rsidRPr="000D2D39">
        <w:rPr>
          <w:sz w:val="28"/>
          <w:szCs w:val="28"/>
        </w:rPr>
        <w:t>Комитет по внутреннему транспорту</w:t>
      </w:r>
    </w:p>
    <w:p w:rsidR="00022864" w:rsidRPr="000D2D39" w:rsidRDefault="00022864" w:rsidP="00022864">
      <w:pPr>
        <w:spacing w:before="120"/>
        <w:rPr>
          <w:b/>
          <w:sz w:val="24"/>
          <w:szCs w:val="24"/>
        </w:rPr>
      </w:pPr>
      <w:r w:rsidRPr="000D2D39">
        <w:rPr>
          <w:b/>
          <w:bCs/>
          <w:sz w:val="24"/>
          <w:szCs w:val="24"/>
        </w:rPr>
        <w:t>Рабочая группа по перевозкам опасных грузов</w:t>
      </w:r>
    </w:p>
    <w:p w:rsidR="00022864" w:rsidRPr="000D2D39" w:rsidRDefault="00022864" w:rsidP="00022864">
      <w:pPr>
        <w:spacing w:before="120"/>
        <w:rPr>
          <w:b/>
        </w:rPr>
      </w:pPr>
      <w:r>
        <w:rPr>
          <w:b/>
          <w:bCs/>
        </w:rPr>
        <w:t xml:space="preserve">Совместное совещание Комиссии экспертов МПОГ </w:t>
      </w:r>
      <w:r w:rsidR="00AB46AF">
        <w:rPr>
          <w:b/>
          <w:bCs/>
        </w:rPr>
        <w:br/>
      </w:r>
      <w:r>
        <w:rPr>
          <w:b/>
          <w:bCs/>
        </w:rPr>
        <w:t>и Рабочей группы по перевозкам опасных грузов</w:t>
      </w:r>
    </w:p>
    <w:p w:rsidR="00022864" w:rsidRPr="000D2D39" w:rsidRDefault="00022864" w:rsidP="00022864">
      <w:r>
        <w:t>Берн, 16–20 марта 2020 года</w:t>
      </w:r>
    </w:p>
    <w:p w:rsidR="00022864" w:rsidRPr="000D2D39" w:rsidRDefault="00022864" w:rsidP="00022864">
      <w:r>
        <w:t>Пункт 4 предварительной повестки дня</w:t>
      </w:r>
    </w:p>
    <w:p w:rsidR="00022864" w:rsidRPr="000D2D39" w:rsidRDefault="00022864" w:rsidP="00022864">
      <w:pPr>
        <w:rPr>
          <w:b/>
        </w:rPr>
      </w:pPr>
      <w:r>
        <w:rPr>
          <w:b/>
          <w:bCs/>
        </w:rPr>
        <w:t>Толкование МПОГ/ДОПОГ/ВОПОГ</w:t>
      </w:r>
    </w:p>
    <w:p w:rsidR="00022864" w:rsidRPr="000D2D39" w:rsidRDefault="00022864" w:rsidP="00022864">
      <w:pPr>
        <w:pStyle w:val="HChG"/>
      </w:pPr>
      <w:r>
        <w:tab/>
      </w:r>
      <w:r>
        <w:tab/>
      </w:r>
      <w:r>
        <w:rPr>
          <w:bCs/>
        </w:rPr>
        <w:t>Просьба о толковании положения пункта 3.4.7.1</w:t>
      </w:r>
    </w:p>
    <w:p w:rsidR="00022864" w:rsidRPr="000D2D39" w:rsidRDefault="00022864" w:rsidP="00AB46AF">
      <w:pPr>
        <w:pStyle w:val="H1G"/>
        <w:rPr>
          <w:szCs w:val="24"/>
        </w:rPr>
      </w:pPr>
      <w:r>
        <w:tab/>
      </w:r>
      <w:r>
        <w:tab/>
        <w:t>Передано правительством Польши</w:t>
      </w:r>
      <w:r w:rsidRPr="00AB46AF">
        <w:rPr>
          <w:rStyle w:val="FootnoteReference"/>
          <w:b w:val="0"/>
          <w:bCs/>
          <w:sz w:val="20"/>
          <w:vertAlign w:val="baseline"/>
        </w:rPr>
        <w:footnoteReference w:customMarkFollows="1" w:id="1"/>
        <w:t>*</w:t>
      </w:r>
      <w:r>
        <w:t xml:space="preserve"> </w:t>
      </w:r>
      <w:r w:rsidRPr="00AB46AF">
        <w:rPr>
          <w:rStyle w:val="FootnoteReference"/>
          <w:b w:val="0"/>
          <w:bCs/>
          <w:sz w:val="20"/>
          <w:vertAlign w:val="baseline"/>
        </w:rPr>
        <w:footnoteReference w:customMarkFollows="1" w:id="2"/>
        <w:t>**</w:t>
      </w:r>
      <w:bookmarkStart w:id="1" w:name="_Hlk27131928"/>
      <w:bookmarkEnd w:id="1"/>
    </w:p>
    <w:p w:rsidR="00022864" w:rsidRPr="000D2D39" w:rsidRDefault="00022864" w:rsidP="00022864">
      <w:pPr>
        <w:pStyle w:val="HChG"/>
        <w:rPr>
          <w:w w:val="110"/>
        </w:rPr>
      </w:pPr>
      <w:r>
        <w:tab/>
      </w:r>
      <w:r>
        <w:tab/>
      </w:r>
      <w:r>
        <w:rPr>
          <w:bCs/>
        </w:rPr>
        <w:t>Введение</w:t>
      </w:r>
    </w:p>
    <w:p w:rsidR="00022864" w:rsidRPr="000D2D39" w:rsidRDefault="00022864" w:rsidP="00022864">
      <w:pPr>
        <w:pStyle w:val="SingleTxtG"/>
        <w:rPr>
          <w:w w:val="105"/>
        </w:rPr>
      </w:pPr>
      <w:r>
        <w:t>1.</w:t>
      </w:r>
      <w:r>
        <w:tab/>
        <w:t>Согласно пункту 3.4.7.1 ДОПОГ, «Центральная часть должна быть белого или подходящего контрастного цвета.»</w:t>
      </w:r>
    </w:p>
    <w:p w:rsidR="00022864" w:rsidRPr="000D2D39" w:rsidRDefault="00022864" w:rsidP="00022864">
      <w:pPr>
        <w:pStyle w:val="SingleTxtG"/>
        <w:rPr>
          <w:w w:val="105"/>
        </w:rPr>
      </w:pPr>
      <w:r>
        <w:t>2.</w:t>
      </w:r>
      <w:r>
        <w:tab/>
      </w:r>
      <w:r>
        <w:rPr>
          <w:u w:val="single"/>
        </w:rPr>
        <w:t>С чем</w:t>
      </w:r>
      <w:r>
        <w:t xml:space="preserve"> должна контрастировать центральная часть? С контуром черного цвета или с цветом фона?</w:t>
      </w:r>
    </w:p>
    <w:p w:rsidR="00022864" w:rsidRDefault="00022864" w:rsidP="00022864">
      <w:pPr>
        <w:pStyle w:val="SingleTxtG"/>
      </w:pPr>
      <w:r>
        <w:t>3.</w:t>
      </w:r>
      <w:r>
        <w:tab/>
        <w:t>Обычно используемая маркировка тары представляет собой отпечаток черного контура на серой картонной упаковке. Центральная часть маркировочного знака также имеет серый цвет. Серая центральная часть контрастирует с черным контуром, но не контрастирует с серым фоном. Данное положение является двусмысленным, поскольку оно предусматривает, что центральная часть должна быть белого цвета или контрастного цвета, однако не уточняется, с чем она должна контрастировать. Если предположить, что она должна контрастировать с поверхностью, на которой был размещен знак, то отпечаток линии на картонной упаковке не соответствует этому требованию (см. приложение). Здесь следует отметить, что неточность указанного положения приводит также к различиям в толковании положений, касающихся маркировочного знака LQ.</w:t>
      </w:r>
    </w:p>
    <w:p w:rsidR="00022864" w:rsidRDefault="00022864">
      <w:pPr>
        <w:suppressAutoHyphens w:val="0"/>
        <w:spacing w:line="240" w:lineRule="auto"/>
        <w:rPr>
          <w:rFonts w:eastAsia="Times New Roman" w:cs="Times New Roman"/>
          <w:szCs w:val="20"/>
        </w:rPr>
      </w:pPr>
      <w:r>
        <w:br w:type="page"/>
      </w:r>
    </w:p>
    <w:p w:rsidR="00022864" w:rsidRDefault="00022864" w:rsidP="00042D62">
      <w:pPr>
        <w:pStyle w:val="HChG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3770365" wp14:editId="07C9FD81">
            <wp:simplePos x="0" y="0"/>
            <wp:positionH relativeFrom="column">
              <wp:posOffset>21184</wp:posOffset>
            </wp:positionH>
            <wp:positionV relativeFrom="paragraph">
              <wp:posOffset>379730</wp:posOffset>
            </wp:positionV>
            <wp:extent cx="6234430" cy="4677410"/>
            <wp:effectExtent l="0" t="0" r="0" b="8890"/>
            <wp:wrapTight wrapText="bothSides">
              <wp:wrapPolygon edited="0">
                <wp:start x="0" y="0"/>
                <wp:lineTo x="0" y="21553"/>
                <wp:lineTo x="21516" y="21553"/>
                <wp:lineTo x="21516" y="0"/>
                <wp:lineTo x="0" y="0"/>
              </wp:wrapPolygon>
            </wp:wrapTight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467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042D62">
        <w:t>Приложение</w:t>
      </w:r>
    </w:p>
    <w:p w:rsidR="00022864" w:rsidRPr="00022864" w:rsidRDefault="00022864" w:rsidP="00022864">
      <w:pPr>
        <w:pStyle w:val="SingleTxtG"/>
        <w:spacing w:before="36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022864" w:rsidRPr="00022864" w:rsidSect="000228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030A" w:rsidRPr="00A312BC" w:rsidRDefault="00E7030A" w:rsidP="00A312BC"/>
  </w:endnote>
  <w:endnote w:type="continuationSeparator" w:id="0">
    <w:p w:rsidR="00E7030A" w:rsidRPr="00A312BC" w:rsidRDefault="00E7030A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39T30Lfz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864" w:rsidRPr="00022864" w:rsidRDefault="00022864">
    <w:pPr>
      <w:pStyle w:val="Footer"/>
    </w:pPr>
    <w:r w:rsidRPr="00022864">
      <w:rPr>
        <w:b/>
        <w:sz w:val="18"/>
      </w:rPr>
      <w:fldChar w:fldCharType="begin"/>
    </w:r>
    <w:r w:rsidRPr="00022864">
      <w:rPr>
        <w:b/>
        <w:sz w:val="18"/>
      </w:rPr>
      <w:instrText xml:space="preserve"> PAGE  \* MERGEFORMAT </w:instrText>
    </w:r>
    <w:r w:rsidRPr="00022864">
      <w:rPr>
        <w:b/>
        <w:sz w:val="18"/>
      </w:rPr>
      <w:fldChar w:fldCharType="separate"/>
    </w:r>
    <w:r w:rsidR="00AE6D9F">
      <w:rPr>
        <w:b/>
        <w:noProof/>
        <w:sz w:val="18"/>
      </w:rPr>
      <w:t>2</w:t>
    </w:r>
    <w:r w:rsidRPr="00022864">
      <w:rPr>
        <w:b/>
        <w:sz w:val="18"/>
      </w:rPr>
      <w:fldChar w:fldCharType="end"/>
    </w:r>
    <w:r>
      <w:rPr>
        <w:b/>
        <w:sz w:val="18"/>
      </w:rPr>
      <w:tab/>
    </w:r>
    <w:r>
      <w:t>GE.20-00092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864" w:rsidRPr="00022864" w:rsidRDefault="00022864" w:rsidP="00022864">
    <w:pPr>
      <w:pStyle w:val="Footer"/>
      <w:tabs>
        <w:tab w:val="clear" w:pos="9639"/>
        <w:tab w:val="right" w:pos="9638"/>
      </w:tabs>
      <w:rPr>
        <w:b/>
        <w:sz w:val="18"/>
      </w:rPr>
    </w:pPr>
    <w:r>
      <w:t>GE.20-00092</w:t>
    </w:r>
    <w:r>
      <w:tab/>
    </w:r>
    <w:r w:rsidRPr="00022864">
      <w:rPr>
        <w:b/>
        <w:sz w:val="18"/>
      </w:rPr>
      <w:fldChar w:fldCharType="begin"/>
    </w:r>
    <w:r w:rsidRPr="00022864">
      <w:rPr>
        <w:b/>
        <w:sz w:val="18"/>
      </w:rPr>
      <w:instrText xml:space="preserve"> PAGE  \* MERGEFORMAT </w:instrText>
    </w:r>
    <w:r w:rsidRPr="00022864">
      <w:rPr>
        <w:b/>
        <w:sz w:val="18"/>
      </w:rPr>
      <w:fldChar w:fldCharType="separate"/>
    </w:r>
    <w:r>
      <w:rPr>
        <w:b/>
        <w:noProof/>
        <w:sz w:val="18"/>
      </w:rPr>
      <w:t>3</w:t>
    </w:r>
    <w:r w:rsidRPr="00022864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B72" w:rsidRPr="00022864" w:rsidRDefault="00022864" w:rsidP="00022864">
    <w:pPr>
      <w:spacing w:before="120" w:line="240" w:lineRule="auto"/>
    </w:pPr>
    <w:r>
      <w:t>GE.</w:t>
    </w:r>
    <w:r w:rsidR="00DF71B9">
      <w:rPr>
        <w:b/>
        <w:noProof/>
        <w:lang w:eastAsia="ru-RU"/>
      </w:rPr>
      <w:drawing>
        <wp:anchor distT="0" distB="0" distL="114300" distR="114300" simplePos="0" relativeHeight="251658240" behindDoc="0" locked="0" layoutInCell="1" allowOverlap="1" wp14:anchorId="698A042D" wp14:editId="6ECF2596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20-00092  (R)</w:t>
    </w:r>
    <w:r>
      <w:rPr>
        <w:lang w:val="en-US"/>
      </w:rPr>
      <w:t xml:space="preserve">  070120  070120</w:t>
    </w:r>
    <w:r>
      <w:br/>
    </w:r>
    <w:r w:rsidRPr="00022864">
      <w:rPr>
        <w:rFonts w:ascii="C39T30Lfz" w:hAnsi="C39T30Lfz"/>
        <w:kern w:val="14"/>
        <w:sz w:val="56"/>
      </w:rPr>
      <w:t></w:t>
    </w:r>
    <w:r w:rsidRPr="00022864">
      <w:rPr>
        <w:rFonts w:ascii="C39T30Lfz" w:hAnsi="C39T30Lfz"/>
        <w:kern w:val="14"/>
        <w:sz w:val="56"/>
      </w:rPr>
      <w:t></w:t>
    </w:r>
    <w:r w:rsidRPr="00022864">
      <w:rPr>
        <w:rFonts w:ascii="C39T30Lfz" w:hAnsi="C39T30Lfz"/>
        <w:kern w:val="14"/>
        <w:sz w:val="56"/>
      </w:rPr>
      <w:t></w:t>
    </w:r>
    <w:r w:rsidRPr="00022864">
      <w:rPr>
        <w:rFonts w:ascii="C39T30Lfz" w:hAnsi="C39T30Lfz"/>
        <w:kern w:val="14"/>
        <w:sz w:val="56"/>
      </w:rPr>
      <w:t></w:t>
    </w:r>
    <w:r w:rsidRPr="00022864">
      <w:rPr>
        <w:rFonts w:ascii="C39T30Lfz" w:hAnsi="C39T30Lfz"/>
        <w:kern w:val="14"/>
        <w:sz w:val="56"/>
      </w:rPr>
      <w:t></w:t>
    </w:r>
    <w:r w:rsidRPr="00022864">
      <w:rPr>
        <w:rFonts w:ascii="C39T30Lfz" w:hAnsi="C39T30Lfz"/>
        <w:kern w:val="14"/>
        <w:sz w:val="56"/>
      </w:rPr>
      <w:t></w:t>
    </w:r>
    <w:r w:rsidRPr="00022864">
      <w:rPr>
        <w:rFonts w:ascii="C39T30Lfz" w:hAnsi="C39T30Lfz"/>
        <w:kern w:val="14"/>
        <w:sz w:val="56"/>
      </w:rPr>
      <w:t></w:t>
    </w:r>
    <w:r w:rsidRPr="00022864">
      <w:rPr>
        <w:rFonts w:ascii="C39T30Lfz" w:hAnsi="C39T30Lfz"/>
        <w:kern w:val="14"/>
        <w:sz w:val="56"/>
      </w:rPr>
      <w:t></w:t>
    </w:r>
    <w:r w:rsidRPr="00022864">
      <w:rPr>
        <w:rFonts w:ascii="C39T30Lfz" w:hAnsi="C39T30Lfz"/>
        <w:kern w:val="14"/>
        <w:sz w:val="56"/>
      </w:rPr>
      <w:t></w:t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 descr="https://undocs.org/m2/QRCode.ashx?DS=ECE/TRANS/WP.15/AC.1/2020/27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15/AC.1/2020/27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030A" w:rsidRPr="001075E9" w:rsidRDefault="00E7030A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E7030A" w:rsidRDefault="00E7030A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022864" w:rsidRPr="007656E4" w:rsidRDefault="00022864" w:rsidP="00022864">
      <w:pPr>
        <w:pStyle w:val="FootnoteText"/>
      </w:pPr>
      <w:r>
        <w:tab/>
      </w:r>
      <w:r w:rsidRPr="00022864">
        <w:rPr>
          <w:sz w:val="20"/>
        </w:rPr>
        <w:t>*</w:t>
      </w:r>
      <w:r w:rsidRPr="006D0C75">
        <w:tab/>
      </w:r>
      <w:r w:rsidRPr="006D0C75">
        <w:rPr>
          <w:rFonts w:eastAsia="DengXian"/>
        </w:rPr>
        <w:t>2020 год (</w:t>
      </w:r>
      <w:r w:rsidRPr="006D0C75">
        <w:rPr>
          <w:rFonts w:eastAsia="DengXian"/>
          <w:lang w:val="en-US"/>
        </w:rPr>
        <w:t>A</w:t>
      </w:r>
      <w:r w:rsidRPr="006D0C75">
        <w:rPr>
          <w:rFonts w:eastAsia="DengXian"/>
        </w:rPr>
        <w:t>/74/6 (Раздел 20) и дополнительная информация, Подпрограмма 2).</w:t>
      </w:r>
    </w:p>
  </w:footnote>
  <w:footnote w:id="2">
    <w:p w:rsidR="00022864" w:rsidRPr="000D2D39" w:rsidRDefault="00022864" w:rsidP="00022864">
      <w:pPr>
        <w:pStyle w:val="FootnoteText"/>
        <w:rPr>
          <w:sz w:val="20"/>
        </w:rPr>
      </w:pPr>
      <w:r>
        <w:tab/>
      </w:r>
      <w:r w:rsidRPr="00022864">
        <w:rPr>
          <w:sz w:val="20"/>
        </w:rPr>
        <w:t>**</w:t>
      </w:r>
      <w:r>
        <w:tab/>
        <w:t>Распространено Межправительственной организацией по международным железнодорожным перевозкам (ОТИФ) под условным обозначением OTIF/RID/RC/2020/27.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864" w:rsidRPr="00022864" w:rsidRDefault="00E00EEB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AE6D9F">
      <w:t>ECE/TRANS/WP.15/AC.1/2020/27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864" w:rsidRPr="00022864" w:rsidRDefault="00E00EEB" w:rsidP="00022864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AE6D9F">
      <w:t>ECE/TRANS/WP.15/AC.1/2020/27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864" w:rsidRDefault="00022864" w:rsidP="00022864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17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5"/>
  </w:num>
  <w:num w:numId="17">
    <w:abstractNumId w:val="12"/>
  </w:num>
  <w:num w:numId="18">
    <w:abstractNumId w:val="14"/>
  </w:num>
  <w:num w:numId="19">
    <w:abstractNumId w:val="15"/>
  </w:num>
  <w:num w:numId="20">
    <w:abstractNumId w:val="12"/>
  </w:num>
  <w:num w:numId="21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30A"/>
    <w:rsid w:val="00022864"/>
    <w:rsid w:val="00033EE1"/>
    <w:rsid w:val="00042B72"/>
    <w:rsid w:val="00042D62"/>
    <w:rsid w:val="000558BD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255343"/>
    <w:rsid w:val="0027151D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3E0B46"/>
    <w:rsid w:val="00407B78"/>
    <w:rsid w:val="00424203"/>
    <w:rsid w:val="00452493"/>
    <w:rsid w:val="00453318"/>
    <w:rsid w:val="00454AF2"/>
    <w:rsid w:val="00454E07"/>
    <w:rsid w:val="00472C5C"/>
    <w:rsid w:val="004E05B7"/>
    <w:rsid w:val="0050108D"/>
    <w:rsid w:val="00513081"/>
    <w:rsid w:val="00517901"/>
    <w:rsid w:val="00526683"/>
    <w:rsid w:val="005368B1"/>
    <w:rsid w:val="005639C1"/>
    <w:rsid w:val="005709E0"/>
    <w:rsid w:val="00572E19"/>
    <w:rsid w:val="005961C8"/>
    <w:rsid w:val="005966F1"/>
    <w:rsid w:val="005D7914"/>
    <w:rsid w:val="005E2B41"/>
    <w:rsid w:val="005F0B42"/>
    <w:rsid w:val="00617A43"/>
    <w:rsid w:val="006345DB"/>
    <w:rsid w:val="00640F49"/>
    <w:rsid w:val="00680D03"/>
    <w:rsid w:val="00681A10"/>
    <w:rsid w:val="006A1ED8"/>
    <w:rsid w:val="006A482C"/>
    <w:rsid w:val="006C2031"/>
    <w:rsid w:val="006D461A"/>
    <w:rsid w:val="006F35EE"/>
    <w:rsid w:val="007021FF"/>
    <w:rsid w:val="00712895"/>
    <w:rsid w:val="00734ACB"/>
    <w:rsid w:val="007530A4"/>
    <w:rsid w:val="00757357"/>
    <w:rsid w:val="00792497"/>
    <w:rsid w:val="00806737"/>
    <w:rsid w:val="00825F8D"/>
    <w:rsid w:val="00834B71"/>
    <w:rsid w:val="0086445C"/>
    <w:rsid w:val="00894693"/>
    <w:rsid w:val="008A08D7"/>
    <w:rsid w:val="008A37C8"/>
    <w:rsid w:val="008B6909"/>
    <w:rsid w:val="008D53B6"/>
    <w:rsid w:val="008F7609"/>
    <w:rsid w:val="00906890"/>
    <w:rsid w:val="00911BE4"/>
    <w:rsid w:val="00951972"/>
    <w:rsid w:val="009608F3"/>
    <w:rsid w:val="009A24AC"/>
    <w:rsid w:val="009C59D7"/>
    <w:rsid w:val="009C6FE6"/>
    <w:rsid w:val="009D7E7D"/>
    <w:rsid w:val="00A14DA8"/>
    <w:rsid w:val="00A312BC"/>
    <w:rsid w:val="00A84021"/>
    <w:rsid w:val="00A84D35"/>
    <w:rsid w:val="00A917B3"/>
    <w:rsid w:val="00AB46AF"/>
    <w:rsid w:val="00AB4B51"/>
    <w:rsid w:val="00AE6D9F"/>
    <w:rsid w:val="00B10CC7"/>
    <w:rsid w:val="00B36DF7"/>
    <w:rsid w:val="00B539E7"/>
    <w:rsid w:val="00B62458"/>
    <w:rsid w:val="00BC18B2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B151C"/>
    <w:rsid w:val="00CE5A1A"/>
    <w:rsid w:val="00CF55F6"/>
    <w:rsid w:val="00D33D63"/>
    <w:rsid w:val="00D5253A"/>
    <w:rsid w:val="00D71C22"/>
    <w:rsid w:val="00D84575"/>
    <w:rsid w:val="00D873A8"/>
    <w:rsid w:val="00D90028"/>
    <w:rsid w:val="00D90138"/>
    <w:rsid w:val="00D9145B"/>
    <w:rsid w:val="00DD7454"/>
    <w:rsid w:val="00DD78D1"/>
    <w:rsid w:val="00DE32CD"/>
    <w:rsid w:val="00DF5767"/>
    <w:rsid w:val="00DF71B9"/>
    <w:rsid w:val="00E00EEB"/>
    <w:rsid w:val="00E12C5F"/>
    <w:rsid w:val="00E53461"/>
    <w:rsid w:val="00E7030A"/>
    <w:rsid w:val="00E73F76"/>
    <w:rsid w:val="00EA2C9F"/>
    <w:rsid w:val="00EA420E"/>
    <w:rsid w:val="00ED0BDA"/>
    <w:rsid w:val="00EE142A"/>
    <w:rsid w:val="00EF1360"/>
    <w:rsid w:val="00EF3220"/>
    <w:rsid w:val="00F2523A"/>
    <w:rsid w:val="00F43903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CE8B9CC8-4115-47D7-B093-8D0E3C4B3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Heading1">
    <w:name w:val="heading 1"/>
    <w:aliases w:val="Table_G"/>
    <w:basedOn w:val="Normal"/>
    <w:next w:val="Normal"/>
    <w:link w:val="Heading1Char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Normal"/>
    <w:next w:val="Normal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Normal"/>
    <w:next w:val="Normal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Normal"/>
    <w:link w:val="SingleTxtGChar"/>
    <w:qFormat/>
    <w:rsid w:val="00C71E84"/>
    <w:pPr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Normal"/>
    <w:next w:val="Normal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Normal"/>
    <w:next w:val="Normal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Normal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Normal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Normal"/>
    <w:next w:val="Normal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"/>
    <w:basedOn w:val="Normal"/>
    <w:next w:val="Normal"/>
    <w:link w:val="HeaderChar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 Char"/>
    <w:basedOn w:val="DefaultParagraphFont"/>
    <w:link w:val="Header"/>
    <w:rsid w:val="00617A43"/>
    <w:rPr>
      <w:b/>
      <w:sz w:val="18"/>
      <w:lang w:val="en-GB" w:eastAsia="ru-RU"/>
    </w:rPr>
  </w:style>
  <w:style w:type="character" w:styleId="PageNumber">
    <w:name w:val="page number"/>
    <w:aliases w:val="7_G"/>
    <w:basedOn w:val="DefaultParagraphFont"/>
    <w:qFormat/>
    <w:rsid w:val="00617A43"/>
    <w:rPr>
      <w:rFonts w:ascii="Times New Roman" w:hAnsi="Times New Roman"/>
      <w:b/>
      <w:sz w:val="18"/>
    </w:rPr>
  </w:style>
  <w:style w:type="paragraph" w:styleId="Footer">
    <w:name w:val="footer"/>
    <w:aliases w:val="3_G"/>
    <w:basedOn w:val="Normal"/>
    <w:link w:val="FooterChar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 Char"/>
    <w:basedOn w:val="DefaultParagraphFont"/>
    <w:link w:val="Footer"/>
    <w:rsid w:val="00617A43"/>
    <w:rPr>
      <w:sz w:val="16"/>
      <w:lang w:val="en-GB" w:eastAsia="ru-RU"/>
    </w:rPr>
  </w:style>
  <w:style w:type="character" w:styleId="FootnoteReference">
    <w:name w:val="footnote reference"/>
    <w:aliases w:val="4_G,Footnote Reference/,4_GR"/>
    <w:basedOn w:val="DefaultParagraphFont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"/>
    <w:basedOn w:val="FootnoteReference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uiPriority w:val="59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FootnoteText">
    <w:name w:val="footnote text"/>
    <w:aliases w:val="5_G,5_GR"/>
    <w:basedOn w:val="Normal"/>
    <w:link w:val="FootnoteTextChar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FootnoteTextChar">
    <w:name w:val="Footnote Text Char"/>
    <w:aliases w:val="5_G Char,5_GR Char"/>
    <w:basedOn w:val="DefaultParagraphFont"/>
    <w:link w:val="FootnoteText"/>
    <w:rsid w:val="00617A43"/>
    <w:rPr>
      <w:sz w:val="18"/>
      <w:lang w:val="ru-RU" w:eastAsia="ru-RU"/>
    </w:rPr>
  </w:style>
  <w:style w:type="paragraph" w:styleId="EndnoteText">
    <w:name w:val="endnote text"/>
    <w:aliases w:val="2_G"/>
    <w:basedOn w:val="FootnoteText"/>
    <w:link w:val="EndnoteTextChar"/>
    <w:qFormat/>
    <w:rsid w:val="00617A43"/>
  </w:style>
  <w:style w:type="character" w:customStyle="1" w:styleId="EndnoteTextChar">
    <w:name w:val="Endnote Text Char"/>
    <w:aliases w:val="2_G Char"/>
    <w:basedOn w:val="DefaultParagraphFont"/>
    <w:link w:val="EndnoteText"/>
    <w:rsid w:val="00617A43"/>
    <w:rPr>
      <w:sz w:val="18"/>
      <w:lang w:val="ru-RU" w:eastAsia="ru-RU"/>
    </w:rPr>
  </w:style>
  <w:style w:type="character" w:customStyle="1" w:styleId="Heading1Char">
    <w:name w:val="Heading 1 Char"/>
    <w:aliases w:val="Table_G Char"/>
    <w:basedOn w:val="DefaultParagraphFont"/>
    <w:link w:val="Heading1"/>
    <w:rsid w:val="00617A43"/>
    <w:rPr>
      <w:rFonts w:cs="Arial"/>
      <w:b/>
      <w:bCs/>
      <w:szCs w:val="32"/>
      <w:lang w:val="ru-RU" w:eastAsia="ru-RU"/>
    </w:rPr>
  </w:style>
  <w:style w:type="character" w:styleId="Hyperlink">
    <w:name w:val="Hyperlink"/>
    <w:basedOn w:val="DefaultParagraphFont"/>
    <w:rsid w:val="00617A43"/>
    <w:rPr>
      <w:color w:val="0000FF" w:themeColor="hyperlink"/>
      <w:u w:val="none"/>
    </w:rPr>
  </w:style>
  <w:style w:type="character" w:styleId="FollowedHyperlink">
    <w:name w:val="FollowedHyperlink"/>
    <w:basedOn w:val="DefaultParagraphFont"/>
    <w:rsid w:val="00617A43"/>
    <w:rPr>
      <w:color w:val="800080" w:themeColor="followedHyperlink"/>
      <w:u w:val="none"/>
    </w:rPr>
  </w:style>
  <w:style w:type="character" w:customStyle="1" w:styleId="SingleTxtGChar">
    <w:name w:val="_ Single Txt_G Char"/>
    <w:link w:val="SingleTxtG"/>
    <w:qFormat/>
    <w:locked/>
    <w:rsid w:val="00022864"/>
    <w:rPr>
      <w:lang w:val="ru-RU" w:eastAsia="en-US"/>
    </w:rPr>
  </w:style>
  <w:style w:type="character" w:customStyle="1" w:styleId="HChGChar">
    <w:name w:val="_ H _Ch_G Char"/>
    <w:link w:val="HChG"/>
    <w:rsid w:val="00022864"/>
    <w:rPr>
      <w:b/>
      <w:sz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ECE/TRANS/WP.15/AC.1/2020/27</vt:lpstr>
      <vt:lpstr>ECE/TRANS/WP.15/AC.1/2020/27</vt:lpstr>
      <vt:lpstr>A/</vt:lpstr>
    </vt:vector>
  </TitlesOfParts>
  <Company>DCM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ECE/TRANS/WP.15/AC.1/2020/27</dc:title>
  <dc:subject/>
  <dc:creator>Olga OVTCHINNIKOVA</dc:creator>
  <cp:keywords/>
  <cp:lastModifiedBy>Christine Barrio-Champeau</cp:lastModifiedBy>
  <cp:revision>2</cp:revision>
  <cp:lastPrinted>2020-01-07T09:50:00Z</cp:lastPrinted>
  <dcterms:created xsi:type="dcterms:W3CDTF">2020-01-23T11:00:00Z</dcterms:created>
  <dcterms:modified xsi:type="dcterms:W3CDTF">2020-01-23T11:00:00Z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