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B20551">
        <w:trPr>
          <w:cantSplit/>
          <w:trHeight w:hRule="exact" w:val="851"/>
        </w:trPr>
        <w:tc>
          <w:tcPr>
            <w:tcW w:w="1276" w:type="dxa"/>
            <w:tcBorders>
              <w:bottom w:val="single" w:sz="4" w:space="0" w:color="auto"/>
            </w:tcBorders>
            <w:vAlign w:val="bottom"/>
          </w:tcPr>
          <w:p w:rsidR="009E6CB7" w:rsidRDefault="009E6CB7" w:rsidP="00B20551">
            <w:pPr>
              <w:spacing w:after="80"/>
            </w:pPr>
          </w:p>
        </w:tc>
        <w:tc>
          <w:tcPr>
            <w:tcW w:w="2268" w:type="dxa"/>
            <w:tcBorders>
              <w:bottom w:val="single" w:sz="4" w:space="0" w:color="auto"/>
            </w:tcBorders>
            <w:vAlign w:val="bottom"/>
          </w:tcPr>
          <w:p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384C1A" w:rsidP="00384C1A">
            <w:pPr>
              <w:jc w:val="right"/>
            </w:pPr>
            <w:r w:rsidRPr="00384C1A">
              <w:rPr>
                <w:sz w:val="40"/>
              </w:rPr>
              <w:t>ECE</w:t>
            </w:r>
            <w:r>
              <w:t>/TRANS/WP.15/AC.1/2020/27</w:t>
            </w:r>
          </w:p>
        </w:tc>
      </w:tr>
      <w:tr w:rsidR="009E6CB7" w:rsidTr="00B20551">
        <w:trPr>
          <w:cantSplit/>
          <w:trHeight w:hRule="exact" w:val="2835"/>
        </w:trPr>
        <w:tc>
          <w:tcPr>
            <w:tcW w:w="1276" w:type="dxa"/>
            <w:tcBorders>
              <w:top w:val="single" w:sz="4" w:space="0" w:color="auto"/>
              <w:bottom w:val="single" w:sz="12" w:space="0" w:color="auto"/>
            </w:tcBorders>
          </w:tcPr>
          <w:p w:rsidR="009E6CB7" w:rsidRDefault="00686A48" w:rsidP="00B20551">
            <w:pPr>
              <w:spacing w:before="120"/>
            </w:pPr>
            <w:r>
              <w:rPr>
                <w:noProof/>
                <w:lang w:val="fr-CH" w:eastAsia="fr-CH"/>
              </w:rPr>
              <w:drawing>
                <wp:inline distT="0" distB="0" distL="0" distR="0" wp14:anchorId="663DC0CA" wp14:editId="6A19E84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384C1A" w:rsidP="00384C1A">
            <w:pPr>
              <w:spacing w:before="240" w:line="240" w:lineRule="exact"/>
            </w:pPr>
            <w:r>
              <w:t>Distr.: General</w:t>
            </w:r>
          </w:p>
          <w:p w:rsidR="00384C1A" w:rsidRDefault="00670113" w:rsidP="00384C1A">
            <w:pPr>
              <w:spacing w:line="240" w:lineRule="exact"/>
            </w:pPr>
            <w:r>
              <w:t>6 January 2020</w:t>
            </w:r>
          </w:p>
          <w:p w:rsidR="00384C1A" w:rsidRDefault="00384C1A" w:rsidP="00384C1A">
            <w:pPr>
              <w:spacing w:line="240" w:lineRule="exact"/>
            </w:pPr>
          </w:p>
          <w:p w:rsidR="00384C1A" w:rsidRDefault="00384C1A" w:rsidP="00384C1A">
            <w:pPr>
              <w:spacing w:line="240" w:lineRule="exact"/>
            </w:pPr>
            <w:r>
              <w:t>Original: English</w:t>
            </w:r>
          </w:p>
        </w:tc>
      </w:tr>
    </w:tbl>
    <w:p w:rsidR="008B6191" w:rsidRDefault="008B6191" w:rsidP="008B6191">
      <w:pPr>
        <w:spacing w:before="120"/>
        <w:rPr>
          <w:b/>
          <w:sz w:val="28"/>
          <w:szCs w:val="28"/>
        </w:rPr>
      </w:pPr>
      <w:r>
        <w:rPr>
          <w:b/>
          <w:sz w:val="28"/>
          <w:szCs w:val="28"/>
        </w:rPr>
        <w:t>Economic Commission for Europe</w:t>
      </w:r>
    </w:p>
    <w:p w:rsidR="008B6191" w:rsidRPr="008268C5" w:rsidRDefault="008B6191" w:rsidP="008B6191">
      <w:pPr>
        <w:spacing w:before="120"/>
        <w:rPr>
          <w:sz w:val="28"/>
          <w:szCs w:val="28"/>
        </w:rPr>
      </w:pPr>
      <w:r w:rsidRPr="008268C5">
        <w:rPr>
          <w:sz w:val="28"/>
          <w:szCs w:val="28"/>
        </w:rPr>
        <w:t>Inland Transport Committee</w:t>
      </w:r>
    </w:p>
    <w:p w:rsidR="008B6191" w:rsidRPr="008268C5" w:rsidRDefault="008B6191" w:rsidP="008B6191">
      <w:pPr>
        <w:spacing w:before="120"/>
        <w:rPr>
          <w:b/>
          <w:sz w:val="24"/>
          <w:szCs w:val="24"/>
        </w:rPr>
      </w:pPr>
      <w:r w:rsidRPr="008268C5">
        <w:rPr>
          <w:b/>
          <w:sz w:val="24"/>
          <w:szCs w:val="24"/>
        </w:rPr>
        <w:t>Working Party on the Transport of Dangerous Goods</w:t>
      </w:r>
    </w:p>
    <w:p w:rsidR="008B6191" w:rsidRPr="008268C5" w:rsidRDefault="008B6191" w:rsidP="008B6191">
      <w:pPr>
        <w:spacing w:before="120"/>
        <w:rPr>
          <w:b/>
        </w:rPr>
      </w:pPr>
      <w:r>
        <w:rPr>
          <w:b/>
        </w:rPr>
        <w:t>Joint Meeting of the RID Committee of Experts and the</w:t>
      </w:r>
      <w:r>
        <w:rPr>
          <w:b/>
        </w:rPr>
        <w:br/>
        <w:t>Working Party on the Transport of Dangerous Goods</w:t>
      </w:r>
      <w:r w:rsidRPr="008268C5">
        <w:rPr>
          <w:b/>
        </w:rPr>
        <w:tab/>
      </w:r>
      <w:r w:rsidRPr="008268C5">
        <w:rPr>
          <w:b/>
        </w:rPr>
        <w:tab/>
      </w:r>
      <w:r w:rsidRPr="008268C5">
        <w:rPr>
          <w:b/>
        </w:rPr>
        <w:tab/>
      </w:r>
      <w:r w:rsidRPr="008268C5">
        <w:rPr>
          <w:b/>
        </w:rPr>
        <w:tab/>
      </w:r>
      <w:r w:rsidRPr="008268C5">
        <w:rPr>
          <w:b/>
        </w:rPr>
        <w:tab/>
      </w:r>
      <w:r>
        <w:rPr>
          <w:b/>
        </w:rPr>
        <w:tab/>
      </w:r>
    </w:p>
    <w:p w:rsidR="008B6191" w:rsidRDefault="008B6191" w:rsidP="008B6191">
      <w:r>
        <w:t>Bern</w:t>
      </w:r>
      <w:r w:rsidRPr="008268C5">
        <w:t>,</w:t>
      </w:r>
      <w:r>
        <w:t xml:space="preserve"> 16-20 March</w:t>
      </w:r>
      <w:r w:rsidRPr="008268C5">
        <w:t xml:space="preserve"> 20</w:t>
      </w:r>
      <w:r>
        <w:t>20</w:t>
      </w:r>
    </w:p>
    <w:p w:rsidR="008B6191" w:rsidRPr="008268C5" w:rsidRDefault="008B6191" w:rsidP="008B6191">
      <w:r>
        <w:t>Item 4 of the provisional agenda</w:t>
      </w:r>
    </w:p>
    <w:p w:rsidR="008B6191" w:rsidRPr="00DD2EDF" w:rsidRDefault="008B6191" w:rsidP="008B6191">
      <w:pPr>
        <w:rPr>
          <w:b/>
        </w:rPr>
      </w:pPr>
      <w:r>
        <w:rPr>
          <w:b/>
          <w:bCs/>
        </w:rPr>
        <w:t>Interpretation of RID/ADR/ADN</w:t>
      </w:r>
    </w:p>
    <w:p w:rsidR="008B6191" w:rsidRDefault="008B6191" w:rsidP="008B6191">
      <w:pPr>
        <w:pStyle w:val="HChG"/>
      </w:pPr>
      <w:r>
        <w:tab/>
      </w:r>
      <w:r>
        <w:tab/>
      </w:r>
      <w:r w:rsidRPr="007E1008">
        <w:t>Request for interpretation of the provision of 3.4.7.1.</w:t>
      </w:r>
    </w:p>
    <w:p w:rsidR="008B6191" w:rsidRDefault="008B6191" w:rsidP="008B6191">
      <w:pPr>
        <w:suppressAutoHyphens w:val="0"/>
        <w:spacing w:line="240" w:lineRule="auto"/>
        <w:rPr>
          <w:sz w:val="24"/>
          <w:szCs w:val="24"/>
          <w:lang w:eastAsia="zh-CN"/>
        </w:rPr>
      </w:pPr>
      <w:r w:rsidRPr="00B573A9">
        <w:tab/>
      </w:r>
      <w:r w:rsidRPr="00B573A9">
        <w:tab/>
      </w:r>
      <w:r w:rsidRPr="00550A66">
        <w:rPr>
          <w:rStyle w:val="H1GChar"/>
        </w:rPr>
        <w:t>Transmitted by the Government of Poland</w:t>
      </w:r>
      <w:bookmarkStart w:id="0" w:name="_Hlk27131928"/>
      <w:r w:rsidRPr="00550A66">
        <w:rPr>
          <w:rStyle w:val="FootnoteReference"/>
          <w:b/>
          <w:bCs/>
          <w:sz w:val="20"/>
        </w:rPr>
        <w:footnoteReference w:customMarkFollows="1" w:id="2"/>
        <w:t>*</w:t>
      </w:r>
      <w:r w:rsidRPr="00550A66">
        <w:rPr>
          <w:b/>
          <w:bCs/>
          <w:vertAlign w:val="superscript"/>
        </w:rPr>
        <w:t xml:space="preserve">, </w:t>
      </w:r>
      <w:r w:rsidRPr="00550A66">
        <w:rPr>
          <w:rStyle w:val="FootnoteReference"/>
          <w:b/>
          <w:bCs/>
          <w:sz w:val="20"/>
        </w:rPr>
        <w:footnoteReference w:customMarkFollows="1" w:id="3"/>
        <w:t>**</w:t>
      </w:r>
      <w:bookmarkEnd w:id="0"/>
      <w:r>
        <w:rPr>
          <w:szCs w:val="24"/>
          <w:lang w:eastAsia="zh-CN"/>
        </w:rPr>
        <w:t xml:space="preserve"> </w:t>
      </w:r>
      <w:r>
        <w:rPr>
          <w:lang w:val="en-US" w:eastAsia="ru-RU"/>
        </w:rPr>
        <w:t xml:space="preserve"> </w:t>
      </w:r>
      <w:r>
        <w:rPr>
          <w:sz w:val="24"/>
          <w:szCs w:val="24"/>
          <w:lang w:eastAsia="zh-CN"/>
        </w:rPr>
        <w:t xml:space="preserve"> </w:t>
      </w:r>
    </w:p>
    <w:p w:rsidR="008B6191" w:rsidRPr="00043804" w:rsidRDefault="008B6191" w:rsidP="008B6191">
      <w:pPr>
        <w:pStyle w:val="HChG"/>
        <w:rPr>
          <w:w w:val="110"/>
        </w:rPr>
      </w:pPr>
      <w:r>
        <w:tab/>
      </w:r>
      <w:r>
        <w:tab/>
      </w:r>
      <w:r w:rsidRPr="008B6191">
        <w:t>Introduction</w:t>
      </w:r>
    </w:p>
    <w:p w:rsidR="008B6191" w:rsidRPr="008F5A0A" w:rsidRDefault="008B6191" w:rsidP="008B6191">
      <w:pPr>
        <w:pStyle w:val="SingleTxtG"/>
        <w:rPr>
          <w:w w:val="105"/>
        </w:rPr>
      </w:pPr>
      <w:r>
        <w:rPr>
          <w:w w:val="105"/>
        </w:rPr>
        <w:t>1.</w:t>
      </w:r>
      <w:r>
        <w:rPr>
          <w:w w:val="105"/>
        </w:rPr>
        <w:tab/>
      </w:r>
      <w:r w:rsidRPr="008F5A0A">
        <w:rPr>
          <w:w w:val="105"/>
        </w:rPr>
        <w:t>Pursuant to 3.4</w:t>
      </w:r>
      <w:r>
        <w:rPr>
          <w:w w:val="105"/>
        </w:rPr>
        <w:t>.7.1 of ADR</w:t>
      </w:r>
      <w:r w:rsidRPr="008F5A0A">
        <w:rPr>
          <w:w w:val="105"/>
        </w:rPr>
        <w:t xml:space="preserve"> </w:t>
      </w:r>
      <w:r>
        <w:rPr>
          <w:w w:val="105"/>
        </w:rPr>
        <w:t>“</w:t>
      </w:r>
      <w:r w:rsidRPr="007E1008">
        <w:rPr>
          <w:w w:val="105"/>
        </w:rPr>
        <w:t>The centre area shall be white or a suitable contrasting background.</w:t>
      </w:r>
      <w:r>
        <w:rPr>
          <w:w w:val="105"/>
        </w:rPr>
        <w:t>”</w:t>
      </w:r>
    </w:p>
    <w:p w:rsidR="008B6191" w:rsidRPr="008F5A0A" w:rsidRDefault="008B6191" w:rsidP="008B6191">
      <w:pPr>
        <w:pStyle w:val="SingleTxtG"/>
        <w:rPr>
          <w:w w:val="105"/>
        </w:rPr>
      </w:pPr>
      <w:r>
        <w:rPr>
          <w:w w:val="105"/>
        </w:rPr>
        <w:t>2.</w:t>
      </w:r>
      <w:r>
        <w:rPr>
          <w:w w:val="105"/>
        </w:rPr>
        <w:tab/>
      </w:r>
      <w:r w:rsidRPr="008F5A0A">
        <w:rPr>
          <w:w w:val="105"/>
        </w:rPr>
        <w:t xml:space="preserve">With </w:t>
      </w:r>
      <w:r w:rsidRPr="007E1008">
        <w:rPr>
          <w:w w:val="105"/>
          <w:u w:val="single"/>
        </w:rPr>
        <w:t>what</w:t>
      </w:r>
      <w:r w:rsidRPr="008F5A0A">
        <w:rPr>
          <w:w w:val="105"/>
        </w:rPr>
        <w:t xml:space="preserve"> should the central area be contrasted? With the black surrounding line or with the background colour?</w:t>
      </w:r>
    </w:p>
    <w:p w:rsidR="008B6191" w:rsidRPr="008F5A0A" w:rsidRDefault="008B6191" w:rsidP="008B6191">
      <w:pPr>
        <w:pStyle w:val="SingleTxtG"/>
        <w:rPr>
          <w:w w:val="105"/>
        </w:rPr>
      </w:pPr>
      <w:r>
        <w:rPr>
          <w:w w:val="105"/>
        </w:rPr>
        <w:t>3.</w:t>
      </w:r>
      <w:r>
        <w:rPr>
          <w:w w:val="105"/>
        </w:rPr>
        <w:tab/>
      </w:r>
      <w:r w:rsidRPr="008F5A0A">
        <w:rPr>
          <w:w w:val="105"/>
        </w:rPr>
        <w:t>Commonly used marking of packaging consists in an overprint of black surrounding line on a grey carton. The centre of mark is also grey. The grey centre contrasts with the black surrounding line however is not contrasting with the grey background. The provision is ambiguous since it stipulates that the centre should be white or contrasting however fails to specify with what it should be contrasted.  If we assume that it should contrast with the surface on which it was place, the line overprint on the carton fails to meet this requirement</w:t>
      </w:r>
      <w:r>
        <w:rPr>
          <w:w w:val="105"/>
        </w:rPr>
        <w:t xml:space="preserve"> (see annex)</w:t>
      </w:r>
      <w:r w:rsidRPr="008F5A0A">
        <w:rPr>
          <w:w w:val="105"/>
        </w:rPr>
        <w:t>. It should be stated here that impreciseness of the provision results also in interpretational differences related to the LQ mark.</w:t>
      </w:r>
    </w:p>
    <w:p w:rsidR="008B6191" w:rsidRDefault="008B6191" w:rsidP="008B6191">
      <w:pPr>
        <w:pStyle w:val="SingleTxtG"/>
        <w:rPr>
          <w:b/>
          <w:sz w:val="24"/>
        </w:rPr>
      </w:pPr>
    </w:p>
    <w:p w:rsidR="008B6191" w:rsidRDefault="008B6191" w:rsidP="008B6191">
      <w:pPr>
        <w:pStyle w:val="SingleTxtG"/>
        <w:rPr>
          <w:b/>
          <w:sz w:val="24"/>
        </w:rPr>
      </w:pPr>
    </w:p>
    <w:p w:rsidR="008B6191" w:rsidRDefault="008B6191" w:rsidP="008B6191">
      <w:pPr>
        <w:pStyle w:val="SingleTxtG"/>
        <w:rPr>
          <w:b/>
          <w:sz w:val="24"/>
        </w:rPr>
      </w:pPr>
    </w:p>
    <w:p w:rsidR="008B6191" w:rsidRDefault="008B6191" w:rsidP="008B6191">
      <w:pPr>
        <w:pStyle w:val="SingleTxtG"/>
        <w:rPr>
          <w:b/>
          <w:sz w:val="24"/>
        </w:rPr>
      </w:pPr>
    </w:p>
    <w:p w:rsidR="008B6191" w:rsidRDefault="008B6191" w:rsidP="008B6191">
      <w:pPr>
        <w:pStyle w:val="SingleTxtG"/>
        <w:rPr>
          <w:b/>
          <w:sz w:val="24"/>
        </w:rPr>
      </w:pPr>
    </w:p>
    <w:p w:rsidR="008B6191" w:rsidRDefault="008B6191" w:rsidP="008B6191">
      <w:pPr>
        <w:pStyle w:val="HChG"/>
      </w:pPr>
      <w:r>
        <w:lastRenderedPageBreak/>
        <w:tab/>
      </w:r>
      <w:r>
        <w:tab/>
        <w:t>Annex</w:t>
      </w:r>
    </w:p>
    <w:p w:rsidR="008B6191" w:rsidRDefault="008B6191" w:rsidP="008B6191">
      <w:pPr>
        <w:spacing w:before="240"/>
        <w:jc w:val="center"/>
      </w:pPr>
      <w:r>
        <w:rPr>
          <w:u w:val="single"/>
        </w:rPr>
        <w:tab/>
      </w:r>
      <w:r>
        <w:rPr>
          <w:u w:val="single"/>
        </w:rPr>
        <w:tab/>
      </w:r>
      <w:r>
        <w:rPr>
          <w:u w:val="single"/>
        </w:rPr>
        <w:tab/>
      </w:r>
      <w:r>
        <w:rPr>
          <w:noProof/>
          <w:lang w:val="pl-PL" w:eastAsia="pl-PL"/>
        </w:rPr>
        <w:drawing>
          <wp:anchor distT="0" distB="0" distL="114300" distR="114300" simplePos="0" relativeHeight="251659264" behindDoc="1" locked="0" layoutInCell="1" allowOverlap="1" wp14:anchorId="72CD1FC9" wp14:editId="4249696A">
            <wp:simplePos x="0" y="0"/>
            <wp:positionH relativeFrom="column">
              <wp:posOffset>245745</wp:posOffset>
            </wp:positionH>
            <wp:positionV relativeFrom="paragraph">
              <wp:posOffset>0</wp:posOffset>
            </wp:positionV>
            <wp:extent cx="6234430" cy="4677410"/>
            <wp:effectExtent l="0" t="0" r="0" b="8890"/>
            <wp:wrapTight wrapText="bothSides">
              <wp:wrapPolygon edited="0">
                <wp:start x="0" y="0"/>
                <wp:lineTo x="0" y="21553"/>
                <wp:lineTo x="21516" y="21553"/>
                <wp:lineTo x="21516"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4430" cy="4677410"/>
                    </a:xfrm>
                    <a:prstGeom prst="rect">
                      <a:avLst/>
                    </a:prstGeom>
                    <a:noFill/>
                  </pic:spPr>
                </pic:pic>
              </a:graphicData>
            </a:graphic>
            <wp14:sizeRelH relativeFrom="page">
              <wp14:pctWidth>0</wp14:pctWidth>
            </wp14:sizeRelH>
            <wp14:sizeRelV relativeFrom="page">
              <wp14:pctHeight>0</wp14:pctHeight>
            </wp14:sizeRelV>
          </wp:anchor>
        </w:drawing>
      </w:r>
    </w:p>
    <w:sectPr w:rsidR="008B6191" w:rsidSect="00384C1A">
      <w:headerReference w:type="even" r:id="rId10"/>
      <w:headerReference w:type="default" r:id="rId11"/>
      <w:footerReference w:type="even" r:id="rId12"/>
      <w:footerReference w:type="default" r:id="rId13"/>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4C1A" w:rsidRDefault="00384C1A"/>
  </w:endnote>
  <w:endnote w:type="continuationSeparator" w:id="0">
    <w:p w:rsidR="00384C1A" w:rsidRDefault="00384C1A"/>
  </w:endnote>
  <w:endnote w:type="continuationNotice" w:id="1">
    <w:p w:rsidR="00384C1A" w:rsidRDefault="00384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C1A" w:rsidRPr="00384C1A" w:rsidRDefault="00384C1A" w:rsidP="00384C1A">
    <w:pPr>
      <w:pStyle w:val="Footer"/>
      <w:tabs>
        <w:tab w:val="right" w:pos="9638"/>
      </w:tabs>
      <w:rPr>
        <w:sz w:val="18"/>
      </w:rPr>
    </w:pPr>
    <w:r w:rsidRPr="00384C1A">
      <w:rPr>
        <w:b/>
        <w:sz w:val="18"/>
      </w:rPr>
      <w:fldChar w:fldCharType="begin"/>
    </w:r>
    <w:r w:rsidRPr="00384C1A">
      <w:rPr>
        <w:b/>
        <w:sz w:val="18"/>
      </w:rPr>
      <w:instrText xml:space="preserve"> PAGE  \* MERGEFORMAT </w:instrText>
    </w:r>
    <w:r w:rsidRPr="00384C1A">
      <w:rPr>
        <w:b/>
        <w:sz w:val="18"/>
      </w:rPr>
      <w:fldChar w:fldCharType="separate"/>
    </w:r>
    <w:r w:rsidRPr="00384C1A">
      <w:rPr>
        <w:b/>
        <w:noProof/>
        <w:sz w:val="18"/>
      </w:rPr>
      <w:t>2</w:t>
    </w:r>
    <w:r w:rsidRPr="00384C1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C1A" w:rsidRPr="00384C1A" w:rsidRDefault="00384C1A" w:rsidP="00384C1A">
    <w:pPr>
      <w:pStyle w:val="Footer"/>
      <w:tabs>
        <w:tab w:val="right" w:pos="9638"/>
      </w:tabs>
      <w:rPr>
        <w:b/>
        <w:sz w:val="18"/>
      </w:rPr>
    </w:pPr>
    <w:r>
      <w:tab/>
    </w:r>
    <w:r w:rsidRPr="00384C1A">
      <w:rPr>
        <w:b/>
        <w:sz w:val="18"/>
      </w:rPr>
      <w:fldChar w:fldCharType="begin"/>
    </w:r>
    <w:r w:rsidRPr="00384C1A">
      <w:rPr>
        <w:b/>
        <w:sz w:val="18"/>
      </w:rPr>
      <w:instrText xml:space="preserve"> PAGE  \* MERGEFORMAT </w:instrText>
    </w:r>
    <w:r w:rsidRPr="00384C1A">
      <w:rPr>
        <w:b/>
        <w:sz w:val="18"/>
      </w:rPr>
      <w:fldChar w:fldCharType="separate"/>
    </w:r>
    <w:r w:rsidRPr="00384C1A">
      <w:rPr>
        <w:b/>
        <w:noProof/>
        <w:sz w:val="18"/>
      </w:rPr>
      <w:t>3</w:t>
    </w:r>
    <w:r w:rsidRPr="00384C1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4C1A" w:rsidRPr="000B175B" w:rsidRDefault="00384C1A" w:rsidP="000B175B">
      <w:pPr>
        <w:tabs>
          <w:tab w:val="right" w:pos="2155"/>
        </w:tabs>
        <w:spacing w:after="80"/>
        <w:ind w:left="680"/>
        <w:rPr>
          <w:u w:val="single"/>
        </w:rPr>
      </w:pPr>
      <w:r>
        <w:rPr>
          <w:u w:val="single"/>
        </w:rPr>
        <w:tab/>
      </w:r>
    </w:p>
  </w:footnote>
  <w:footnote w:type="continuationSeparator" w:id="0">
    <w:p w:rsidR="00384C1A" w:rsidRPr="00FC68B7" w:rsidRDefault="00384C1A" w:rsidP="00FC68B7">
      <w:pPr>
        <w:tabs>
          <w:tab w:val="left" w:pos="2155"/>
        </w:tabs>
        <w:spacing w:after="80"/>
        <w:ind w:left="680"/>
        <w:rPr>
          <w:u w:val="single"/>
        </w:rPr>
      </w:pPr>
      <w:r>
        <w:rPr>
          <w:u w:val="single"/>
        </w:rPr>
        <w:tab/>
      </w:r>
    </w:p>
  </w:footnote>
  <w:footnote w:type="continuationNotice" w:id="1">
    <w:p w:rsidR="00384C1A" w:rsidRDefault="00384C1A"/>
  </w:footnote>
  <w:footnote w:id="2">
    <w:p w:rsidR="008B6191" w:rsidRDefault="008B6191" w:rsidP="008B6191">
      <w:pPr>
        <w:pStyle w:val="FootnoteText"/>
        <w:rPr>
          <w:sz w:val="20"/>
        </w:rPr>
      </w:pPr>
      <w:r>
        <w:rPr>
          <w:sz w:val="20"/>
        </w:rPr>
        <w:tab/>
      </w:r>
      <w:r>
        <w:rPr>
          <w:rStyle w:val="FootnoteReference"/>
          <w:sz w:val="20"/>
        </w:rPr>
        <w:t>*</w:t>
      </w:r>
      <w:r>
        <w:rPr>
          <w:sz w:val="20"/>
        </w:rPr>
        <w:tab/>
      </w:r>
      <w:r w:rsidR="00670113" w:rsidRPr="00670113">
        <w:t>2020 (A/74/6 (Sect.20) and Supplementary, Subprogramme 2</w:t>
      </w:r>
      <w:proofErr w:type="gramStart"/>
      <w:r w:rsidR="00670113" w:rsidRPr="00670113">
        <w:t>)</w:t>
      </w:r>
      <w:r w:rsidR="00670113">
        <w:t>.</w:t>
      </w:r>
      <w:r w:rsidR="00CD7871">
        <w:t>§</w:t>
      </w:r>
      <w:bookmarkStart w:id="1" w:name="_GoBack"/>
      <w:bookmarkEnd w:id="1"/>
      <w:proofErr w:type="gramEnd"/>
    </w:p>
  </w:footnote>
  <w:footnote w:id="3">
    <w:p w:rsidR="008B6191" w:rsidRDefault="008B6191" w:rsidP="008B6191">
      <w:pPr>
        <w:pStyle w:val="FootnoteText"/>
        <w:rPr>
          <w:sz w:val="20"/>
        </w:rPr>
      </w:pPr>
      <w:r>
        <w:rPr>
          <w:rStyle w:val="FootnoteReference"/>
          <w:sz w:val="20"/>
        </w:rPr>
        <w:tab/>
        <w:t>**</w:t>
      </w:r>
      <w:r>
        <w:rPr>
          <w:sz w:val="20"/>
        </w:rPr>
        <w:tab/>
      </w:r>
      <w:r>
        <w:t>Circulated by the Intergovernmental Organisation for International Carriage by Rail (OTIF) under the symbol OTIF/RID/RC/2020/27.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C1A" w:rsidRPr="00384C1A" w:rsidRDefault="004B2F82">
    <w:pPr>
      <w:pStyle w:val="Header"/>
    </w:pPr>
    <w:fldSimple w:instr=" TITLE  \* MERGEFORMAT ">
      <w:r w:rsidR="00384C1A">
        <w:t>ECE/TRANS/WP.15/AC.1/2020/27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C1A" w:rsidRPr="00384C1A" w:rsidRDefault="004B2F82" w:rsidP="00384C1A">
    <w:pPr>
      <w:pStyle w:val="Header"/>
      <w:jc w:val="right"/>
    </w:pPr>
    <w:fldSimple w:instr=" TITLE  \* MERGEFORMAT ">
      <w:r w:rsidR="00384C1A">
        <w:t>ECE/TRANS/WP.15/AC.1/2020/27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4"/>
  </w:num>
  <w:num w:numId="13">
    <w:abstractNumId w:val="10"/>
  </w:num>
  <w:num w:numId="14">
    <w:abstractNumId w:val="12"/>
  </w:num>
  <w:num w:numId="15">
    <w:abstractNumId w:val="16"/>
  </w:num>
  <w:num w:numId="16">
    <w:abstractNumId w:val="13"/>
  </w:num>
  <w:num w:numId="17">
    <w:abstractNumId w:val="17"/>
  </w:num>
  <w:num w:numId="18">
    <w:abstractNumId w:val="18"/>
  </w:num>
  <w:num w:numId="19">
    <w:abstractNumId w:val="11"/>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1A"/>
    <w:rsid w:val="00002A7D"/>
    <w:rsid w:val="000038A8"/>
    <w:rsid w:val="00006790"/>
    <w:rsid w:val="00027624"/>
    <w:rsid w:val="00050F6B"/>
    <w:rsid w:val="000678CD"/>
    <w:rsid w:val="00072C8C"/>
    <w:rsid w:val="00081CE0"/>
    <w:rsid w:val="00084D30"/>
    <w:rsid w:val="00090320"/>
    <w:rsid w:val="000931C0"/>
    <w:rsid w:val="0009732C"/>
    <w:rsid w:val="000A01F9"/>
    <w:rsid w:val="000A2E09"/>
    <w:rsid w:val="000B175B"/>
    <w:rsid w:val="000B3A0F"/>
    <w:rsid w:val="000E0415"/>
    <w:rsid w:val="000F7715"/>
    <w:rsid w:val="00156B99"/>
    <w:rsid w:val="00166124"/>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64441"/>
    <w:rsid w:val="0027237A"/>
    <w:rsid w:val="002974E9"/>
    <w:rsid w:val="002A7F94"/>
    <w:rsid w:val="002B109A"/>
    <w:rsid w:val="002C6D45"/>
    <w:rsid w:val="002D6E53"/>
    <w:rsid w:val="002F046D"/>
    <w:rsid w:val="002F3023"/>
    <w:rsid w:val="00301764"/>
    <w:rsid w:val="003229D8"/>
    <w:rsid w:val="00336C97"/>
    <w:rsid w:val="00337F88"/>
    <w:rsid w:val="00342432"/>
    <w:rsid w:val="0035223F"/>
    <w:rsid w:val="00352D4B"/>
    <w:rsid w:val="0035638C"/>
    <w:rsid w:val="00384C1A"/>
    <w:rsid w:val="003A46BB"/>
    <w:rsid w:val="003A4EC7"/>
    <w:rsid w:val="003A7295"/>
    <w:rsid w:val="003B1F60"/>
    <w:rsid w:val="003C2CC4"/>
    <w:rsid w:val="003D4B23"/>
    <w:rsid w:val="003E278A"/>
    <w:rsid w:val="00413520"/>
    <w:rsid w:val="004325CB"/>
    <w:rsid w:val="00440A07"/>
    <w:rsid w:val="00462880"/>
    <w:rsid w:val="00476F24"/>
    <w:rsid w:val="004B2F82"/>
    <w:rsid w:val="004C55B0"/>
    <w:rsid w:val="004F6BA0"/>
    <w:rsid w:val="00503BEA"/>
    <w:rsid w:val="00533616"/>
    <w:rsid w:val="00535ABA"/>
    <w:rsid w:val="0053768B"/>
    <w:rsid w:val="005420F2"/>
    <w:rsid w:val="0054285C"/>
    <w:rsid w:val="00584173"/>
    <w:rsid w:val="00595520"/>
    <w:rsid w:val="005A44B9"/>
    <w:rsid w:val="005B1BA0"/>
    <w:rsid w:val="005B3DB3"/>
    <w:rsid w:val="005D15CA"/>
    <w:rsid w:val="005D7969"/>
    <w:rsid w:val="005F08DF"/>
    <w:rsid w:val="005F3066"/>
    <w:rsid w:val="005F3E61"/>
    <w:rsid w:val="00604DDD"/>
    <w:rsid w:val="006115CC"/>
    <w:rsid w:val="00611FC4"/>
    <w:rsid w:val="006176FB"/>
    <w:rsid w:val="00630FCB"/>
    <w:rsid w:val="00640B26"/>
    <w:rsid w:val="0065766B"/>
    <w:rsid w:val="00670113"/>
    <w:rsid w:val="006770B2"/>
    <w:rsid w:val="00686A48"/>
    <w:rsid w:val="006940E1"/>
    <w:rsid w:val="006A3C72"/>
    <w:rsid w:val="006A7392"/>
    <w:rsid w:val="006B03A1"/>
    <w:rsid w:val="006B67D9"/>
    <w:rsid w:val="006C5535"/>
    <w:rsid w:val="006D0589"/>
    <w:rsid w:val="006E564B"/>
    <w:rsid w:val="006E7154"/>
    <w:rsid w:val="007003CD"/>
    <w:rsid w:val="0070701E"/>
    <w:rsid w:val="0072632A"/>
    <w:rsid w:val="007358E8"/>
    <w:rsid w:val="00736ECE"/>
    <w:rsid w:val="0074533B"/>
    <w:rsid w:val="007643BC"/>
    <w:rsid w:val="00780C68"/>
    <w:rsid w:val="007959FE"/>
    <w:rsid w:val="007A0CF1"/>
    <w:rsid w:val="007A478E"/>
    <w:rsid w:val="007B6BA5"/>
    <w:rsid w:val="007C3390"/>
    <w:rsid w:val="007C42D8"/>
    <w:rsid w:val="007C4F4B"/>
    <w:rsid w:val="007D7362"/>
    <w:rsid w:val="007F5CE2"/>
    <w:rsid w:val="007F6611"/>
    <w:rsid w:val="00800522"/>
    <w:rsid w:val="00810BAC"/>
    <w:rsid w:val="008175E9"/>
    <w:rsid w:val="008242D7"/>
    <w:rsid w:val="0082577B"/>
    <w:rsid w:val="008272DD"/>
    <w:rsid w:val="00866893"/>
    <w:rsid w:val="00866F02"/>
    <w:rsid w:val="00867D18"/>
    <w:rsid w:val="00871F9A"/>
    <w:rsid w:val="00871FD5"/>
    <w:rsid w:val="0088172E"/>
    <w:rsid w:val="00881EFA"/>
    <w:rsid w:val="008879CB"/>
    <w:rsid w:val="008979B1"/>
    <w:rsid w:val="008A6B25"/>
    <w:rsid w:val="008A6C4F"/>
    <w:rsid w:val="008A77AE"/>
    <w:rsid w:val="008B389E"/>
    <w:rsid w:val="008B6191"/>
    <w:rsid w:val="008D045E"/>
    <w:rsid w:val="008D3F25"/>
    <w:rsid w:val="008D4D82"/>
    <w:rsid w:val="008E0E46"/>
    <w:rsid w:val="008E7116"/>
    <w:rsid w:val="008F143B"/>
    <w:rsid w:val="008F3882"/>
    <w:rsid w:val="008F4B7C"/>
    <w:rsid w:val="00926E47"/>
    <w:rsid w:val="00947162"/>
    <w:rsid w:val="009610D0"/>
    <w:rsid w:val="0096375C"/>
    <w:rsid w:val="009662E6"/>
    <w:rsid w:val="0097095E"/>
    <w:rsid w:val="0098592B"/>
    <w:rsid w:val="00985FC4"/>
    <w:rsid w:val="00990766"/>
    <w:rsid w:val="00991261"/>
    <w:rsid w:val="009964C4"/>
    <w:rsid w:val="009A7B81"/>
    <w:rsid w:val="009D01C0"/>
    <w:rsid w:val="009D6A08"/>
    <w:rsid w:val="009E0A16"/>
    <w:rsid w:val="009E6CB7"/>
    <w:rsid w:val="009E7970"/>
    <w:rsid w:val="009F2EAC"/>
    <w:rsid w:val="009F57E3"/>
    <w:rsid w:val="00A10F4F"/>
    <w:rsid w:val="00A11067"/>
    <w:rsid w:val="00A1704A"/>
    <w:rsid w:val="00A425EB"/>
    <w:rsid w:val="00A72F22"/>
    <w:rsid w:val="00A733BC"/>
    <w:rsid w:val="00A748A6"/>
    <w:rsid w:val="00A76A69"/>
    <w:rsid w:val="00A879A4"/>
    <w:rsid w:val="00AA0FF8"/>
    <w:rsid w:val="00AC0F2C"/>
    <w:rsid w:val="00AC502A"/>
    <w:rsid w:val="00AF58C1"/>
    <w:rsid w:val="00B04A3F"/>
    <w:rsid w:val="00B06643"/>
    <w:rsid w:val="00B15055"/>
    <w:rsid w:val="00B20551"/>
    <w:rsid w:val="00B30179"/>
    <w:rsid w:val="00B33FC7"/>
    <w:rsid w:val="00B37B15"/>
    <w:rsid w:val="00B45C02"/>
    <w:rsid w:val="00B70B63"/>
    <w:rsid w:val="00B72A1E"/>
    <w:rsid w:val="00B81E12"/>
    <w:rsid w:val="00BA339B"/>
    <w:rsid w:val="00BB23CC"/>
    <w:rsid w:val="00BC1E7E"/>
    <w:rsid w:val="00BC74E9"/>
    <w:rsid w:val="00BE36A9"/>
    <w:rsid w:val="00BE618E"/>
    <w:rsid w:val="00BE7BEC"/>
    <w:rsid w:val="00BF0A5A"/>
    <w:rsid w:val="00BF0E63"/>
    <w:rsid w:val="00BF12A3"/>
    <w:rsid w:val="00BF16D7"/>
    <w:rsid w:val="00BF2373"/>
    <w:rsid w:val="00C0294F"/>
    <w:rsid w:val="00C044E2"/>
    <w:rsid w:val="00C048CB"/>
    <w:rsid w:val="00C066F3"/>
    <w:rsid w:val="00C408B7"/>
    <w:rsid w:val="00C411EB"/>
    <w:rsid w:val="00C463DD"/>
    <w:rsid w:val="00C745C3"/>
    <w:rsid w:val="00C978F5"/>
    <w:rsid w:val="00CA24A4"/>
    <w:rsid w:val="00CB348D"/>
    <w:rsid w:val="00CD46F5"/>
    <w:rsid w:val="00CD7871"/>
    <w:rsid w:val="00CE4A8F"/>
    <w:rsid w:val="00CE78F6"/>
    <w:rsid w:val="00CF071D"/>
    <w:rsid w:val="00D0123D"/>
    <w:rsid w:val="00D15B04"/>
    <w:rsid w:val="00D2031B"/>
    <w:rsid w:val="00D25FE2"/>
    <w:rsid w:val="00D368BE"/>
    <w:rsid w:val="00D37DA9"/>
    <w:rsid w:val="00D406A7"/>
    <w:rsid w:val="00D40765"/>
    <w:rsid w:val="00D43252"/>
    <w:rsid w:val="00D44D86"/>
    <w:rsid w:val="00D50B7D"/>
    <w:rsid w:val="00D52012"/>
    <w:rsid w:val="00D704E5"/>
    <w:rsid w:val="00D72727"/>
    <w:rsid w:val="00D978C6"/>
    <w:rsid w:val="00DA0956"/>
    <w:rsid w:val="00DA357F"/>
    <w:rsid w:val="00DA3E12"/>
    <w:rsid w:val="00DC18AD"/>
    <w:rsid w:val="00DF7CAE"/>
    <w:rsid w:val="00E423C0"/>
    <w:rsid w:val="00E6414C"/>
    <w:rsid w:val="00E7260F"/>
    <w:rsid w:val="00E8702D"/>
    <w:rsid w:val="00E905F4"/>
    <w:rsid w:val="00E916A9"/>
    <w:rsid w:val="00E916DE"/>
    <w:rsid w:val="00E925AD"/>
    <w:rsid w:val="00E96630"/>
    <w:rsid w:val="00ED18DC"/>
    <w:rsid w:val="00ED6201"/>
    <w:rsid w:val="00ED7A2A"/>
    <w:rsid w:val="00EF1D7F"/>
    <w:rsid w:val="00F0137E"/>
    <w:rsid w:val="00F21786"/>
    <w:rsid w:val="00F3742B"/>
    <w:rsid w:val="00F41FDB"/>
    <w:rsid w:val="00F50596"/>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90254F"/>
  <w15:docId w15:val="{73E37567-C412-4A50-B1C9-C3A49E2A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4_GR"/>
    <w:basedOn w:val="DefaultParagraphFont"/>
    <w:qFormat/>
    <w:rsid w:val="00E925AD"/>
    <w:rPr>
      <w:rFonts w:ascii="Times New Roman" w:hAnsi="Times New Roman"/>
      <w:sz w:val="18"/>
      <w:vertAlign w:val="superscript"/>
    </w:rPr>
  </w:style>
  <w:style w:type="paragraph" w:styleId="FootnoteText">
    <w:name w:val="footnote text"/>
    <w:aliases w:val="5_G,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8A77AE"/>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8A77AE"/>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character" w:customStyle="1" w:styleId="SingleTxtGChar">
    <w:name w:val="_ Single Txt_G Char"/>
    <w:link w:val="SingleTxtG"/>
    <w:qFormat/>
    <w:locked/>
    <w:rsid w:val="00264441"/>
    <w:rPr>
      <w:lang w:val="en-GB" w:eastAsia="en-US"/>
    </w:rPr>
  </w:style>
  <w:style w:type="paragraph" w:customStyle="1" w:styleId="ParNoG">
    <w:name w:val="_ParNo_G"/>
    <w:basedOn w:val="SingleTxtG"/>
    <w:qFormat/>
    <w:rsid w:val="007A478E"/>
    <w:pPr>
      <w:numPr>
        <w:numId w:val="20"/>
      </w:numPr>
      <w:suppressAutoHyphens w:val="0"/>
    </w:pPr>
  </w:style>
  <w:style w:type="character" w:customStyle="1" w:styleId="FootnoteTextChar">
    <w:name w:val="Footnote Text Char"/>
    <w:aliases w:val="5_G Char,5_GR Char"/>
    <w:basedOn w:val="DefaultParagraphFont"/>
    <w:link w:val="FootnoteText"/>
    <w:rsid w:val="008B6191"/>
    <w:rPr>
      <w:sz w:val="18"/>
      <w:lang w:val="en-GB"/>
    </w:rPr>
  </w:style>
  <w:style w:type="character" w:customStyle="1" w:styleId="H1GChar">
    <w:name w:val="_ H_1_G Char"/>
    <w:link w:val="H1G"/>
    <w:rsid w:val="008B6191"/>
    <w:rPr>
      <w:b/>
      <w:sz w:val="24"/>
      <w:lang w:val="en-GB"/>
    </w:rPr>
  </w:style>
  <w:style w:type="character" w:customStyle="1" w:styleId="HChGChar">
    <w:name w:val="_ H _Ch_G Char"/>
    <w:link w:val="HChG"/>
    <w:rsid w:val="008B6191"/>
    <w:rPr>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1_24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E1749-1E3F-4FC9-8786-4DAF91A55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TRANS_WP1_24_E.dotm</Template>
  <TotalTime>3</TotalTime>
  <Pages>2</Pages>
  <Words>229</Words>
  <Characters>1249</Characters>
  <Application>Microsoft Office Word</Application>
  <DocSecurity>0</DocSecurity>
  <Lines>59</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ECE/TRANS/WP.15/AC.1/2020/27</vt:lpstr>
      <vt:lpstr/>
    </vt:vector>
  </TitlesOfParts>
  <Company>CSD</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ECE/TRANS/WP.15/AC.1/2020/27</dc:title>
  <dc:creator>Christine Barrio-Champeau</dc:creator>
  <cp:lastModifiedBy>Christine Barrio-Champeau</cp:lastModifiedBy>
  <cp:revision>5</cp:revision>
  <cp:lastPrinted>2009-02-18T09:36:00Z</cp:lastPrinted>
  <dcterms:created xsi:type="dcterms:W3CDTF">2019-12-20T10:30:00Z</dcterms:created>
  <dcterms:modified xsi:type="dcterms:W3CDTF">2020-01-06T12:12:00Z</dcterms:modified>
</cp:coreProperties>
</file>