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596AC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596AC3" w:rsidP="00596AC3">
            <w:pPr>
              <w:jc w:val="right"/>
            </w:pPr>
            <w:r w:rsidRPr="00596AC3">
              <w:rPr>
                <w:sz w:val="40"/>
              </w:rPr>
              <w:t>ECE</w:t>
            </w:r>
            <w:r>
              <w:t>/TRANS/WP.15/AC.1/2020/26</w:t>
            </w:r>
          </w:p>
        </w:tc>
      </w:tr>
      <w:tr w:rsidR="002D5AAC" w:rsidRPr="00596AC3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596AC3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596AC3" w:rsidRDefault="00596AC3" w:rsidP="00596AC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6 January 2020</w:t>
            </w:r>
          </w:p>
          <w:p w:rsidR="00596AC3" w:rsidRDefault="00596AC3" w:rsidP="00596AC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596AC3" w:rsidRPr="008D53B6" w:rsidRDefault="00596AC3" w:rsidP="00596AC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596AC3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596AC3" w:rsidRPr="00345303" w:rsidRDefault="00596AC3" w:rsidP="00596AC3">
      <w:pPr>
        <w:spacing w:before="120"/>
        <w:rPr>
          <w:sz w:val="28"/>
          <w:szCs w:val="28"/>
        </w:rPr>
      </w:pPr>
      <w:r w:rsidRPr="00345303">
        <w:rPr>
          <w:sz w:val="28"/>
          <w:szCs w:val="28"/>
        </w:rPr>
        <w:t>Комитет по внутреннему транспорту</w:t>
      </w:r>
    </w:p>
    <w:p w:rsidR="00596AC3" w:rsidRPr="00345303" w:rsidRDefault="00596AC3" w:rsidP="00596AC3">
      <w:pPr>
        <w:spacing w:before="120"/>
        <w:rPr>
          <w:b/>
          <w:sz w:val="24"/>
          <w:szCs w:val="24"/>
        </w:rPr>
      </w:pPr>
      <w:r w:rsidRPr="00345303">
        <w:rPr>
          <w:b/>
          <w:bCs/>
          <w:sz w:val="24"/>
          <w:szCs w:val="24"/>
        </w:rPr>
        <w:t>Рабочая группа по перевозкам опасных грузов</w:t>
      </w:r>
    </w:p>
    <w:p w:rsidR="00596AC3" w:rsidRPr="00345303" w:rsidRDefault="00596AC3" w:rsidP="00596AC3">
      <w:pPr>
        <w:spacing w:before="120"/>
        <w:rPr>
          <w:b/>
        </w:rPr>
      </w:pPr>
      <w:r>
        <w:rPr>
          <w:b/>
          <w:bCs/>
        </w:rPr>
        <w:t xml:space="preserve">Совместное совещание Комиссии экспертов МПОГ </w:t>
      </w:r>
      <w:r>
        <w:rPr>
          <w:b/>
          <w:bCs/>
        </w:rPr>
        <w:br/>
        <w:t>и Рабочей группы по перевозкам опасных грузов</w:t>
      </w:r>
    </w:p>
    <w:p w:rsidR="00596AC3" w:rsidRPr="00345303" w:rsidRDefault="00596AC3" w:rsidP="00596AC3">
      <w:r>
        <w:t>Берн, 16–20 марта 2020 года</w:t>
      </w:r>
    </w:p>
    <w:p w:rsidR="00596AC3" w:rsidRPr="00345303" w:rsidRDefault="00596AC3" w:rsidP="00596AC3">
      <w:r>
        <w:t>Пункт 5 b) предварительной повестки дня</w:t>
      </w:r>
    </w:p>
    <w:p w:rsidR="00596AC3" w:rsidRPr="00345303" w:rsidRDefault="00596AC3" w:rsidP="00596AC3">
      <w:pPr>
        <w:rPr>
          <w:b/>
          <w:bCs/>
        </w:rPr>
      </w:pPr>
      <w:r>
        <w:rPr>
          <w:b/>
          <w:bCs/>
        </w:rPr>
        <w:t xml:space="preserve">Предложения о внесении поправок </w:t>
      </w:r>
      <w:r>
        <w:rPr>
          <w:b/>
          <w:bCs/>
        </w:rPr>
        <w:br/>
        <w:t>в МПОГ/ДОПОГ/ВОПОГ:</w:t>
      </w:r>
    </w:p>
    <w:p w:rsidR="00E12C5F" w:rsidRDefault="00596AC3" w:rsidP="00596AC3">
      <w:r>
        <w:rPr>
          <w:b/>
          <w:bCs/>
        </w:rPr>
        <w:t>новые предложения</w:t>
      </w:r>
    </w:p>
    <w:p w:rsidR="00596AC3" w:rsidRPr="00345303" w:rsidRDefault="00596AC3" w:rsidP="00596AC3">
      <w:pPr>
        <w:pStyle w:val="HChG"/>
      </w:pPr>
      <w:r>
        <w:rPr>
          <w:bCs/>
        </w:rPr>
        <w:tab/>
      </w:r>
      <w:r>
        <w:rPr>
          <w:bCs/>
        </w:rPr>
        <w:tab/>
        <w:t>Предложение о поправке к пункту 4.3.3.3.2 МПОГ/ДОПОГ</w:t>
      </w:r>
    </w:p>
    <w:p w:rsidR="00596AC3" w:rsidRPr="00345303" w:rsidRDefault="00596AC3" w:rsidP="005E5C1F">
      <w:pPr>
        <w:pStyle w:val="H1G"/>
        <w:rPr>
          <w:szCs w:val="24"/>
        </w:rPr>
      </w:pPr>
      <w:r>
        <w:tab/>
      </w:r>
      <w:r>
        <w:tab/>
        <w:t>Передано правительством Польши</w:t>
      </w:r>
      <w:r w:rsidRPr="005E5C1F">
        <w:rPr>
          <w:rStyle w:val="FootnoteReference"/>
          <w:b w:val="0"/>
          <w:bCs/>
          <w:sz w:val="20"/>
          <w:vertAlign w:val="baseline"/>
        </w:rPr>
        <w:footnoteReference w:customMarkFollows="1" w:id="1"/>
        <w:t>*</w:t>
      </w:r>
      <w:r w:rsidRPr="005E5C1F">
        <w:rPr>
          <w:b w:val="0"/>
          <w:sz w:val="20"/>
        </w:rPr>
        <w:t xml:space="preserve"> </w:t>
      </w:r>
      <w:r w:rsidRPr="005E5C1F">
        <w:rPr>
          <w:rStyle w:val="FootnoteReference"/>
          <w:b w:val="0"/>
          <w:bCs/>
          <w:sz w:val="20"/>
          <w:vertAlign w:val="baseline"/>
        </w:rPr>
        <w:footnoteReference w:customMarkFollows="1" w:id="2"/>
        <w:t>**</w:t>
      </w:r>
      <w:r>
        <w:t xml:space="preserve"> </w:t>
      </w:r>
      <w:bookmarkStart w:id="1" w:name="_Hlk27131928"/>
      <w:bookmarkEnd w:id="1"/>
    </w:p>
    <w:p w:rsidR="00596AC3" w:rsidRPr="00345303" w:rsidRDefault="00596AC3" w:rsidP="00596AC3">
      <w:pPr>
        <w:pStyle w:val="HChG"/>
        <w:rPr>
          <w:w w:val="110"/>
        </w:rPr>
      </w:pPr>
      <w:r>
        <w:tab/>
      </w:r>
      <w:r>
        <w:tab/>
      </w:r>
      <w:r>
        <w:rPr>
          <w:bCs/>
        </w:rPr>
        <w:t>Введение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>1.</w:t>
      </w:r>
      <w:r>
        <w:tab/>
        <w:t>Цель настоящего предложения состоит в том, чтобы изменить формулировку пункта 4.3.3.3.2 (см. также «INF.10 (Нидерланды) Interpretation of the purpose and visibility of the markings required by 6.8.2.5.2 and 6.8.3.5.6» (Толкование цели и видимости маркировочных надписей, предусмотренных в пунктах 6.8.2.5.2 и 6.8.3.5.6) [март 2018 года]) в соответствии со следующими положениями:</w:t>
      </w:r>
    </w:p>
    <w:p w:rsidR="00596AC3" w:rsidRPr="005E5C1F" w:rsidRDefault="00596AC3" w:rsidP="00596AC3">
      <w:pPr>
        <w:pStyle w:val="SingleTxtG"/>
        <w:rPr>
          <w:b/>
          <w:w w:val="105"/>
          <w:lang w:val="en-US"/>
        </w:rPr>
      </w:pPr>
      <w:r>
        <w:rPr>
          <w:b/>
          <w:bCs/>
        </w:rPr>
        <w:t>4.3.3.3.2</w:t>
      </w:r>
      <w:r w:rsidR="005E5C1F">
        <w:rPr>
          <w:b/>
          <w:bCs/>
          <w:lang w:val="en-US"/>
        </w:rPr>
        <w:t>: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 xml:space="preserve">«При передаче цистерн, транспортных средств-батарей или МЭГК для перевозки должны быть видны лишь те указанные в пункте </w:t>
      </w:r>
      <w:r w:rsidRPr="005E5C1F">
        <w:rPr>
          <w:b/>
        </w:rPr>
        <w:t>6.8.3.5.6</w:t>
      </w:r>
      <w:r>
        <w:t xml:space="preserve"> надписи, которые касаются загруженного или только что выгруженного газа; все надписи, касающиеся других газов, должны быть закрыты.».</w:t>
      </w:r>
    </w:p>
    <w:p w:rsidR="00596AC3" w:rsidRPr="00345303" w:rsidRDefault="00596AC3" w:rsidP="00596AC3">
      <w:pPr>
        <w:pStyle w:val="SingleTxtG"/>
        <w:rPr>
          <w:b/>
          <w:w w:val="105"/>
        </w:rPr>
      </w:pPr>
      <w:r>
        <w:rPr>
          <w:b/>
          <w:bCs/>
        </w:rPr>
        <w:t>6.8.3.5.6:</w:t>
      </w:r>
    </w:p>
    <w:p w:rsidR="00596AC3" w:rsidRPr="00696FE7" w:rsidRDefault="00596AC3" w:rsidP="00596AC3">
      <w:pPr>
        <w:pStyle w:val="SingleTxtG"/>
        <w:rPr>
          <w:w w:val="105"/>
        </w:rPr>
      </w:pPr>
      <w:r>
        <w:t>«В дополнение к сведениям, предусмотренным в пункте 6.8.2.5.2, нижеследующие сведения должны наноситься на автоцистерну (на саму цистерну или на таблички):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ab/>
      </w:r>
      <w:r>
        <w:tab/>
        <w:t>c)</w:t>
      </w:r>
      <w:r>
        <w:tab/>
        <w:t>в случае цистерны многоцелевого назначения:</w:t>
      </w:r>
    </w:p>
    <w:p w:rsidR="00596AC3" w:rsidRPr="00345303" w:rsidRDefault="00596AC3" w:rsidP="00596AC3">
      <w:pPr>
        <w:pStyle w:val="SingleTxtG"/>
        <w:ind w:left="2268" w:hanging="567"/>
        <w:rPr>
          <w:w w:val="105"/>
        </w:rPr>
      </w:pPr>
      <w:r>
        <w:tab/>
      </w:r>
      <w:r>
        <w:tab/>
      </w:r>
      <w:r w:rsidR="005E5C1F" w:rsidRPr="005E5C1F">
        <w:t>–</w:t>
      </w:r>
      <w:r w:rsidR="005E5C1F">
        <w:tab/>
      </w:r>
      <w:r>
        <w:t>надлежащее отгрузочное наименование газа и для газов, отнесенных к какой-либо позиции "н.у.к." – техническое наименование</w:t>
      </w:r>
      <w:r>
        <w:rPr>
          <w:vertAlign w:val="superscript"/>
        </w:rPr>
        <w:t>16</w:t>
      </w:r>
      <w:r>
        <w:t xml:space="preserve"> всех газов, для перевозки которых предназначена данная цистерна, </w:t>
      </w:r>
      <w:r>
        <w:lastRenderedPageBreak/>
        <w:t>с</w:t>
      </w:r>
      <w:r w:rsidR="005E5C1F">
        <w:t> </w:t>
      </w:r>
      <w:r>
        <w:t>указанием максимально допустимой массы загрузки в кг для каждого из них;».</w:t>
      </w:r>
    </w:p>
    <w:p w:rsidR="00596AC3" w:rsidRPr="00345303" w:rsidRDefault="00596AC3" w:rsidP="00596AC3">
      <w:pPr>
        <w:pStyle w:val="SingleTxtG"/>
        <w:rPr>
          <w:i/>
          <w:w w:val="105"/>
        </w:rPr>
      </w:pPr>
      <w:r>
        <w:rPr>
          <w:i/>
          <w:iCs/>
        </w:rPr>
        <w:t>(данное положение применяется также к ВОПОГ (4.1.2))</w:t>
      </w:r>
    </w:p>
    <w:p w:rsidR="00596AC3" w:rsidRPr="00696FE7" w:rsidRDefault="00596AC3" w:rsidP="00596AC3">
      <w:pPr>
        <w:pStyle w:val="SingleTxtG"/>
        <w:rPr>
          <w:w w:val="105"/>
        </w:rPr>
      </w:pPr>
      <w:r>
        <w:t>2.</w:t>
      </w:r>
      <w:r>
        <w:tab/>
        <w:t xml:space="preserve">Положение пункта 4.3.3.3.2 противоречит пункту 6.8.3.5.6. В своей нынешней формулировке оно служит предлогом для наложения штрафов на перевозчиков, которые не закрывают надписи со сведениями. Такое закрытие надписей со сведениями связано с нарушением целостности заводской таблички (см. приложение), что запрещено. Аргумент о том, что эти сведения жизненно важны для аварийно-спасательных служб, не имеет значения. В случае пожара практически не будет возможности прочитать информацию, указанную на табличке. Аварийно-спасательные службы сосредоточат внимание на транспортных документах и табличках оранжевого цвета, на которых должно быть указано наименование перевозимого газа. 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>3.</w:t>
      </w:r>
      <w:r>
        <w:tab/>
        <w:t>Пункт 4.3.3.3.2 распространяется на автоцистерны, вагоны-цистерны, транспортные средства-батареи и вагоны-батареи, съемные цистерны, контейнеры-цистерны и МЭГК. Он не распространяется на переносные цистерны и МЭГК «UN». Положения главы 4.2 ДОПОГ/МПОГ включают применимые ссылки на главу 6.7 и содержание табличек, которые требуют указания наименований всех газов, перевозимых специализированной цистерной.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>4.</w:t>
      </w:r>
      <w:r>
        <w:tab/>
        <w:t>Положение пункта 4.3.3.3.2 применяется в неиз</w:t>
      </w:r>
      <w:r w:rsidR="00D40D20">
        <w:t>менной формулировке с 1981 </w:t>
      </w:r>
      <w:r>
        <w:t>года.</w:t>
      </w:r>
    </w:p>
    <w:p w:rsidR="00596AC3" w:rsidRPr="00345303" w:rsidRDefault="00596AC3" w:rsidP="00596AC3">
      <w:pPr>
        <w:pStyle w:val="HChG"/>
        <w:rPr>
          <w:w w:val="110"/>
        </w:rPr>
      </w:pPr>
      <w:r>
        <w:tab/>
      </w:r>
      <w:r>
        <w:tab/>
      </w:r>
      <w:r>
        <w:rPr>
          <w:bCs/>
        </w:rPr>
        <w:t>Предложение</w:t>
      </w:r>
      <w:r>
        <w:t xml:space="preserve"> 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>5.</w:t>
      </w:r>
      <w:r>
        <w:tab/>
        <w:t>Положение пункта 4.3.3.3.2 МПОГ/ДОПОГ следует исключить.</w:t>
      </w:r>
    </w:p>
    <w:p w:rsidR="00596AC3" w:rsidRPr="00345303" w:rsidRDefault="00596AC3" w:rsidP="00596AC3">
      <w:pPr>
        <w:pStyle w:val="HChG"/>
        <w:spacing w:before="240" w:after="120"/>
      </w:pPr>
      <w:r>
        <w:tab/>
      </w:r>
      <w:r>
        <w:tab/>
      </w:r>
      <w:r>
        <w:rPr>
          <w:bCs/>
        </w:rPr>
        <w:t>Обоснование</w:t>
      </w:r>
    </w:p>
    <w:p w:rsidR="00596AC3" w:rsidRPr="00345303" w:rsidRDefault="00596AC3" w:rsidP="00596AC3">
      <w:pPr>
        <w:pStyle w:val="SingleTxtG"/>
        <w:rPr>
          <w:w w:val="105"/>
        </w:rPr>
      </w:pPr>
      <w:r>
        <w:t>6.</w:t>
      </w:r>
      <w:r>
        <w:tab/>
        <w:t>Данная поправка унифицирует требования, предъявляемые к перевозке, и обеспечивает большую прозрачность правил.</w:t>
      </w:r>
    </w:p>
    <w:p w:rsidR="00596AC3" w:rsidRPr="00345303" w:rsidRDefault="00596AC3" w:rsidP="00596AC3">
      <w:pPr>
        <w:pStyle w:val="HChG"/>
      </w:pPr>
      <w:r>
        <w:tab/>
      </w:r>
      <w:r>
        <w:tab/>
      </w:r>
      <w:r>
        <w:rPr>
          <w:bCs/>
        </w:rPr>
        <w:t>Трудности</w:t>
      </w:r>
    </w:p>
    <w:p w:rsidR="00596AC3" w:rsidRPr="00345303" w:rsidRDefault="00596AC3" w:rsidP="00596AC3">
      <w:pPr>
        <w:pStyle w:val="BodyText"/>
        <w:spacing w:before="236"/>
        <w:ind w:left="1134"/>
        <w:jc w:val="both"/>
        <w:rPr>
          <w:w w:val="105"/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  <w:t>Никаких трудностей с применением этой поправки не ожидается.</w:t>
      </w:r>
    </w:p>
    <w:p w:rsidR="00596AC3" w:rsidRPr="00345303" w:rsidRDefault="00596AC3" w:rsidP="00596AC3">
      <w:pPr>
        <w:rPr>
          <w:w w:val="105"/>
        </w:rPr>
      </w:pPr>
      <w:r w:rsidRPr="00345303">
        <w:rPr>
          <w:w w:val="105"/>
        </w:rPr>
        <w:br w:type="page"/>
      </w:r>
    </w:p>
    <w:p w:rsidR="00596AC3" w:rsidRDefault="00596AC3" w:rsidP="00596AC3">
      <w:pPr>
        <w:pStyle w:val="HChG"/>
      </w:pPr>
      <w:r>
        <w:lastRenderedPageBreak/>
        <w:tab/>
      </w:r>
      <w:r>
        <w:tab/>
      </w:r>
      <w:r>
        <w:rPr>
          <w:bCs/>
        </w:rPr>
        <w:t>Приложение</w:t>
      </w:r>
      <w:r>
        <w:t xml:space="preserve"> </w:t>
      </w:r>
    </w:p>
    <w:p w:rsidR="00596AC3" w:rsidRDefault="00596AC3" w:rsidP="00596AC3">
      <w:pPr>
        <w:spacing w:before="240"/>
        <w:jc w:val="center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7F7D82" wp14:editId="55FEB05A">
            <wp:simplePos x="0" y="0"/>
            <wp:positionH relativeFrom="column">
              <wp:posOffset>626110</wp:posOffset>
            </wp:positionH>
            <wp:positionV relativeFrom="paragraph">
              <wp:posOffset>33020</wp:posOffset>
            </wp:positionV>
            <wp:extent cx="5761355" cy="7681595"/>
            <wp:effectExtent l="0" t="0" r="0" b="0"/>
            <wp:wrapSquare wrapText="bothSides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Pr="00550A66" w:rsidRDefault="00596AC3" w:rsidP="00596AC3"/>
    <w:p w:rsidR="00596AC3" w:rsidRDefault="00596AC3" w:rsidP="00596AC3">
      <w:pPr>
        <w:rPr>
          <w:u w:val="single"/>
        </w:rPr>
      </w:pPr>
    </w:p>
    <w:p w:rsidR="00596AC3" w:rsidRDefault="00596AC3" w:rsidP="00596AC3">
      <w:pPr>
        <w:tabs>
          <w:tab w:val="left" w:pos="680"/>
        </w:tabs>
      </w:pPr>
      <w:r>
        <w:tab/>
      </w: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Default="00596AC3" w:rsidP="00596AC3">
      <w:pPr>
        <w:tabs>
          <w:tab w:val="left" w:pos="680"/>
        </w:tabs>
      </w:pPr>
    </w:p>
    <w:p w:rsidR="00596AC3" w:rsidRPr="00596AC3" w:rsidRDefault="00596AC3" w:rsidP="00596AC3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596AC3" w:rsidRPr="00596AC3" w:rsidSect="00596AC3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9A9" w:rsidRPr="00A312BC" w:rsidRDefault="00C679A9" w:rsidP="00A312BC"/>
  </w:endnote>
  <w:endnote w:type="continuationSeparator" w:id="0">
    <w:p w:rsidR="00C679A9" w:rsidRPr="00A312BC" w:rsidRDefault="00C679A9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AC3" w:rsidRPr="00596AC3" w:rsidRDefault="00596AC3">
    <w:pPr>
      <w:pStyle w:val="Footer"/>
    </w:pPr>
    <w:r w:rsidRPr="00596AC3">
      <w:rPr>
        <w:b/>
        <w:sz w:val="18"/>
      </w:rPr>
      <w:fldChar w:fldCharType="begin"/>
    </w:r>
    <w:r w:rsidRPr="00596AC3">
      <w:rPr>
        <w:b/>
        <w:sz w:val="18"/>
      </w:rPr>
      <w:instrText xml:space="preserve"> PAGE  \* MERGEFORMAT </w:instrText>
    </w:r>
    <w:r w:rsidRPr="00596AC3">
      <w:rPr>
        <w:b/>
        <w:sz w:val="18"/>
      </w:rPr>
      <w:fldChar w:fldCharType="separate"/>
    </w:r>
    <w:r w:rsidR="00086E46">
      <w:rPr>
        <w:b/>
        <w:noProof/>
        <w:sz w:val="18"/>
      </w:rPr>
      <w:t>2</w:t>
    </w:r>
    <w:r w:rsidRPr="00596AC3">
      <w:rPr>
        <w:b/>
        <w:sz w:val="18"/>
      </w:rPr>
      <w:fldChar w:fldCharType="end"/>
    </w:r>
    <w:r>
      <w:rPr>
        <w:b/>
        <w:sz w:val="18"/>
      </w:rPr>
      <w:tab/>
    </w:r>
    <w:r>
      <w:t>GE.20-00090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AC3" w:rsidRPr="00596AC3" w:rsidRDefault="00596AC3" w:rsidP="00596AC3">
    <w:pPr>
      <w:pStyle w:val="Footer"/>
      <w:tabs>
        <w:tab w:val="clear" w:pos="9639"/>
        <w:tab w:val="right" w:pos="9638"/>
      </w:tabs>
      <w:rPr>
        <w:b/>
        <w:sz w:val="18"/>
      </w:rPr>
    </w:pPr>
    <w:r>
      <w:t>GE.20-00090</w:t>
    </w:r>
    <w:r>
      <w:tab/>
    </w:r>
    <w:r w:rsidRPr="00596AC3">
      <w:rPr>
        <w:b/>
        <w:sz w:val="18"/>
      </w:rPr>
      <w:fldChar w:fldCharType="begin"/>
    </w:r>
    <w:r w:rsidRPr="00596AC3">
      <w:rPr>
        <w:b/>
        <w:sz w:val="18"/>
      </w:rPr>
      <w:instrText xml:space="preserve"> PAGE  \* MERGEFORMAT </w:instrText>
    </w:r>
    <w:r w:rsidRPr="00596AC3">
      <w:rPr>
        <w:b/>
        <w:sz w:val="18"/>
      </w:rPr>
      <w:fldChar w:fldCharType="separate"/>
    </w:r>
    <w:r w:rsidR="00086E46">
      <w:rPr>
        <w:b/>
        <w:noProof/>
        <w:sz w:val="18"/>
      </w:rPr>
      <w:t>3</w:t>
    </w:r>
    <w:r w:rsidRPr="00596AC3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596AC3" w:rsidRDefault="00596AC3" w:rsidP="00596AC3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20-00090  (R)</w:t>
    </w:r>
    <w:r w:rsidR="00E21615">
      <w:rPr>
        <w:lang w:val="en-US"/>
      </w:rPr>
      <w:t xml:space="preserve">  090120  090120</w:t>
    </w:r>
    <w:r>
      <w:br/>
    </w:r>
    <w:r w:rsidRPr="00596AC3">
      <w:rPr>
        <w:rFonts w:ascii="C39T30Lfz" w:hAnsi="C39T30Lfz"/>
        <w:kern w:val="14"/>
        <w:sz w:val="56"/>
      </w:rPr>
      <w:t></w:t>
    </w:r>
    <w:r w:rsidRPr="00596AC3">
      <w:rPr>
        <w:rFonts w:ascii="C39T30Lfz" w:hAnsi="C39T30Lfz"/>
        <w:kern w:val="14"/>
        <w:sz w:val="56"/>
      </w:rPr>
      <w:t></w:t>
    </w:r>
    <w:r w:rsidRPr="00596AC3">
      <w:rPr>
        <w:rFonts w:ascii="C39T30Lfz" w:hAnsi="C39T30Lfz"/>
        <w:kern w:val="14"/>
        <w:sz w:val="56"/>
      </w:rPr>
      <w:t></w:t>
    </w:r>
    <w:r w:rsidRPr="00596AC3">
      <w:rPr>
        <w:rFonts w:ascii="C39T30Lfz" w:hAnsi="C39T30Lfz"/>
        <w:kern w:val="14"/>
        <w:sz w:val="56"/>
      </w:rPr>
      <w:t></w:t>
    </w:r>
    <w:r w:rsidRPr="00596AC3">
      <w:rPr>
        <w:rFonts w:ascii="C39T30Lfz" w:hAnsi="C39T30Lfz"/>
        <w:kern w:val="14"/>
        <w:sz w:val="56"/>
      </w:rPr>
      <w:t></w:t>
    </w:r>
    <w:r w:rsidRPr="00596AC3">
      <w:rPr>
        <w:rFonts w:ascii="C39T30Lfz" w:hAnsi="C39T30Lfz"/>
        <w:kern w:val="14"/>
        <w:sz w:val="56"/>
      </w:rPr>
      <w:t></w:t>
    </w:r>
    <w:r w:rsidRPr="00596AC3">
      <w:rPr>
        <w:rFonts w:ascii="C39T30Lfz" w:hAnsi="C39T30Lfz"/>
        <w:kern w:val="14"/>
        <w:sz w:val="56"/>
      </w:rPr>
      <w:t></w:t>
    </w:r>
    <w:r w:rsidRPr="00596AC3">
      <w:rPr>
        <w:rFonts w:ascii="C39T30Lfz" w:hAnsi="C39T30Lfz"/>
        <w:kern w:val="14"/>
        <w:sz w:val="56"/>
      </w:rPr>
      <w:t></w:t>
    </w:r>
    <w:r w:rsidRPr="00596AC3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1/2020/26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20/26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9A9" w:rsidRPr="001075E9" w:rsidRDefault="00C679A9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C679A9" w:rsidRDefault="00C679A9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596AC3" w:rsidRPr="00345303" w:rsidRDefault="00596AC3" w:rsidP="00596AC3">
      <w:pPr>
        <w:pStyle w:val="FootnoteText"/>
        <w:rPr>
          <w:sz w:val="20"/>
        </w:rPr>
      </w:pPr>
      <w:r>
        <w:tab/>
      </w:r>
      <w:r w:rsidRPr="005E5C1F">
        <w:rPr>
          <w:sz w:val="20"/>
        </w:rPr>
        <w:t>*</w:t>
      </w:r>
      <w:r>
        <w:tab/>
        <w:t>2020 год (A/74/6 (Раздел 20) и дополнительная информация, Подпрограмма 2).</w:t>
      </w:r>
    </w:p>
  </w:footnote>
  <w:footnote w:id="2">
    <w:p w:rsidR="00596AC3" w:rsidRPr="00345303" w:rsidRDefault="00596AC3" w:rsidP="00596AC3">
      <w:pPr>
        <w:pStyle w:val="FootnoteText"/>
        <w:rPr>
          <w:sz w:val="20"/>
        </w:rPr>
      </w:pPr>
      <w:r>
        <w:tab/>
      </w:r>
      <w:r w:rsidRPr="005E5C1F">
        <w:rPr>
          <w:sz w:val="20"/>
        </w:rPr>
        <w:t>**</w:t>
      </w:r>
      <w:r>
        <w:tab/>
        <w:t>Распространено Межправительственной организацией по международным железнодорожным перевозкам (ОТИФ) под условным обозначением OTIF/RID/RC/2020/26.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AC3" w:rsidRPr="00596AC3" w:rsidRDefault="00015FDA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086E46">
      <w:t>ECE/TRANS/WP.15/AC.1/2020/26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AC3" w:rsidRPr="00596AC3" w:rsidRDefault="00015FDA" w:rsidP="00596AC3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086E46">
      <w:t>ECE/TRANS/WP.15/AC.1/2020/26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A9"/>
    <w:rsid w:val="00015FDA"/>
    <w:rsid w:val="00033EE1"/>
    <w:rsid w:val="00042B72"/>
    <w:rsid w:val="000558BD"/>
    <w:rsid w:val="00086E46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96AC3"/>
    <w:rsid w:val="005D7914"/>
    <w:rsid w:val="005E2B41"/>
    <w:rsid w:val="005E5C1F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679A9"/>
    <w:rsid w:val="00C71E84"/>
    <w:rsid w:val="00C805C9"/>
    <w:rsid w:val="00C92939"/>
    <w:rsid w:val="00CA1679"/>
    <w:rsid w:val="00CB151C"/>
    <w:rsid w:val="00CE5A1A"/>
    <w:rsid w:val="00CF55F6"/>
    <w:rsid w:val="00D33D63"/>
    <w:rsid w:val="00D40D20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21615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11B7C83D-C824-493A-842E-4490B56F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,Footnote Reference/,4_GR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,5_GR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,5_GR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locked/>
    <w:rsid w:val="00596AC3"/>
    <w:rPr>
      <w:lang w:val="ru-RU" w:eastAsia="en-US"/>
    </w:rPr>
  </w:style>
  <w:style w:type="paragraph" w:styleId="BodyText">
    <w:name w:val="Body Text"/>
    <w:basedOn w:val="Normal"/>
    <w:next w:val="Normal"/>
    <w:link w:val="BodyTextChar"/>
    <w:semiHidden/>
    <w:rsid w:val="00596AC3"/>
    <w:rPr>
      <w:rFonts w:eastAsia="Times New Roman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596AC3"/>
    <w:rPr>
      <w:lang w:val="en-GB" w:eastAsia="en-US"/>
    </w:rPr>
  </w:style>
  <w:style w:type="character" w:customStyle="1" w:styleId="HChGChar">
    <w:name w:val="_ H _Ch_G Char"/>
    <w:link w:val="HChG"/>
    <w:rsid w:val="00596AC3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ECE/TRANS/WP.15/AC.1/2020/26</vt:lpstr>
      <vt:lpstr>ECE/TRANS/WP.15/AC.1/2020/26</vt:lpstr>
      <vt:lpstr>A/</vt:lpstr>
    </vt:vector>
  </TitlesOfParts>
  <Company>DCM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ECE/TRANS/WP.15/AC.1/2020/26</dc:title>
  <dc:subject/>
  <dc:creator>Marina KOROTKOVA</dc:creator>
  <cp:keywords/>
  <cp:lastModifiedBy>Christine Barrio-Champeau</cp:lastModifiedBy>
  <cp:revision>2</cp:revision>
  <cp:lastPrinted>2020-01-09T14:00:00Z</cp:lastPrinted>
  <dcterms:created xsi:type="dcterms:W3CDTF">2020-01-24T07:39:00Z</dcterms:created>
  <dcterms:modified xsi:type="dcterms:W3CDTF">2020-01-24T07:39:00Z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