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page" w:horzAnchor="page" w:tblpX="1134" w:tblpY="284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2268"/>
        <w:gridCol w:w="3260"/>
        <w:gridCol w:w="2835"/>
      </w:tblGrid>
      <w:tr w:rsidR="009E6CB7" w:rsidTr="00B20551">
        <w:trPr>
          <w:cantSplit/>
          <w:trHeight w:hRule="exact" w:val="851"/>
        </w:trPr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:rsidR="009E6CB7" w:rsidRDefault="009E6CB7" w:rsidP="00B20551">
            <w:pPr>
              <w:spacing w:after="80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:rsidR="009E6CB7" w:rsidRPr="00B97172" w:rsidRDefault="009E6CB7" w:rsidP="00B20551">
            <w:pPr>
              <w:spacing w:after="80" w:line="300" w:lineRule="exact"/>
              <w:rPr>
                <w:b/>
                <w:sz w:val="24"/>
                <w:szCs w:val="24"/>
              </w:rPr>
            </w:pPr>
            <w:r>
              <w:rPr>
                <w:sz w:val="28"/>
                <w:szCs w:val="28"/>
              </w:rPr>
              <w:t>United Nations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vAlign w:val="bottom"/>
          </w:tcPr>
          <w:p w:rsidR="009E6CB7" w:rsidRPr="00D47EEA" w:rsidRDefault="00C32569" w:rsidP="00C32569">
            <w:pPr>
              <w:jc w:val="right"/>
            </w:pPr>
            <w:r w:rsidRPr="00C32569">
              <w:rPr>
                <w:sz w:val="40"/>
              </w:rPr>
              <w:t>ECE</w:t>
            </w:r>
            <w:r>
              <w:t>/TRANS/WP.15/AC.1/2020/26</w:t>
            </w:r>
          </w:p>
        </w:tc>
      </w:tr>
      <w:tr w:rsidR="009E6CB7" w:rsidTr="00B20551">
        <w:trPr>
          <w:cantSplit/>
          <w:trHeight w:hRule="exact" w:val="2835"/>
        </w:trPr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</w:tcPr>
          <w:p w:rsidR="009E6CB7" w:rsidRDefault="00686A48" w:rsidP="00B20551">
            <w:pPr>
              <w:spacing w:before="120"/>
            </w:pPr>
            <w:r>
              <w:rPr>
                <w:noProof/>
                <w:lang w:val="fr-CH" w:eastAsia="fr-CH"/>
              </w:rPr>
              <w:drawing>
                <wp:inline distT="0" distB="0" distL="0" distR="0" wp14:anchorId="663DC0CA" wp14:editId="6A19E849">
                  <wp:extent cx="714375" cy="590550"/>
                  <wp:effectExtent l="0" t="0" r="9525" b="0"/>
                  <wp:docPr id="1" name="Image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9E6CB7" w:rsidRPr="00D773DF" w:rsidRDefault="009E6CB7" w:rsidP="00B20551">
            <w:pPr>
              <w:spacing w:before="120" w:line="420" w:lineRule="exact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Economic and Social Council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12" w:space="0" w:color="auto"/>
            </w:tcBorders>
          </w:tcPr>
          <w:p w:rsidR="009E6CB7" w:rsidRDefault="00C32569" w:rsidP="00C32569">
            <w:pPr>
              <w:spacing w:before="240" w:line="240" w:lineRule="exact"/>
            </w:pPr>
            <w:r>
              <w:t>Distr.: General</w:t>
            </w:r>
          </w:p>
          <w:p w:rsidR="00C32569" w:rsidRDefault="00982423" w:rsidP="00C32569">
            <w:pPr>
              <w:spacing w:line="240" w:lineRule="exact"/>
            </w:pPr>
            <w:r>
              <w:t>6 January 2020</w:t>
            </w:r>
            <w:bookmarkStart w:id="0" w:name="_GoBack"/>
            <w:bookmarkEnd w:id="0"/>
          </w:p>
          <w:p w:rsidR="00C32569" w:rsidRDefault="00C32569" w:rsidP="00C32569">
            <w:pPr>
              <w:spacing w:line="240" w:lineRule="exact"/>
            </w:pPr>
          </w:p>
          <w:p w:rsidR="00C32569" w:rsidRDefault="00C32569" w:rsidP="00C32569">
            <w:pPr>
              <w:spacing w:line="240" w:lineRule="exact"/>
            </w:pPr>
            <w:r>
              <w:t>Original: English</w:t>
            </w:r>
          </w:p>
        </w:tc>
      </w:tr>
    </w:tbl>
    <w:p w:rsidR="00550A66" w:rsidRDefault="00550A66" w:rsidP="00550A66">
      <w:pPr>
        <w:spacing w:before="120"/>
        <w:rPr>
          <w:b/>
          <w:sz w:val="28"/>
          <w:szCs w:val="28"/>
        </w:rPr>
      </w:pPr>
      <w:r>
        <w:rPr>
          <w:b/>
          <w:sz w:val="28"/>
          <w:szCs w:val="28"/>
        </w:rPr>
        <w:t>Economic Commission for Europe</w:t>
      </w:r>
    </w:p>
    <w:p w:rsidR="00550A66" w:rsidRPr="008268C5" w:rsidRDefault="00550A66" w:rsidP="00550A66">
      <w:pPr>
        <w:spacing w:before="120"/>
        <w:rPr>
          <w:sz w:val="28"/>
          <w:szCs w:val="28"/>
        </w:rPr>
      </w:pPr>
      <w:r w:rsidRPr="008268C5">
        <w:rPr>
          <w:sz w:val="28"/>
          <w:szCs w:val="28"/>
        </w:rPr>
        <w:t>Inland Transport Committee</w:t>
      </w:r>
    </w:p>
    <w:p w:rsidR="00550A66" w:rsidRPr="008268C5" w:rsidRDefault="00550A66" w:rsidP="00550A66">
      <w:pPr>
        <w:spacing w:before="120"/>
        <w:rPr>
          <w:b/>
          <w:sz w:val="24"/>
          <w:szCs w:val="24"/>
        </w:rPr>
      </w:pPr>
      <w:r w:rsidRPr="008268C5">
        <w:rPr>
          <w:b/>
          <w:sz w:val="24"/>
          <w:szCs w:val="24"/>
        </w:rPr>
        <w:t>Working Party on the Transport of Dangerous Goods</w:t>
      </w:r>
    </w:p>
    <w:p w:rsidR="00550A66" w:rsidRPr="008268C5" w:rsidRDefault="00550A66" w:rsidP="00550A66">
      <w:pPr>
        <w:spacing w:before="120"/>
        <w:rPr>
          <w:b/>
        </w:rPr>
      </w:pPr>
      <w:r>
        <w:rPr>
          <w:b/>
        </w:rPr>
        <w:t>Joint Meeting of the RID Committee of Experts and the</w:t>
      </w:r>
      <w:r>
        <w:rPr>
          <w:b/>
        </w:rPr>
        <w:br/>
        <w:t>Working Party on the Transport of Dangerous Goods</w:t>
      </w:r>
      <w:r w:rsidRPr="008268C5">
        <w:rPr>
          <w:b/>
        </w:rPr>
        <w:tab/>
      </w:r>
      <w:r w:rsidRPr="008268C5">
        <w:rPr>
          <w:b/>
        </w:rPr>
        <w:tab/>
      </w:r>
      <w:r w:rsidRPr="008268C5">
        <w:rPr>
          <w:b/>
        </w:rPr>
        <w:tab/>
      </w:r>
      <w:r w:rsidRPr="008268C5">
        <w:rPr>
          <w:b/>
        </w:rPr>
        <w:tab/>
      </w:r>
      <w:r w:rsidRPr="008268C5">
        <w:rPr>
          <w:b/>
        </w:rPr>
        <w:tab/>
      </w:r>
      <w:r>
        <w:rPr>
          <w:b/>
        </w:rPr>
        <w:tab/>
      </w:r>
    </w:p>
    <w:p w:rsidR="00550A66" w:rsidRDefault="00550A66" w:rsidP="00550A66">
      <w:r>
        <w:t>Bern</w:t>
      </w:r>
      <w:r w:rsidRPr="008268C5">
        <w:t>,</w:t>
      </w:r>
      <w:r>
        <w:t xml:space="preserve"> 16-20 March</w:t>
      </w:r>
      <w:r w:rsidRPr="008268C5">
        <w:t xml:space="preserve"> 20</w:t>
      </w:r>
      <w:r>
        <w:t>20</w:t>
      </w:r>
    </w:p>
    <w:p w:rsidR="00550A66" w:rsidRPr="008268C5" w:rsidRDefault="00550A66" w:rsidP="00550A66">
      <w:r>
        <w:t>Item 5 (b) of the provisional agenda</w:t>
      </w:r>
    </w:p>
    <w:p w:rsidR="00550A66" w:rsidRDefault="00550A66" w:rsidP="00550A66">
      <w:pPr>
        <w:rPr>
          <w:b/>
          <w:bCs/>
        </w:rPr>
      </w:pPr>
      <w:r w:rsidRPr="00F94D6D">
        <w:rPr>
          <w:b/>
          <w:bCs/>
        </w:rPr>
        <w:t>Proposals for amendments to RID/ADR/ADN</w:t>
      </w:r>
      <w:r>
        <w:rPr>
          <w:b/>
          <w:bCs/>
        </w:rPr>
        <w:t>:</w:t>
      </w:r>
    </w:p>
    <w:p w:rsidR="00550A66" w:rsidRPr="00DD2EDF" w:rsidRDefault="00550A66" w:rsidP="00550A66">
      <w:pPr>
        <w:rPr>
          <w:b/>
        </w:rPr>
      </w:pPr>
      <w:r>
        <w:rPr>
          <w:b/>
          <w:bCs/>
        </w:rPr>
        <w:t>new proposals</w:t>
      </w:r>
    </w:p>
    <w:p w:rsidR="00550A66" w:rsidRDefault="00550A66" w:rsidP="00550A66">
      <w:pPr>
        <w:pStyle w:val="HChG"/>
      </w:pPr>
      <w:r>
        <w:tab/>
      </w:r>
      <w:r>
        <w:tab/>
      </w:r>
      <w:r w:rsidRPr="002A02DC">
        <w:t xml:space="preserve">Proposal of amendment to </w:t>
      </w:r>
      <w:r>
        <w:t xml:space="preserve">4.3.3.3.2 of RID/ADR </w:t>
      </w:r>
    </w:p>
    <w:p w:rsidR="00550A66" w:rsidRDefault="00550A66" w:rsidP="00550A66">
      <w:pPr>
        <w:suppressAutoHyphens w:val="0"/>
        <w:spacing w:line="240" w:lineRule="auto"/>
        <w:rPr>
          <w:sz w:val="24"/>
          <w:szCs w:val="24"/>
          <w:lang w:eastAsia="zh-CN"/>
        </w:rPr>
      </w:pPr>
      <w:r w:rsidRPr="00B573A9">
        <w:tab/>
      </w:r>
      <w:r w:rsidRPr="00B573A9">
        <w:tab/>
      </w:r>
      <w:r w:rsidRPr="00550A66">
        <w:rPr>
          <w:rStyle w:val="H1GChar"/>
        </w:rPr>
        <w:t>Transmitted by the Government of Poland</w:t>
      </w:r>
      <w:bookmarkStart w:id="1" w:name="_Hlk27131928"/>
      <w:r w:rsidRPr="00550A66">
        <w:rPr>
          <w:rStyle w:val="FootnoteReference"/>
          <w:b/>
          <w:bCs/>
          <w:sz w:val="20"/>
        </w:rPr>
        <w:footnoteReference w:customMarkFollows="1" w:id="2"/>
        <w:t>*</w:t>
      </w:r>
      <w:r w:rsidRPr="00550A66">
        <w:rPr>
          <w:b/>
          <w:bCs/>
          <w:vertAlign w:val="superscript"/>
        </w:rPr>
        <w:t xml:space="preserve">, </w:t>
      </w:r>
      <w:r w:rsidRPr="00550A66">
        <w:rPr>
          <w:rStyle w:val="FootnoteReference"/>
          <w:b/>
          <w:bCs/>
          <w:sz w:val="20"/>
        </w:rPr>
        <w:footnoteReference w:customMarkFollows="1" w:id="3"/>
        <w:t>**</w:t>
      </w:r>
      <w:bookmarkEnd w:id="1"/>
      <w:r>
        <w:rPr>
          <w:szCs w:val="24"/>
          <w:lang w:eastAsia="zh-CN"/>
        </w:rPr>
        <w:t xml:space="preserve"> </w:t>
      </w:r>
      <w:r>
        <w:rPr>
          <w:lang w:val="en-US" w:eastAsia="ru-RU"/>
        </w:rPr>
        <w:t xml:space="preserve"> </w:t>
      </w:r>
      <w:r>
        <w:rPr>
          <w:sz w:val="24"/>
          <w:szCs w:val="24"/>
          <w:lang w:eastAsia="zh-CN"/>
        </w:rPr>
        <w:t xml:space="preserve"> </w:t>
      </w:r>
    </w:p>
    <w:p w:rsidR="00550A66" w:rsidRPr="00043804" w:rsidRDefault="00550A66" w:rsidP="00550A66">
      <w:pPr>
        <w:pStyle w:val="HChG"/>
        <w:rPr>
          <w:w w:val="110"/>
        </w:rPr>
      </w:pPr>
      <w:r>
        <w:rPr>
          <w:w w:val="110"/>
        </w:rPr>
        <w:tab/>
      </w:r>
      <w:r>
        <w:rPr>
          <w:w w:val="110"/>
        </w:rPr>
        <w:tab/>
      </w:r>
      <w:r w:rsidRPr="00043804">
        <w:rPr>
          <w:w w:val="110"/>
        </w:rPr>
        <w:t>Introduction</w:t>
      </w:r>
    </w:p>
    <w:p w:rsidR="00550A66" w:rsidRDefault="00550A66" w:rsidP="00550A66">
      <w:pPr>
        <w:pStyle w:val="SingleTxtG"/>
        <w:rPr>
          <w:w w:val="105"/>
        </w:rPr>
      </w:pPr>
      <w:r>
        <w:rPr>
          <w:w w:val="105"/>
        </w:rPr>
        <w:t>1.</w:t>
      </w:r>
      <w:r>
        <w:rPr>
          <w:w w:val="105"/>
        </w:rPr>
        <w:tab/>
      </w:r>
      <w:r w:rsidR="001D2BA3">
        <w:rPr>
          <w:w w:val="105"/>
        </w:rPr>
        <w:t xml:space="preserve">This proposal aims to amend 4.3.3.3.2 </w:t>
      </w:r>
      <w:r w:rsidR="001D2BA3" w:rsidRPr="00550A66">
        <w:t>(</w:t>
      </w:r>
      <w:r w:rsidR="00726D02">
        <w:t>s</w:t>
      </w:r>
      <w:r w:rsidR="001D2BA3" w:rsidRPr="00550A66">
        <w:t>ee also “INF.10 (Netherlands) Interpretation of the purpose and visibility of the markings required by 6.8.2.5.2 and 6.8.3.5.6” [March 2018]</w:t>
      </w:r>
      <w:r w:rsidR="001D2BA3">
        <w:t xml:space="preserve">) </w:t>
      </w:r>
      <w:r w:rsidR="001D2BA3">
        <w:rPr>
          <w:w w:val="105"/>
        </w:rPr>
        <w:t>a</w:t>
      </w:r>
      <w:r w:rsidRPr="00043804">
        <w:rPr>
          <w:w w:val="105"/>
        </w:rPr>
        <w:t xml:space="preserve">ccording to the </w:t>
      </w:r>
      <w:r>
        <w:rPr>
          <w:w w:val="105"/>
        </w:rPr>
        <w:t>provisions:</w:t>
      </w:r>
    </w:p>
    <w:p w:rsidR="00550A66" w:rsidRPr="001D2BA3" w:rsidRDefault="00550A66" w:rsidP="00550A66">
      <w:pPr>
        <w:pStyle w:val="SingleTxtG"/>
        <w:rPr>
          <w:b/>
          <w:w w:val="105"/>
        </w:rPr>
      </w:pPr>
      <w:r w:rsidRPr="001D2BA3">
        <w:rPr>
          <w:b/>
          <w:w w:val="105"/>
        </w:rPr>
        <w:t>4.3.3.3.2:</w:t>
      </w:r>
    </w:p>
    <w:p w:rsidR="00550A66" w:rsidRDefault="00550A66" w:rsidP="00550A66">
      <w:pPr>
        <w:pStyle w:val="SingleTxtG"/>
        <w:rPr>
          <w:w w:val="105"/>
        </w:rPr>
      </w:pPr>
      <w:r>
        <w:rPr>
          <w:w w:val="105"/>
        </w:rPr>
        <w:t>“</w:t>
      </w:r>
      <w:r w:rsidRPr="00697092">
        <w:rPr>
          <w:w w:val="105"/>
        </w:rPr>
        <w:t xml:space="preserve">When tanks, </w:t>
      </w:r>
      <w:proofErr w:type="spellStart"/>
      <w:r w:rsidRPr="00697092">
        <w:rPr>
          <w:w w:val="105"/>
        </w:rPr>
        <w:t>battery­vehicles</w:t>
      </w:r>
      <w:proofErr w:type="spellEnd"/>
      <w:r w:rsidRPr="00697092">
        <w:rPr>
          <w:w w:val="105"/>
        </w:rPr>
        <w:t xml:space="preserve"> or MEGCs are handed over for carriage, only the particulars specified in </w:t>
      </w:r>
      <w:r w:rsidRPr="00697092">
        <w:rPr>
          <w:b/>
          <w:w w:val="105"/>
        </w:rPr>
        <w:t>6.8.3.5.6</w:t>
      </w:r>
      <w:r w:rsidRPr="00697092">
        <w:rPr>
          <w:w w:val="105"/>
        </w:rPr>
        <w:t xml:space="preserve"> applicable to the gas loaded or just discharged shall be visible; all particulars concerning other gases </w:t>
      </w:r>
      <w:r w:rsidRPr="00E35276">
        <w:rPr>
          <w:w w:val="105"/>
        </w:rPr>
        <w:t>shall be covered up.”</w:t>
      </w:r>
    </w:p>
    <w:p w:rsidR="00550A66" w:rsidRPr="001D2BA3" w:rsidRDefault="00550A66" w:rsidP="00550A66">
      <w:pPr>
        <w:pStyle w:val="SingleTxtG"/>
        <w:rPr>
          <w:b/>
          <w:w w:val="105"/>
        </w:rPr>
      </w:pPr>
      <w:r w:rsidRPr="001D2BA3">
        <w:rPr>
          <w:b/>
          <w:w w:val="105"/>
        </w:rPr>
        <w:t>6.8.3.5.6:</w:t>
      </w:r>
    </w:p>
    <w:p w:rsidR="00550A66" w:rsidRDefault="00550A66" w:rsidP="00550A66">
      <w:pPr>
        <w:pStyle w:val="SingleTxtG"/>
        <w:rPr>
          <w:w w:val="105"/>
        </w:rPr>
      </w:pPr>
      <w:r>
        <w:rPr>
          <w:w w:val="105"/>
        </w:rPr>
        <w:t>“</w:t>
      </w:r>
      <w:r w:rsidRPr="00F94D6D">
        <w:rPr>
          <w:w w:val="105"/>
        </w:rPr>
        <w:t xml:space="preserve">In addition to the </w:t>
      </w:r>
      <w:proofErr w:type="gramStart"/>
      <w:r w:rsidRPr="00F94D6D">
        <w:rPr>
          <w:w w:val="105"/>
        </w:rPr>
        <w:t>particulars prescribed</w:t>
      </w:r>
      <w:proofErr w:type="gramEnd"/>
      <w:r w:rsidRPr="00F94D6D">
        <w:rPr>
          <w:w w:val="105"/>
        </w:rPr>
        <w:t xml:space="preserve"> in 6.8.2.5.2, the following shall be inscribed on the tank-vehicle (on the tank itself or on plates)</w:t>
      </w:r>
      <w:r>
        <w:rPr>
          <w:w w:val="105"/>
        </w:rPr>
        <w:t>:</w:t>
      </w:r>
    </w:p>
    <w:p w:rsidR="00550A66" w:rsidRPr="00F94D6D" w:rsidRDefault="00550A66" w:rsidP="00550A66">
      <w:pPr>
        <w:pStyle w:val="SingleTxtG"/>
        <w:rPr>
          <w:w w:val="105"/>
        </w:rPr>
      </w:pPr>
      <w:r>
        <w:rPr>
          <w:w w:val="105"/>
        </w:rPr>
        <w:tab/>
      </w:r>
      <w:r>
        <w:rPr>
          <w:w w:val="105"/>
        </w:rPr>
        <w:tab/>
        <w:t>(c)</w:t>
      </w:r>
      <w:r>
        <w:rPr>
          <w:w w:val="105"/>
        </w:rPr>
        <w:tab/>
      </w:r>
      <w:r w:rsidRPr="00F94D6D">
        <w:rPr>
          <w:w w:val="105"/>
        </w:rPr>
        <w:t>where the tank is a multipurpose tank:</w:t>
      </w:r>
    </w:p>
    <w:p w:rsidR="00550A66" w:rsidRDefault="00550A66" w:rsidP="001D2BA3">
      <w:pPr>
        <w:pStyle w:val="SingleTxtG"/>
        <w:ind w:left="2268" w:hanging="567"/>
        <w:rPr>
          <w:w w:val="105"/>
        </w:rPr>
      </w:pPr>
      <w:r>
        <w:rPr>
          <w:w w:val="105"/>
        </w:rPr>
        <w:tab/>
      </w:r>
      <w:r w:rsidR="001D2BA3">
        <w:rPr>
          <w:w w:val="105"/>
        </w:rPr>
        <w:tab/>
      </w:r>
      <w:r w:rsidRPr="00F94D6D">
        <w:rPr>
          <w:w w:val="105"/>
        </w:rPr>
        <w:t>-</w:t>
      </w:r>
      <w:r w:rsidRPr="00F94D6D">
        <w:rPr>
          <w:w w:val="105"/>
        </w:rPr>
        <w:tab/>
        <w:t xml:space="preserve">the proper shipping name of the gas and, for gases classified under an </w:t>
      </w:r>
      <w:proofErr w:type="spellStart"/>
      <w:r w:rsidRPr="00F94D6D">
        <w:rPr>
          <w:w w:val="105"/>
        </w:rPr>
        <w:t>n.o.s</w:t>
      </w:r>
      <w:proofErr w:type="spellEnd"/>
      <w:r w:rsidRPr="00F94D6D">
        <w:rPr>
          <w:w w:val="105"/>
        </w:rPr>
        <w:t>. entry, the technical name16 of all gases to whose carriage the tank is assigned with an indication of the maximum permissible load mass in kg for each of them;</w:t>
      </w:r>
      <w:r>
        <w:rPr>
          <w:w w:val="105"/>
        </w:rPr>
        <w:t>”</w:t>
      </w:r>
    </w:p>
    <w:p w:rsidR="00550A66" w:rsidRDefault="00550A66" w:rsidP="00550A66">
      <w:pPr>
        <w:pStyle w:val="SingleTxtG"/>
        <w:rPr>
          <w:i/>
          <w:w w:val="105"/>
        </w:rPr>
      </w:pPr>
      <w:r w:rsidRPr="00F94D6D">
        <w:rPr>
          <w:i/>
          <w:w w:val="105"/>
        </w:rPr>
        <w:t>(this provision also applies to A</w:t>
      </w:r>
      <w:r w:rsidR="001D2BA3">
        <w:rPr>
          <w:i/>
          <w:w w:val="105"/>
        </w:rPr>
        <w:t>DN</w:t>
      </w:r>
      <w:r w:rsidRPr="00F94D6D">
        <w:rPr>
          <w:i/>
          <w:w w:val="105"/>
        </w:rPr>
        <w:t xml:space="preserve"> (4.1.2))</w:t>
      </w:r>
    </w:p>
    <w:p w:rsidR="00550A66" w:rsidRPr="00043804" w:rsidRDefault="00550A66" w:rsidP="00550A66">
      <w:pPr>
        <w:pStyle w:val="SingleTxtG"/>
        <w:rPr>
          <w:w w:val="105"/>
        </w:rPr>
      </w:pPr>
      <w:r>
        <w:rPr>
          <w:w w:val="105"/>
        </w:rPr>
        <w:t>2.</w:t>
      </w:r>
      <w:r>
        <w:rPr>
          <w:w w:val="105"/>
        </w:rPr>
        <w:tab/>
      </w:r>
      <w:r w:rsidRPr="001D2BA3">
        <w:rPr>
          <w:w w:val="105"/>
        </w:rPr>
        <w:t>The provision of 4.3.3.3.2 is contradictory to 6.8.3.5.6.</w:t>
      </w:r>
      <w:r w:rsidRPr="00043804">
        <w:rPr>
          <w:w w:val="105"/>
        </w:rPr>
        <w:t xml:space="preserve"> In its current wording, it has served as a pretext to impose penalties on the carriers that fail to cover up </w:t>
      </w:r>
      <w:proofErr w:type="gramStart"/>
      <w:r w:rsidRPr="00043804">
        <w:rPr>
          <w:w w:val="105"/>
        </w:rPr>
        <w:t>the particulars</w:t>
      </w:r>
      <w:proofErr w:type="gramEnd"/>
      <w:r w:rsidRPr="00043804">
        <w:rPr>
          <w:w w:val="105"/>
        </w:rPr>
        <w:t xml:space="preserve">. Such cover-up is associated with interference in the </w:t>
      </w:r>
      <w:r w:rsidRPr="00892239">
        <w:rPr>
          <w:w w:val="105"/>
        </w:rPr>
        <w:t>nameplate</w:t>
      </w:r>
      <w:r>
        <w:rPr>
          <w:w w:val="105"/>
        </w:rPr>
        <w:t xml:space="preserve"> (see annex)</w:t>
      </w:r>
      <w:r w:rsidRPr="00043804">
        <w:rPr>
          <w:w w:val="105"/>
        </w:rPr>
        <w:t xml:space="preserve">, which is prohibited. The argument that these </w:t>
      </w:r>
      <w:proofErr w:type="gramStart"/>
      <w:r w:rsidRPr="00043804">
        <w:rPr>
          <w:w w:val="105"/>
        </w:rPr>
        <w:t>particulars are</w:t>
      </w:r>
      <w:proofErr w:type="gramEnd"/>
      <w:r w:rsidRPr="00043804">
        <w:rPr>
          <w:w w:val="105"/>
        </w:rPr>
        <w:t xml:space="preserve"> vital for the rescue service </w:t>
      </w:r>
      <w:r w:rsidRPr="00043804">
        <w:rPr>
          <w:w w:val="105"/>
        </w:rPr>
        <w:lastRenderedPageBreak/>
        <w:t xml:space="preserve">is irrelevant. </w:t>
      </w:r>
      <w:r w:rsidR="001D2BA3">
        <w:rPr>
          <w:w w:val="105"/>
        </w:rPr>
        <w:t>In the</w:t>
      </w:r>
      <w:r w:rsidRPr="00043804">
        <w:rPr>
          <w:w w:val="105"/>
        </w:rPr>
        <w:t xml:space="preserve"> case of </w:t>
      </w:r>
      <w:r w:rsidR="001D2BA3">
        <w:rPr>
          <w:w w:val="105"/>
        </w:rPr>
        <w:t xml:space="preserve">a </w:t>
      </w:r>
      <w:r w:rsidRPr="00043804">
        <w:rPr>
          <w:w w:val="105"/>
        </w:rPr>
        <w:t xml:space="preserve">fire, there is little chance to read the </w:t>
      </w:r>
      <w:proofErr w:type="gramStart"/>
      <w:r w:rsidRPr="00043804">
        <w:rPr>
          <w:w w:val="105"/>
        </w:rPr>
        <w:t>particulars provided</w:t>
      </w:r>
      <w:proofErr w:type="gramEnd"/>
      <w:r w:rsidRPr="00043804">
        <w:rPr>
          <w:w w:val="105"/>
        </w:rPr>
        <w:t xml:space="preserve"> on the plate. The rescue services will focus on transport documents and </w:t>
      </w:r>
      <w:r>
        <w:rPr>
          <w:w w:val="105"/>
        </w:rPr>
        <w:t xml:space="preserve">orange-coloured plate </w:t>
      </w:r>
      <w:r w:rsidRPr="00043804">
        <w:rPr>
          <w:w w:val="105"/>
        </w:rPr>
        <w:t xml:space="preserve">that shall bear the name of carried gas. </w:t>
      </w:r>
    </w:p>
    <w:p w:rsidR="00550A66" w:rsidRPr="00043804" w:rsidRDefault="001D2BA3" w:rsidP="00550A66">
      <w:pPr>
        <w:pStyle w:val="SingleTxtG"/>
        <w:rPr>
          <w:w w:val="105"/>
        </w:rPr>
      </w:pPr>
      <w:r>
        <w:rPr>
          <w:w w:val="105"/>
        </w:rPr>
        <w:t>3.</w:t>
      </w:r>
      <w:r>
        <w:rPr>
          <w:w w:val="105"/>
        </w:rPr>
        <w:tab/>
      </w:r>
      <w:r w:rsidR="00550A66" w:rsidRPr="00043804">
        <w:rPr>
          <w:w w:val="105"/>
        </w:rPr>
        <w:t>4.3.3.3.2 applies to tank</w:t>
      </w:r>
      <w:r w:rsidR="00550A66">
        <w:rPr>
          <w:w w:val="105"/>
        </w:rPr>
        <w:t xml:space="preserve"> vehicles, tank wagons, battery-vehicles and battery-</w:t>
      </w:r>
      <w:r w:rsidR="00550A66" w:rsidRPr="00043804">
        <w:rPr>
          <w:w w:val="105"/>
        </w:rPr>
        <w:t>wagons, removable tanks, tank containers and MEG</w:t>
      </w:r>
      <w:r>
        <w:rPr>
          <w:w w:val="105"/>
        </w:rPr>
        <w:t>Cs</w:t>
      </w:r>
      <w:r w:rsidR="00550A66" w:rsidRPr="00043804">
        <w:rPr>
          <w:w w:val="105"/>
        </w:rPr>
        <w:t xml:space="preserve">. It shall not apply to portable tanks and </w:t>
      </w:r>
      <w:r>
        <w:rPr>
          <w:w w:val="105"/>
        </w:rPr>
        <w:t xml:space="preserve">UN </w:t>
      </w:r>
      <w:r w:rsidR="00550A66" w:rsidRPr="00043804">
        <w:rPr>
          <w:w w:val="105"/>
        </w:rPr>
        <w:t>MEGC</w:t>
      </w:r>
      <w:r>
        <w:rPr>
          <w:w w:val="105"/>
        </w:rPr>
        <w:t>s</w:t>
      </w:r>
      <w:r w:rsidR="00550A66" w:rsidRPr="00043804">
        <w:rPr>
          <w:w w:val="105"/>
        </w:rPr>
        <w:t>. The provisions of part 4.2 of ADR/RID include the applicable references to part 6.7 and plate content – which require specification of names of all gases to be carried by a dedicated tank.</w:t>
      </w:r>
    </w:p>
    <w:p w:rsidR="00550A66" w:rsidRPr="00043804" w:rsidRDefault="001D2BA3" w:rsidP="00550A66">
      <w:pPr>
        <w:pStyle w:val="SingleTxtG"/>
        <w:rPr>
          <w:w w:val="105"/>
        </w:rPr>
      </w:pPr>
      <w:r>
        <w:rPr>
          <w:w w:val="105"/>
        </w:rPr>
        <w:t>4.</w:t>
      </w:r>
      <w:r>
        <w:rPr>
          <w:w w:val="105"/>
        </w:rPr>
        <w:tab/>
      </w:r>
      <w:r w:rsidR="00550A66" w:rsidRPr="00043804">
        <w:rPr>
          <w:w w:val="105"/>
        </w:rPr>
        <w:t>The provision of 4.3.3.3.2 has been applied in non-amended wording since 1981.</w:t>
      </w:r>
    </w:p>
    <w:p w:rsidR="00550A66" w:rsidRPr="00043804" w:rsidRDefault="00550A66" w:rsidP="00550A66">
      <w:pPr>
        <w:pStyle w:val="HChG"/>
        <w:rPr>
          <w:w w:val="110"/>
        </w:rPr>
      </w:pPr>
      <w:r>
        <w:rPr>
          <w:w w:val="110"/>
        </w:rPr>
        <w:tab/>
      </w:r>
      <w:r>
        <w:rPr>
          <w:w w:val="110"/>
        </w:rPr>
        <w:tab/>
      </w:r>
      <w:r w:rsidRPr="00043804">
        <w:rPr>
          <w:w w:val="110"/>
        </w:rPr>
        <w:t xml:space="preserve">Proposal </w:t>
      </w:r>
    </w:p>
    <w:p w:rsidR="00550A66" w:rsidRPr="00043804" w:rsidRDefault="001D2BA3" w:rsidP="00550A66">
      <w:pPr>
        <w:pStyle w:val="SingleTxtG"/>
        <w:rPr>
          <w:w w:val="105"/>
        </w:rPr>
      </w:pPr>
      <w:r>
        <w:rPr>
          <w:w w:val="105"/>
        </w:rPr>
        <w:t>5</w:t>
      </w:r>
      <w:r w:rsidR="00550A66">
        <w:rPr>
          <w:w w:val="105"/>
        </w:rPr>
        <w:t>.</w:t>
      </w:r>
      <w:r w:rsidR="00550A66">
        <w:rPr>
          <w:w w:val="105"/>
        </w:rPr>
        <w:tab/>
      </w:r>
      <w:r w:rsidR="00550A66" w:rsidRPr="00463272">
        <w:rPr>
          <w:w w:val="105"/>
        </w:rPr>
        <w:t>The provision of 4.3.3.3.2 of RID/ADR should be deleted.</w:t>
      </w:r>
    </w:p>
    <w:p w:rsidR="00550A66" w:rsidRPr="00A66889" w:rsidRDefault="00550A66" w:rsidP="00550A66">
      <w:pPr>
        <w:pStyle w:val="HChG"/>
        <w:spacing w:before="240" w:after="120"/>
      </w:pPr>
      <w:r>
        <w:rPr>
          <w:w w:val="110"/>
        </w:rPr>
        <w:tab/>
      </w:r>
      <w:r>
        <w:rPr>
          <w:w w:val="110"/>
        </w:rPr>
        <w:tab/>
      </w:r>
      <w:r w:rsidRPr="00A66889">
        <w:rPr>
          <w:w w:val="110"/>
        </w:rPr>
        <w:t>Justification</w:t>
      </w:r>
    </w:p>
    <w:p w:rsidR="00550A66" w:rsidRDefault="001D2BA3" w:rsidP="00550A66">
      <w:pPr>
        <w:pStyle w:val="SingleTxtG"/>
        <w:rPr>
          <w:w w:val="105"/>
        </w:rPr>
      </w:pPr>
      <w:r>
        <w:rPr>
          <w:w w:val="105"/>
        </w:rPr>
        <w:t>6</w:t>
      </w:r>
      <w:r w:rsidR="00550A66">
        <w:rPr>
          <w:w w:val="105"/>
        </w:rPr>
        <w:t>.</w:t>
      </w:r>
      <w:r w:rsidR="00550A66">
        <w:rPr>
          <w:w w:val="105"/>
        </w:rPr>
        <w:tab/>
      </w:r>
      <w:r w:rsidR="00550A66" w:rsidRPr="008163BF">
        <w:rPr>
          <w:w w:val="105"/>
        </w:rPr>
        <w:t xml:space="preserve">This amendment harmonizes </w:t>
      </w:r>
      <w:r w:rsidR="00726D02">
        <w:rPr>
          <w:w w:val="105"/>
        </w:rPr>
        <w:t xml:space="preserve">the </w:t>
      </w:r>
      <w:r w:rsidR="00550A66" w:rsidRPr="008163BF">
        <w:rPr>
          <w:w w:val="105"/>
        </w:rPr>
        <w:t xml:space="preserve">requirements </w:t>
      </w:r>
      <w:r w:rsidR="00726D02">
        <w:rPr>
          <w:w w:val="105"/>
        </w:rPr>
        <w:t>for</w:t>
      </w:r>
      <w:r w:rsidR="00550A66" w:rsidRPr="008163BF">
        <w:rPr>
          <w:w w:val="105"/>
        </w:rPr>
        <w:t xml:space="preserve"> carriage </w:t>
      </w:r>
      <w:r w:rsidR="00550A66">
        <w:rPr>
          <w:w w:val="105"/>
        </w:rPr>
        <w:t xml:space="preserve">and </w:t>
      </w:r>
      <w:r w:rsidR="00550A66" w:rsidRPr="008163BF">
        <w:rPr>
          <w:w w:val="105"/>
        </w:rPr>
        <w:t xml:space="preserve">introduce greater </w:t>
      </w:r>
      <w:r w:rsidR="00550A66" w:rsidRPr="00734C80">
        <w:rPr>
          <w:w w:val="105"/>
        </w:rPr>
        <w:t>transparency of regulations</w:t>
      </w:r>
      <w:r w:rsidR="00550A66">
        <w:rPr>
          <w:w w:val="105"/>
        </w:rPr>
        <w:t>.</w:t>
      </w:r>
    </w:p>
    <w:p w:rsidR="00550A66" w:rsidRPr="00A66889" w:rsidRDefault="00550A66" w:rsidP="00550A66">
      <w:pPr>
        <w:pStyle w:val="HChG"/>
      </w:pPr>
      <w:r w:rsidRPr="00A66889">
        <w:rPr>
          <w:w w:val="110"/>
        </w:rPr>
        <w:tab/>
      </w:r>
      <w:r w:rsidRPr="00A66889">
        <w:rPr>
          <w:w w:val="110"/>
        </w:rPr>
        <w:tab/>
        <w:t>Difficulties</w:t>
      </w:r>
    </w:p>
    <w:p w:rsidR="00550A66" w:rsidRDefault="001D2BA3" w:rsidP="00550A66">
      <w:pPr>
        <w:pStyle w:val="BodyText"/>
        <w:spacing w:before="236"/>
        <w:ind w:left="1134"/>
        <w:jc w:val="both"/>
        <w:rPr>
          <w:w w:val="105"/>
        </w:rPr>
      </w:pPr>
      <w:r>
        <w:rPr>
          <w:w w:val="105"/>
        </w:rPr>
        <w:t>7</w:t>
      </w:r>
      <w:r w:rsidR="00550A66">
        <w:rPr>
          <w:w w:val="105"/>
        </w:rPr>
        <w:t>.</w:t>
      </w:r>
      <w:r w:rsidR="00550A66">
        <w:rPr>
          <w:w w:val="105"/>
        </w:rPr>
        <w:tab/>
      </w:r>
      <w:r w:rsidR="00550A66" w:rsidRPr="00A66889">
        <w:rPr>
          <w:w w:val="105"/>
        </w:rPr>
        <w:t>No difficulties with the application of the amendment are</w:t>
      </w:r>
      <w:r w:rsidR="00550A66">
        <w:rPr>
          <w:spacing w:val="57"/>
          <w:w w:val="105"/>
        </w:rPr>
        <w:t xml:space="preserve"> </w:t>
      </w:r>
      <w:r w:rsidR="00550A66" w:rsidRPr="00A66889">
        <w:rPr>
          <w:w w:val="105"/>
        </w:rPr>
        <w:t>expected.</w:t>
      </w:r>
    </w:p>
    <w:p w:rsidR="00550A66" w:rsidRDefault="00550A66" w:rsidP="00550A66">
      <w:pPr>
        <w:rPr>
          <w:w w:val="105"/>
          <w:lang w:eastAsia="en-US"/>
        </w:rPr>
      </w:pPr>
      <w:r>
        <w:rPr>
          <w:w w:val="105"/>
        </w:rPr>
        <w:br w:type="page"/>
      </w:r>
    </w:p>
    <w:p w:rsidR="00550A66" w:rsidRDefault="00550A66" w:rsidP="00550A66">
      <w:pPr>
        <w:pStyle w:val="HChG"/>
      </w:pPr>
      <w:r>
        <w:lastRenderedPageBreak/>
        <w:tab/>
      </w:r>
      <w:r>
        <w:tab/>
        <w:t xml:space="preserve">Annex </w:t>
      </w:r>
    </w:p>
    <w:p w:rsidR="001C6663" w:rsidRDefault="00550A66" w:rsidP="00550A66">
      <w:pPr>
        <w:spacing w:before="240"/>
        <w:jc w:val="center"/>
        <w:rPr>
          <w:u w:val="single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9264" behindDoc="1" locked="0" layoutInCell="1" allowOverlap="1" wp14:anchorId="225CF0C2" wp14:editId="628CF99F">
            <wp:simplePos x="0" y="0"/>
            <wp:positionH relativeFrom="column">
              <wp:posOffset>626110</wp:posOffset>
            </wp:positionH>
            <wp:positionV relativeFrom="paragraph">
              <wp:posOffset>33020</wp:posOffset>
            </wp:positionV>
            <wp:extent cx="5761355" cy="7681595"/>
            <wp:effectExtent l="0" t="0" r="0" b="0"/>
            <wp:wrapSquare wrapText="bothSides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68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A66" w:rsidRPr="00550A66" w:rsidRDefault="00550A66" w:rsidP="00550A66"/>
    <w:p w:rsidR="00550A66" w:rsidRPr="00550A66" w:rsidRDefault="00550A66" w:rsidP="00550A66"/>
    <w:p w:rsidR="00550A66" w:rsidRPr="00550A66" w:rsidRDefault="00550A66" w:rsidP="00550A66"/>
    <w:p w:rsidR="00550A66" w:rsidRPr="00550A66" w:rsidRDefault="00550A66" w:rsidP="00550A66"/>
    <w:p w:rsidR="00550A66" w:rsidRPr="00550A66" w:rsidRDefault="00550A66" w:rsidP="00550A66"/>
    <w:p w:rsidR="00550A66" w:rsidRPr="00550A66" w:rsidRDefault="00550A66" w:rsidP="00550A66"/>
    <w:p w:rsidR="00550A66" w:rsidRPr="00550A66" w:rsidRDefault="00550A66" w:rsidP="00550A66"/>
    <w:p w:rsidR="00550A66" w:rsidRPr="00550A66" w:rsidRDefault="00550A66" w:rsidP="00550A66"/>
    <w:p w:rsidR="00550A66" w:rsidRPr="00550A66" w:rsidRDefault="00550A66" w:rsidP="00550A66"/>
    <w:p w:rsidR="00550A66" w:rsidRPr="00550A66" w:rsidRDefault="00550A66" w:rsidP="00550A66"/>
    <w:p w:rsidR="00550A66" w:rsidRPr="00550A66" w:rsidRDefault="00550A66" w:rsidP="00550A66"/>
    <w:p w:rsidR="00550A66" w:rsidRPr="00550A66" w:rsidRDefault="00550A66" w:rsidP="00550A66"/>
    <w:p w:rsidR="00550A66" w:rsidRPr="00550A66" w:rsidRDefault="00550A66" w:rsidP="00550A66"/>
    <w:p w:rsidR="00550A66" w:rsidRPr="00550A66" w:rsidRDefault="00550A66" w:rsidP="00550A66"/>
    <w:p w:rsidR="00550A66" w:rsidRPr="00550A66" w:rsidRDefault="00550A66" w:rsidP="00550A66"/>
    <w:p w:rsidR="00550A66" w:rsidRPr="00550A66" w:rsidRDefault="00550A66" w:rsidP="00550A66"/>
    <w:p w:rsidR="00550A66" w:rsidRPr="00550A66" w:rsidRDefault="00550A66" w:rsidP="00550A66"/>
    <w:p w:rsidR="00550A66" w:rsidRPr="00550A66" w:rsidRDefault="00550A66" w:rsidP="00550A66"/>
    <w:p w:rsidR="00550A66" w:rsidRDefault="00550A66" w:rsidP="00550A66">
      <w:pPr>
        <w:rPr>
          <w:u w:val="single"/>
        </w:rPr>
      </w:pPr>
    </w:p>
    <w:p w:rsidR="00550A66" w:rsidRDefault="00550A66" w:rsidP="00550A66">
      <w:pPr>
        <w:tabs>
          <w:tab w:val="left" w:pos="680"/>
        </w:tabs>
      </w:pPr>
      <w:r>
        <w:tab/>
      </w:r>
    </w:p>
    <w:p w:rsidR="00550A66" w:rsidRDefault="00550A66" w:rsidP="00550A66">
      <w:pPr>
        <w:tabs>
          <w:tab w:val="left" w:pos="680"/>
        </w:tabs>
      </w:pPr>
    </w:p>
    <w:p w:rsidR="00550A66" w:rsidRDefault="00550A66" w:rsidP="00550A66">
      <w:pPr>
        <w:tabs>
          <w:tab w:val="left" w:pos="680"/>
        </w:tabs>
      </w:pPr>
    </w:p>
    <w:p w:rsidR="00550A66" w:rsidRDefault="00550A66" w:rsidP="00550A66">
      <w:pPr>
        <w:tabs>
          <w:tab w:val="left" w:pos="680"/>
        </w:tabs>
      </w:pPr>
    </w:p>
    <w:p w:rsidR="00550A66" w:rsidRDefault="00550A66" w:rsidP="00550A66">
      <w:pPr>
        <w:tabs>
          <w:tab w:val="left" w:pos="680"/>
        </w:tabs>
      </w:pPr>
    </w:p>
    <w:p w:rsidR="00550A66" w:rsidRDefault="00550A66" w:rsidP="00550A66">
      <w:pPr>
        <w:tabs>
          <w:tab w:val="left" w:pos="680"/>
        </w:tabs>
      </w:pPr>
    </w:p>
    <w:p w:rsidR="00550A66" w:rsidRDefault="00550A66" w:rsidP="00550A66">
      <w:pPr>
        <w:tabs>
          <w:tab w:val="left" w:pos="680"/>
        </w:tabs>
      </w:pPr>
    </w:p>
    <w:p w:rsidR="00550A66" w:rsidRDefault="00550A66" w:rsidP="00550A66">
      <w:pPr>
        <w:tabs>
          <w:tab w:val="left" w:pos="680"/>
        </w:tabs>
      </w:pPr>
    </w:p>
    <w:p w:rsidR="00550A66" w:rsidRDefault="00550A66" w:rsidP="00550A66">
      <w:pPr>
        <w:tabs>
          <w:tab w:val="left" w:pos="680"/>
        </w:tabs>
      </w:pPr>
    </w:p>
    <w:p w:rsidR="00550A66" w:rsidRDefault="00550A66" w:rsidP="00550A66">
      <w:pPr>
        <w:tabs>
          <w:tab w:val="left" w:pos="680"/>
        </w:tabs>
      </w:pPr>
    </w:p>
    <w:p w:rsidR="00550A66" w:rsidRDefault="00550A66" w:rsidP="00550A66">
      <w:pPr>
        <w:tabs>
          <w:tab w:val="left" w:pos="680"/>
        </w:tabs>
      </w:pPr>
    </w:p>
    <w:p w:rsidR="00550A66" w:rsidRDefault="00550A66" w:rsidP="00550A66">
      <w:pPr>
        <w:tabs>
          <w:tab w:val="left" w:pos="680"/>
        </w:tabs>
      </w:pPr>
    </w:p>
    <w:p w:rsidR="00550A66" w:rsidRDefault="00550A66" w:rsidP="00550A66">
      <w:pPr>
        <w:tabs>
          <w:tab w:val="left" w:pos="680"/>
        </w:tabs>
      </w:pPr>
    </w:p>
    <w:p w:rsidR="00550A66" w:rsidRDefault="00550A66" w:rsidP="00550A66">
      <w:pPr>
        <w:tabs>
          <w:tab w:val="left" w:pos="680"/>
        </w:tabs>
      </w:pPr>
    </w:p>
    <w:p w:rsidR="00550A66" w:rsidRDefault="00550A66" w:rsidP="00550A66">
      <w:pPr>
        <w:tabs>
          <w:tab w:val="left" w:pos="680"/>
        </w:tabs>
      </w:pPr>
    </w:p>
    <w:p w:rsidR="00550A66" w:rsidRDefault="00550A66" w:rsidP="00550A66">
      <w:pPr>
        <w:tabs>
          <w:tab w:val="left" w:pos="680"/>
        </w:tabs>
      </w:pPr>
    </w:p>
    <w:p w:rsidR="00550A66" w:rsidRDefault="00550A66" w:rsidP="00550A66">
      <w:pPr>
        <w:tabs>
          <w:tab w:val="left" w:pos="680"/>
        </w:tabs>
      </w:pPr>
    </w:p>
    <w:p w:rsidR="00550A66" w:rsidRDefault="00550A66" w:rsidP="00550A66">
      <w:pPr>
        <w:tabs>
          <w:tab w:val="left" w:pos="680"/>
        </w:tabs>
      </w:pPr>
    </w:p>
    <w:p w:rsidR="00550A66" w:rsidRDefault="00550A66" w:rsidP="00550A66">
      <w:pPr>
        <w:tabs>
          <w:tab w:val="left" w:pos="680"/>
        </w:tabs>
      </w:pPr>
    </w:p>
    <w:p w:rsidR="00550A66" w:rsidRDefault="00550A66" w:rsidP="00550A66">
      <w:pPr>
        <w:tabs>
          <w:tab w:val="left" w:pos="680"/>
        </w:tabs>
      </w:pPr>
    </w:p>
    <w:p w:rsidR="00550A66" w:rsidRDefault="00550A66" w:rsidP="00550A66">
      <w:pPr>
        <w:tabs>
          <w:tab w:val="left" w:pos="680"/>
        </w:tabs>
      </w:pPr>
    </w:p>
    <w:p w:rsidR="00550A66" w:rsidRDefault="00550A66" w:rsidP="00550A66">
      <w:pPr>
        <w:tabs>
          <w:tab w:val="left" w:pos="680"/>
        </w:tabs>
      </w:pPr>
    </w:p>
    <w:p w:rsidR="00550A66" w:rsidRDefault="00550A66" w:rsidP="00550A66">
      <w:pPr>
        <w:tabs>
          <w:tab w:val="left" w:pos="680"/>
        </w:tabs>
      </w:pPr>
    </w:p>
    <w:p w:rsidR="00550A66" w:rsidRDefault="00550A66" w:rsidP="00550A66">
      <w:pPr>
        <w:tabs>
          <w:tab w:val="left" w:pos="680"/>
        </w:tabs>
      </w:pPr>
    </w:p>
    <w:p w:rsidR="00550A66" w:rsidRDefault="00550A66" w:rsidP="00550A66">
      <w:pPr>
        <w:tabs>
          <w:tab w:val="left" w:pos="680"/>
        </w:tabs>
      </w:pPr>
    </w:p>
    <w:p w:rsidR="00550A66" w:rsidRDefault="00550A66" w:rsidP="00550A66">
      <w:pPr>
        <w:tabs>
          <w:tab w:val="left" w:pos="680"/>
        </w:tabs>
      </w:pPr>
    </w:p>
    <w:p w:rsidR="00550A66" w:rsidRDefault="00550A66" w:rsidP="00550A66">
      <w:pPr>
        <w:tabs>
          <w:tab w:val="left" w:pos="680"/>
        </w:tabs>
      </w:pPr>
    </w:p>
    <w:p w:rsidR="00550A66" w:rsidRDefault="00550A66" w:rsidP="00550A66">
      <w:pPr>
        <w:tabs>
          <w:tab w:val="left" w:pos="680"/>
        </w:tabs>
      </w:pPr>
    </w:p>
    <w:p w:rsidR="00550A66" w:rsidRDefault="00550A66" w:rsidP="00550A66">
      <w:pPr>
        <w:tabs>
          <w:tab w:val="left" w:pos="680"/>
        </w:tabs>
      </w:pPr>
    </w:p>
    <w:p w:rsidR="00550A66" w:rsidRDefault="00550A66" w:rsidP="00550A66">
      <w:pPr>
        <w:tabs>
          <w:tab w:val="left" w:pos="680"/>
        </w:tabs>
      </w:pPr>
    </w:p>
    <w:p w:rsidR="00550A66" w:rsidRDefault="00550A66" w:rsidP="00550A66">
      <w:pPr>
        <w:tabs>
          <w:tab w:val="left" w:pos="680"/>
        </w:tabs>
      </w:pPr>
    </w:p>
    <w:p w:rsidR="00550A66" w:rsidRPr="00550A66" w:rsidRDefault="00550A66" w:rsidP="00550A66">
      <w:pPr>
        <w:spacing w:before="24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550A66" w:rsidRPr="00550A66" w:rsidSect="00C32569">
      <w:headerReference w:type="even" r:id="rId10"/>
      <w:headerReference w:type="default" r:id="rId11"/>
      <w:footerReference w:type="even" r:id="rId12"/>
      <w:footerReference w:type="default" r:id="rId13"/>
      <w:endnotePr>
        <w:numFmt w:val="decimal"/>
      </w:endnotePr>
      <w:pgSz w:w="11907" w:h="16840" w:code="9"/>
      <w:pgMar w:top="1418" w:right="1134" w:bottom="1134" w:left="1134" w:header="851" w:footer="56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2569" w:rsidRDefault="00C32569"/>
  </w:endnote>
  <w:endnote w:type="continuationSeparator" w:id="0">
    <w:p w:rsidR="00C32569" w:rsidRDefault="00C32569"/>
  </w:endnote>
  <w:endnote w:type="continuationNotice" w:id="1">
    <w:p w:rsidR="00C32569" w:rsidRDefault="00C325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569" w:rsidRPr="00C32569" w:rsidRDefault="00C32569" w:rsidP="00C32569">
    <w:pPr>
      <w:pStyle w:val="Footer"/>
      <w:tabs>
        <w:tab w:val="right" w:pos="9638"/>
      </w:tabs>
      <w:rPr>
        <w:sz w:val="18"/>
      </w:rPr>
    </w:pPr>
    <w:r w:rsidRPr="00C32569">
      <w:rPr>
        <w:b/>
        <w:sz w:val="18"/>
      </w:rPr>
      <w:fldChar w:fldCharType="begin"/>
    </w:r>
    <w:r w:rsidRPr="00C32569">
      <w:rPr>
        <w:b/>
        <w:sz w:val="18"/>
      </w:rPr>
      <w:instrText xml:space="preserve"> PAGE  \* MERGEFORMAT </w:instrText>
    </w:r>
    <w:r w:rsidRPr="00C32569">
      <w:rPr>
        <w:b/>
        <w:sz w:val="18"/>
      </w:rPr>
      <w:fldChar w:fldCharType="separate"/>
    </w:r>
    <w:r w:rsidRPr="00C32569">
      <w:rPr>
        <w:b/>
        <w:noProof/>
        <w:sz w:val="18"/>
      </w:rPr>
      <w:t>2</w:t>
    </w:r>
    <w:r w:rsidRPr="00C32569">
      <w:rPr>
        <w:b/>
        <w:sz w:val="18"/>
      </w:rPr>
      <w:fldChar w:fldCharType="end"/>
    </w:r>
    <w:r>
      <w:rPr>
        <w:sz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569" w:rsidRPr="00C32569" w:rsidRDefault="00C32569" w:rsidP="00C32569">
    <w:pPr>
      <w:pStyle w:val="Footer"/>
      <w:tabs>
        <w:tab w:val="right" w:pos="9638"/>
      </w:tabs>
      <w:rPr>
        <w:b/>
        <w:sz w:val="18"/>
      </w:rPr>
    </w:pPr>
    <w:r>
      <w:tab/>
    </w:r>
    <w:r w:rsidRPr="00C32569">
      <w:rPr>
        <w:b/>
        <w:sz w:val="18"/>
      </w:rPr>
      <w:fldChar w:fldCharType="begin"/>
    </w:r>
    <w:r w:rsidRPr="00C32569">
      <w:rPr>
        <w:b/>
        <w:sz w:val="18"/>
      </w:rPr>
      <w:instrText xml:space="preserve"> PAGE  \* MERGEFORMAT </w:instrText>
    </w:r>
    <w:r w:rsidRPr="00C32569">
      <w:rPr>
        <w:b/>
        <w:sz w:val="18"/>
      </w:rPr>
      <w:fldChar w:fldCharType="separate"/>
    </w:r>
    <w:r w:rsidRPr="00C32569">
      <w:rPr>
        <w:b/>
        <w:noProof/>
        <w:sz w:val="18"/>
      </w:rPr>
      <w:t>3</w:t>
    </w:r>
    <w:r w:rsidRPr="00C32569">
      <w:rPr>
        <w:b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2569" w:rsidRPr="000B175B" w:rsidRDefault="00C32569" w:rsidP="000B175B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C32569" w:rsidRPr="00FC68B7" w:rsidRDefault="00C32569" w:rsidP="00FC68B7">
      <w:pPr>
        <w:tabs>
          <w:tab w:val="lef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:rsidR="00C32569" w:rsidRDefault="00C32569"/>
  </w:footnote>
  <w:footnote w:id="2">
    <w:p w:rsidR="00550A66" w:rsidRDefault="00550A66" w:rsidP="00550A66">
      <w:pPr>
        <w:pStyle w:val="FootnoteText"/>
        <w:rPr>
          <w:sz w:val="20"/>
        </w:rPr>
      </w:pPr>
      <w:r>
        <w:rPr>
          <w:sz w:val="20"/>
        </w:rPr>
        <w:tab/>
      </w:r>
      <w:r>
        <w:rPr>
          <w:rStyle w:val="FootnoteReference"/>
          <w:sz w:val="20"/>
        </w:rPr>
        <w:t>*</w:t>
      </w:r>
      <w:r>
        <w:rPr>
          <w:sz w:val="20"/>
        </w:rPr>
        <w:tab/>
      </w:r>
      <w:r w:rsidR="001D2BA3" w:rsidRPr="001D2BA3">
        <w:t>2020 (A/74/6 (Sect.20) and Supplementary, Subprogramme 2)</w:t>
      </w:r>
      <w:r w:rsidR="001D2BA3">
        <w:t>.</w:t>
      </w:r>
    </w:p>
  </w:footnote>
  <w:footnote w:id="3">
    <w:p w:rsidR="00550A66" w:rsidRDefault="00550A66" w:rsidP="00550A66">
      <w:pPr>
        <w:pStyle w:val="FootnoteText"/>
        <w:rPr>
          <w:sz w:val="20"/>
        </w:rPr>
      </w:pPr>
      <w:r>
        <w:rPr>
          <w:rStyle w:val="FootnoteReference"/>
          <w:sz w:val="20"/>
        </w:rPr>
        <w:tab/>
        <w:t>**</w:t>
      </w:r>
      <w:r>
        <w:rPr>
          <w:sz w:val="20"/>
        </w:rPr>
        <w:tab/>
      </w:r>
      <w:r>
        <w:t>Circulated by the Intergovernmental Organisation for International Carriage by Rail (OTIF) under the symbol OTIF/RID/RC/2020/2</w:t>
      </w:r>
      <w:r w:rsidR="007D2782">
        <w:t>6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569" w:rsidRPr="00C32569" w:rsidRDefault="00982423">
    <w:pPr>
      <w:pStyle w:val="Header"/>
    </w:pPr>
    <w:r>
      <w:fldChar w:fldCharType="begin"/>
    </w:r>
    <w:r>
      <w:instrText xml:space="preserve"> TITLE  \* MERGEFORMAT </w:instrText>
    </w:r>
    <w:r>
      <w:fldChar w:fldCharType="separate"/>
    </w:r>
    <w:r w:rsidR="00C32569">
      <w:t>ECE/TRANS/WP.15/AC.1/2020/26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569" w:rsidRPr="00C32569" w:rsidRDefault="00982423" w:rsidP="00C32569">
    <w:pPr>
      <w:pStyle w:val="Header"/>
      <w:jc w:val="right"/>
    </w:pPr>
    <w:r>
      <w:fldChar w:fldCharType="begin"/>
    </w:r>
    <w:r>
      <w:instrText xml:space="preserve"> TITLE  \* MERGEFORMAT </w:instrText>
    </w:r>
    <w:r>
      <w:fldChar w:fldCharType="separate"/>
    </w:r>
    <w:r w:rsidR="00C32569">
      <w:t>ECE/TRANS/WP.15/AC.1/2020/26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AFEC3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507A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80EE6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7AE4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2A4B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0EE9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12BC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E695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FE3A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541A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C49F8"/>
    <w:multiLevelType w:val="hybridMultilevel"/>
    <w:tmpl w:val="FFD08D26"/>
    <w:lvl w:ilvl="0" w:tplc="2FB47626">
      <w:start w:val="1"/>
      <w:numFmt w:val="decimal"/>
      <w:lvlText w:val="%1."/>
      <w:lvlJc w:val="left"/>
      <w:pPr>
        <w:tabs>
          <w:tab w:val="num" w:pos="0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D954887"/>
    <w:multiLevelType w:val="hybridMultilevel"/>
    <w:tmpl w:val="5A48E46A"/>
    <w:lvl w:ilvl="0" w:tplc="F560206C">
      <w:start w:val="1"/>
      <w:numFmt w:val="decimal"/>
      <w:pStyle w:val="ParNoG"/>
      <w:lvlText w:val="%1."/>
      <w:lvlJc w:val="left"/>
      <w:pPr>
        <w:tabs>
          <w:tab w:val="num" w:pos="1701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BAC3BCF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1DD123F6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1E253887"/>
    <w:multiLevelType w:val="hybridMultilevel"/>
    <w:tmpl w:val="497EC7CC"/>
    <w:lvl w:ilvl="0" w:tplc="FAE4B376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A12325"/>
    <w:multiLevelType w:val="hybridMultilevel"/>
    <w:tmpl w:val="FF0E5B48"/>
    <w:lvl w:ilvl="0" w:tplc="6D5E22D8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16559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65925DC1"/>
    <w:multiLevelType w:val="hybridMultilevel"/>
    <w:tmpl w:val="FAA66F24"/>
    <w:lvl w:ilvl="0" w:tplc="8C4849AC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E223DA"/>
    <w:multiLevelType w:val="hybridMultilevel"/>
    <w:tmpl w:val="5B7ACB42"/>
    <w:lvl w:ilvl="0" w:tplc="3A60C988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5"/>
  </w:num>
  <w:num w:numId="12">
    <w:abstractNumId w:val="14"/>
  </w:num>
  <w:num w:numId="13">
    <w:abstractNumId w:val="10"/>
  </w:num>
  <w:num w:numId="14">
    <w:abstractNumId w:val="12"/>
  </w:num>
  <w:num w:numId="15">
    <w:abstractNumId w:val="16"/>
  </w:num>
  <w:num w:numId="16">
    <w:abstractNumId w:val="13"/>
  </w:num>
  <w:num w:numId="17">
    <w:abstractNumId w:val="17"/>
  </w:num>
  <w:num w:numId="18">
    <w:abstractNumId w:val="18"/>
  </w:num>
  <w:num w:numId="19">
    <w:abstractNumId w:val="11"/>
  </w:num>
  <w:num w:numId="20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357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569"/>
    <w:rsid w:val="00002A7D"/>
    <w:rsid w:val="000038A8"/>
    <w:rsid w:val="00006790"/>
    <w:rsid w:val="00027624"/>
    <w:rsid w:val="00050F6B"/>
    <w:rsid w:val="000678CD"/>
    <w:rsid w:val="00072C8C"/>
    <w:rsid w:val="00081CE0"/>
    <w:rsid w:val="00084D30"/>
    <w:rsid w:val="00090320"/>
    <w:rsid w:val="000931C0"/>
    <w:rsid w:val="0009732C"/>
    <w:rsid w:val="000A01F9"/>
    <w:rsid w:val="000A2E09"/>
    <w:rsid w:val="000B175B"/>
    <w:rsid w:val="000B3A0F"/>
    <w:rsid w:val="000E0415"/>
    <w:rsid w:val="000F7715"/>
    <w:rsid w:val="00156B99"/>
    <w:rsid w:val="00166124"/>
    <w:rsid w:val="00184DDA"/>
    <w:rsid w:val="001900CD"/>
    <w:rsid w:val="001A0452"/>
    <w:rsid w:val="001B4B04"/>
    <w:rsid w:val="001B5875"/>
    <w:rsid w:val="001C4B9C"/>
    <w:rsid w:val="001C6663"/>
    <w:rsid w:val="001C7895"/>
    <w:rsid w:val="001D26DF"/>
    <w:rsid w:val="001D2BA3"/>
    <w:rsid w:val="001F1599"/>
    <w:rsid w:val="001F19C4"/>
    <w:rsid w:val="002043F0"/>
    <w:rsid w:val="00211E0B"/>
    <w:rsid w:val="00232575"/>
    <w:rsid w:val="00247258"/>
    <w:rsid w:val="00257CAC"/>
    <w:rsid w:val="00264441"/>
    <w:rsid w:val="0027237A"/>
    <w:rsid w:val="002974E9"/>
    <w:rsid w:val="002A7F94"/>
    <w:rsid w:val="002B109A"/>
    <w:rsid w:val="002C6D45"/>
    <w:rsid w:val="002D6E53"/>
    <w:rsid w:val="002F046D"/>
    <w:rsid w:val="002F3023"/>
    <w:rsid w:val="00301764"/>
    <w:rsid w:val="003229D8"/>
    <w:rsid w:val="00336C97"/>
    <w:rsid w:val="00337F88"/>
    <w:rsid w:val="00342432"/>
    <w:rsid w:val="0035223F"/>
    <w:rsid w:val="00352D4B"/>
    <w:rsid w:val="0035638C"/>
    <w:rsid w:val="003A46BB"/>
    <w:rsid w:val="003A4EC7"/>
    <w:rsid w:val="003A7295"/>
    <w:rsid w:val="003B1F60"/>
    <w:rsid w:val="003C2CC4"/>
    <w:rsid w:val="003D4B23"/>
    <w:rsid w:val="003E278A"/>
    <w:rsid w:val="00413520"/>
    <w:rsid w:val="004325CB"/>
    <w:rsid w:val="00440A07"/>
    <w:rsid w:val="00462880"/>
    <w:rsid w:val="00476F24"/>
    <w:rsid w:val="004C55B0"/>
    <w:rsid w:val="004F6BA0"/>
    <w:rsid w:val="00503BEA"/>
    <w:rsid w:val="00533616"/>
    <w:rsid w:val="00535ABA"/>
    <w:rsid w:val="0053768B"/>
    <w:rsid w:val="005420F2"/>
    <w:rsid w:val="0054285C"/>
    <w:rsid w:val="00550A66"/>
    <w:rsid w:val="00584173"/>
    <w:rsid w:val="00595520"/>
    <w:rsid w:val="005A44B9"/>
    <w:rsid w:val="005B1BA0"/>
    <w:rsid w:val="005B3DB3"/>
    <w:rsid w:val="005D15CA"/>
    <w:rsid w:val="005D7969"/>
    <w:rsid w:val="005F08DF"/>
    <w:rsid w:val="005F3066"/>
    <w:rsid w:val="005F3E61"/>
    <w:rsid w:val="00604DDD"/>
    <w:rsid w:val="006115CC"/>
    <w:rsid w:val="00611FC4"/>
    <w:rsid w:val="006176FB"/>
    <w:rsid w:val="00630FCB"/>
    <w:rsid w:val="00640B26"/>
    <w:rsid w:val="0065766B"/>
    <w:rsid w:val="006770B2"/>
    <w:rsid w:val="00686A48"/>
    <w:rsid w:val="006940E1"/>
    <w:rsid w:val="006A3C72"/>
    <w:rsid w:val="006A7392"/>
    <w:rsid w:val="006B03A1"/>
    <w:rsid w:val="006B67D9"/>
    <w:rsid w:val="006C5535"/>
    <w:rsid w:val="006D0589"/>
    <w:rsid w:val="006E564B"/>
    <w:rsid w:val="006E7154"/>
    <w:rsid w:val="007003CD"/>
    <w:rsid w:val="0070701E"/>
    <w:rsid w:val="0072632A"/>
    <w:rsid w:val="00726D02"/>
    <w:rsid w:val="007358E8"/>
    <w:rsid w:val="00736ECE"/>
    <w:rsid w:val="0074533B"/>
    <w:rsid w:val="007643BC"/>
    <w:rsid w:val="00780C68"/>
    <w:rsid w:val="007959FE"/>
    <w:rsid w:val="007A0CF1"/>
    <w:rsid w:val="007A478E"/>
    <w:rsid w:val="007B6BA5"/>
    <w:rsid w:val="007C3390"/>
    <w:rsid w:val="007C42D8"/>
    <w:rsid w:val="007C4F4B"/>
    <w:rsid w:val="007D2782"/>
    <w:rsid w:val="007D7362"/>
    <w:rsid w:val="007F5CE2"/>
    <w:rsid w:val="007F6611"/>
    <w:rsid w:val="00800522"/>
    <w:rsid w:val="00810BAC"/>
    <w:rsid w:val="008175E9"/>
    <w:rsid w:val="008242D7"/>
    <w:rsid w:val="0082577B"/>
    <w:rsid w:val="008272DD"/>
    <w:rsid w:val="00866893"/>
    <w:rsid w:val="00866F02"/>
    <w:rsid w:val="00867D18"/>
    <w:rsid w:val="00871F9A"/>
    <w:rsid w:val="00871FD5"/>
    <w:rsid w:val="0088172E"/>
    <w:rsid w:val="00881EFA"/>
    <w:rsid w:val="008879CB"/>
    <w:rsid w:val="008979B1"/>
    <w:rsid w:val="008A6B25"/>
    <w:rsid w:val="008A6C4F"/>
    <w:rsid w:val="008A77AE"/>
    <w:rsid w:val="008B389E"/>
    <w:rsid w:val="008D045E"/>
    <w:rsid w:val="008D3F25"/>
    <w:rsid w:val="008D4D82"/>
    <w:rsid w:val="008E0E46"/>
    <w:rsid w:val="008E7116"/>
    <w:rsid w:val="008F143B"/>
    <w:rsid w:val="008F3882"/>
    <w:rsid w:val="008F4B7C"/>
    <w:rsid w:val="00926E47"/>
    <w:rsid w:val="00947162"/>
    <w:rsid w:val="009610D0"/>
    <w:rsid w:val="0096375C"/>
    <w:rsid w:val="009662E6"/>
    <w:rsid w:val="0097095E"/>
    <w:rsid w:val="00982423"/>
    <w:rsid w:val="0098592B"/>
    <w:rsid w:val="00985FC4"/>
    <w:rsid w:val="00990766"/>
    <w:rsid w:val="00991261"/>
    <w:rsid w:val="009964C4"/>
    <w:rsid w:val="009A7B81"/>
    <w:rsid w:val="009D01C0"/>
    <w:rsid w:val="009D6A08"/>
    <w:rsid w:val="009E0A16"/>
    <w:rsid w:val="009E6CB7"/>
    <w:rsid w:val="009E7970"/>
    <w:rsid w:val="009F2EAC"/>
    <w:rsid w:val="009F57E3"/>
    <w:rsid w:val="00A10F4F"/>
    <w:rsid w:val="00A11067"/>
    <w:rsid w:val="00A1704A"/>
    <w:rsid w:val="00A425EB"/>
    <w:rsid w:val="00A72F22"/>
    <w:rsid w:val="00A733BC"/>
    <w:rsid w:val="00A748A6"/>
    <w:rsid w:val="00A76A69"/>
    <w:rsid w:val="00A879A4"/>
    <w:rsid w:val="00AA0FF8"/>
    <w:rsid w:val="00AC0F2C"/>
    <w:rsid w:val="00AC502A"/>
    <w:rsid w:val="00AF58C1"/>
    <w:rsid w:val="00B04A3F"/>
    <w:rsid w:val="00B06643"/>
    <w:rsid w:val="00B15055"/>
    <w:rsid w:val="00B20551"/>
    <w:rsid w:val="00B30179"/>
    <w:rsid w:val="00B33FC7"/>
    <w:rsid w:val="00B37B15"/>
    <w:rsid w:val="00B45C02"/>
    <w:rsid w:val="00B70B63"/>
    <w:rsid w:val="00B72A1E"/>
    <w:rsid w:val="00B81E12"/>
    <w:rsid w:val="00BA339B"/>
    <w:rsid w:val="00BB23CC"/>
    <w:rsid w:val="00BC1E7E"/>
    <w:rsid w:val="00BC74E9"/>
    <w:rsid w:val="00BE36A9"/>
    <w:rsid w:val="00BE618E"/>
    <w:rsid w:val="00BE7BEC"/>
    <w:rsid w:val="00BF0A5A"/>
    <w:rsid w:val="00BF0E63"/>
    <w:rsid w:val="00BF12A3"/>
    <w:rsid w:val="00BF16D7"/>
    <w:rsid w:val="00BF2373"/>
    <w:rsid w:val="00C0294F"/>
    <w:rsid w:val="00C044E2"/>
    <w:rsid w:val="00C048CB"/>
    <w:rsid w:val="00C066F3"/>
    <w:rsid w:val="00C32569"/>
    <w:rsid w:val="00C408B7"/>
    <w:rsid w:val="00C411EB"/>
    <w:rsid w:val="00C463DD"/>
    <w:rsid w:val="00C745C3"/>
    <w:rsid w:val="00C978F5"/>
    <w:rsid w:val="00CA24A4"/>
    <w:rsid w:val="00CB348D"/>
    <w:rsid w:val="00CD46F5"/>
    <w:rsid w:val="00CE4A8F"/>
    <w:rsid w:val="00CE78F6"/>
    <w:rsid w:val="00CF071D"/>
    <w:rsid w:val="00D0123D"/>
    <w:rsid w:val="00D15B04"/>
    <w:rsid w:val="00D2031B"/>
    <w:rsid w:val="00D25FE2"/>
    <w:rsid w:val="00D368BE"/>
    <w:rsid w:val="00D37DA9"/>
    <w:rsid w:val="00D406A7"/>
    <w:rsid w:val="00D40765"/>
    <w:rsid w:val="00D43252"/>
    <w:rsid w:val="00D44D86"/>
    <w:rsid w:val="00D50B7D"/>
    <w:rsid w:val="00D52012"/>
    <w:rsid w:val="00D704E5"/>
    <w:rsid w:val="00D72727"/>
    <w:rsid w:val="00D978C6"/>
    <w:rsid w:val="00DA0956"/>
    <w:rsid w:val="00DA357F"/>
    <w:rsid w:val="00DA3E12"/>
    <w:rsid w:val="00DC18AD"/>
    <w:rsid w:val="00DF7CAE"/>
    <w:rsid w:val="00E423C0"/>
    <w:rsid w:val="00E6414C"/>
    <w:rsid w:val="00E7260F"/>
    <w:rsid w:val="00E8702D"/>
    <w:rsid w:val="00E905F4"/>
    <w:rsid w:val="00E916A9"/>
    <w:rsid w:val="00E916DE"/>
    <w:rsid w:val="00E925AD"/>
    <w:rsid w:val="00E96630"/>
    <w:rsid w:val="00ED18DC"/>
    <w:rsid w:val="00ED6201"/>
    <w:rsid w:val="00ED7A2A"/>
    <w:rsid w:val="00EF1D7F"/>
    <w:rsid w:val="00F0137E"/>
    <w:rsid w:val="00F21786"/>
    <w:rsid w:val="00F3742B"/>
    <w:rsid w:val="00F41FDB"/>
    <w:rsid w:val="00F50596"/>
    <w:rsid w:val="00F56D63"/>
    <w:rsid w:val="00F609A9"/>
    <w:rsid w:val="00F80C99"/>
    <w:rsid w:val="00F867EC"/>
    <w:rsid w:val="00F91B2B"/>
    <w:rsid w:val="00FC03CD"/>
    <w:rsid w:val="00FC0646"/>
    <w:rsid w:val="00FC68B7"/>
    <w:rsid w:val="00FE6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AF092E3"/>
  <w15:docId w15:val="{30C05A00-4648-4BBD-B4B5-2E7DECEBD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 w:unhideWhenUsed="1"/>
    <w:lsdException w:name="List 2" w:semiHidden="1" w:unhideWhenUsed="1"/>
    <w:lsdException w:name="List 3" w:semiHidden="1"/>
    <w:lsdException w:name="List 4" w:semiHidden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80C68"/>
    <w:pPr>
      <w:suppressAutoHyphens/>
      <w:spacing w:line="240" w:lineRule="atLeast"/>
    </w:pPr>
    <w:rPr>
      <w:lang w:val="en-GB"/>
    </w:rPr>
  </w:style>
  <w:style w:type="paragraph" w:styleId="Heading1">
    <w:name w:val="heading 1"/>
    <w:aliases w:val="Table_G"/>
    <w:basedOn w:val="SingleTxtG"/>
    <w:next w:val="SingleTxtG"/>
    <w:qFormat/>
    <w:rsid w:val="00E925AD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semiHidden/>
    <w:qFormat/>
    <w:rsid w:val="00E925AD"/>
    <w:pPr>
      <w:spacing w:line="240" w:lineRule="auto"/>
      <w:outlineLvl w:val="1"/>
    </w:pPr>
  </w:style>
  <w:style w:type="paragraph" w:styleId="Heading3">
    <w:name w:val="heading 3"/>
    <w:basedOn w:val="Normal"/>
    <w:next w:val="Normal"/>
    <w:semiHidden/>
    <w:qFormat/>
    <w:rsid w:val="00E925AD"/>
    <w:pPr>
      <w:spacing w:line="240" w:lineRule="auto"/>
      <w:outlineLvl w:val="2"/>
    </w:pPr>
  </w:style>
  <w:style w:type="paragraph" w:styleId="Heading4">
    <w:name w:val="heading 4"/>
    <w:basedOn w:val="Normal"/>
    <w:next w:val="Normal"/>
    <w:semiHidden/>
    <w:qFormat/>
    <w:rsid w:val="00E925AD"/>
    <w:pPr>
      <w:spacing w:line="240" w:lineRule="auto"/>
      <w:outlineLvl w:val="3"/>
    </w:pPr>
  </w:style>
  <w:style w:type="paragraph" w:styleId="Heading5">
    <w:name w:val="heading 5"/>
    <w:basedOn w:val="Normal"/>
    <w:next w:val="Normal"/>
    <w:semiHidden/>
    <w:qFormat/>
    <w:rsid w:val="00E925AD"/>
    <w:pPr>
      <w:spacing w:line="240" w:lineRule="auto"/>
      <w:outlineLvl w:val="4"/>
    </w:pPr>
  </w:style>
  <w:style w:type="paragraph" w:styleId="Heading6">
    <w:name w:val="heading 6"/>
    <w:basedOn w:val="Normal"/>
    <w:next w:val="Normal"/>
    <w:semiHidden/>
    <w:qFormat/>
    <w:rsid w:val="00E925AD"/>
    <w:pPr>
      <w:spacing w:line="240" w:lineRule="auto"/>
      <w:outlineLvl w:val="5"/>
    </w:pPr>
  </w:style>
  <w:style w:type="paragraph" w:styleId="Heading7">
    <w:name w:val="heading 7"/>
    <w:basedOn w:val="Normal"/>
    <w:next w:val="Normal"/>
    <w:semiHidden/>
    <w:qFormat/>
    <w:rsid w:val="00E925AD"/>
    <w:pPr>
      <w:spacing w:line="240" w:lineRule="auto"/>
      <w:outlineLvl w:val="6"/>
    </w:pPr>
  </w:style>
  <w:style w:type="paragraph" w:styleId="Heading8">
    <w:name w:val="heading 8"/>
    <w:basedOn w:val="Normal"/>
    <w:next w:val="Normal"/>
    <w:semiHidden/>
    <w:qFormat/>
    <w:rsid w:val="00E925AD"/>
    <w:pPr>
      <w:spacing w:line="240" w:lineRule="auto"/>
      <w:outlineLvl w:val="7"/>
    </w:pPr>
  </w:style>
  <w:style w:type="paragraph" w:styleId="Heading9">
    <w:name w:val="heading 9"/>
    <w:basedOn w:val="Normal"/>
    <w:next w:val="Normal"/>
    <w:semiHidden/>
    <w:qFormat/>
    <w:rsid w:val="00E925AD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ngleTxtG">
    <w:name w:val="_ Single Txt_G"/>
    <w:basedOn w:val="Normal"/>
    <w:link w:val="SingleTxtGChar"/>
    <w:qFormat/>
    <w:rsid w:val="00E925AD"/>
    <w:pPr>
      <w:spacing w:after="120"/>
      <w:ind w:left="1134" w:right="1134"/>
      <w:jc w:val="both"/>
    </w:pPr>
  </w:style>
  <w:style w:type="paragraph" w:customStyle="1" w:styleId="HMG">
    <w:name w:val="_ H __M_G"/>
    <w:basedOn w:val="Normal"/>
    <w:next w:val="Normal"/>
    <w:qFormat/>
    <w:rsid w:val="00E925AD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qFormat/>
    <w:rsid w:val="00E925AD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character" w:styleId="PageNumber">
    <w:name w:val="page number"/>
    <w:aliases w:val="7_G"/>
    <w:basedOn w:val="DefaultParagraphFont"/>
    <w:qFormat/>
    <w:rsid w:val="00E925AD"/>
    <w:rPr>
      <w:rFonts w:ascii="Times New Roman" w:hAnsi="Times New Roman"/>
      <w:b/>
      <w:sz w:val="18"/>
    </w:rPr>
  </w:style>
  <w:style w:type="paragraph" w:customStyle="1" w:styleId="SMG">
    <w:name w:val="__S_M_G"/>
    <w:basedOn w:val="Normal"/>
    <w:next w:val="Normal"/>
    <w:rsid w:val="00E925AD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E925AD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E925AD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basedOn w:val="FootnoteReference"/>
    <w:qFormat/>
    <w:rsid w:val="00E925AD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,Footnote Reference/,4_GR"/>
    <w:basedOn w:val="DefaultParagraphFont"/>
    <w:qFormat/>
    <w:rsid w:val="00E925AD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,5_GR"/>
    <w:basedOn w:val="Normal"/>
    <w:link w:val="FootnoteTextChar"/>
    <w:qFormat/>
    <w:rsid w:val="00E925AD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Normal"/>
    <w:next w:val="Normal"/>
    <w:rsid w:val="00E925AD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qFormat/>
    <w:rsid w:val="00E925AD"/>
    <w:pPr>
      <w:numPr>
        <w:numId w:val="17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qFormat/>
    <w:rsid w:val="00E925AD"/>
  </w:style>
  <w:style w:type="paragraph" w:customStyle="1" w:styleId="Bullet2G">
    <w:name w:val="_Bullet 2_G"/>
    <w:basedOn w:val="Normal"/>
    <w:qFormat/>
    <w:rsid w:val="00E925AD"/>
    <w:pPr>
      <w:numPr>
        <w:numId w:val="18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link w:val="H1GChar"/>
    <w:qFormat/>
    <w:rsid w:val="00E925AD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qFormat/>
    <w:rsid w:val="00E925AD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qFormat/>
    <w:rsid w:val="00E925AD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qFormat/>
    <w:rsid w:val="00E925AD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character" w:styleId="Hyperlink">
    <w:name w:val="Hyperlink"/>
    <w:basedOn w:val="DefaultParagraphFont"/>
    <w:rsid w:val="008A77AE"/>
    <w:rPr>
      <w:color w:val="0000FF"/>
      <w:u w:val="none"/>
    </w:rPr>
  </w:style>
  <w:style w:type="paragraph" w:styleId="Footer">
    <w:name w:val="footer"/>
    <w:aliases w:val="3_G"/>
    <w:basedOn w:val="Normal"/>
    <w:qFormat/>
    <w:rsid w:val="00E925AD"/>
    <w:pPr>
      <w:spacing w:line="240" w:lineRule="auto"/>
    </w:pPr>
    <w:rPr>
      <w:sz w:val="16"/>
    </w:rPr>
  </w:style>
  <w:style w:type="paragraph" w:styleId="Header">
    <w:name w:val="header"/>
    <w:aliases w:val="6_G"/>
    <w:basedOn w:val="Normal"/>
    <w:qFormat/>
    <w:rsid w:val="00E925AD"/>
    <w:pPr>
      <w:pBdr>
        <w:bottom w:val="single" w:sz="4" w:space="4" w:color="auto"/>
      </w:pBdr>
      <w:spacing w:line="240" w:lineRule="auto"/>
    </w:pPr>
    <w:rPr>
      <w:b/>
      <w:sz w:val="18"/>
    </w:rPr>
  </w:style>
  <w:style w:type="table" w:styleId="TableGrid">
    <w:name w:val="Table Grid"/>
    <w:basedOn w:val="TableNormal"/>
    <w:semiHidden/>
    <w:rsid w:val="00E925AD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FollowedHyperlink">
    <w:name w:val="FollowedHyperlink"/>
    <w:basedOn w:val="DefaultParagraphFont"/>
    <w:rsid w:val="008A77AE"/>
    <w:rPr>
      <w:color w:val="0000FF"/>
      <w:u w:val="none"/>
    </w:rPr>
  </w:style>
  <w:style w:type="paragraph" w:styleId="BalloonText">
    <w:name w:val="Balloon Text"/>
    <w:basedOn w:val="Normal"/>
    <w:link w:val="BalloonTextChar"/>
    <w:semiHidden/>
    <w:rsid w:val="006576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80C68"/>
    <w:rPr>
      <w:rFonts w:ascii="Tahoma" w:hAnsi="Tahoma" w:cs="Tahoma"/>
      <w:sz w:val="16"/>
      <w:szCs w:val="16"/>
      <w:lang w:val="en-GB" w:eastAsia="en-US"/>
    </w:rPr>
  </w:style>
  <w:style w:type="character" w:customStyle="1" w:styleId="SingleTxtGChar">
    <w:name w:val="_ Single Txt_G Char"/>
    <w:link w:val="SingleTxtG"/>
    <w:qFormat/>
    <w:locked/>
    <w:rsid w:val="00264441"/>
    <w:rPr>
      <w:lang w:val="en-GB" w:eastAsia="en-US"/>
    </w:rPr>
  </w:style>
  <w:style w:type="paragraph" w:customStyle="1" w:styleId="ParNoG">
    <w:name w:val="_ParNo_G"/>
    <w:basedOn w:val="SingleTxtG"/>
    <w:qFormat/>
    <w:rsid w:val="007A478E"/>
    <w:pPr>
      <w:numPr>
        <w:numId w:val="20"/>
      </w:numPr>
      <w:suppressAutoHyphens w:val="0"/>
    </w:pPr>
  </w:style>
  <w:style w:type="paragraph" w:styleId="BodyText">
    <w:name w:val="Body Text"/>
    <w:basedOn w:val="Normal"/>
    <w:next w:val="Normal"/>
    <w:link w:val="BodyTextChar"/>
    <w:semiHidden/>
    <w:rsid w:val="00550A66"/>
    <w:rPr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550A66"/>
    <w:rPr>
      <w:lang w:val="en-GB" w:eastAsia="en-US"/>
    </w:rPr>
  </w:style>
  <w:style w:type="character" w:customStyle="1" w:styleId="H1GChar">
    <w:name w:val="_ H_1_G Char"/>
    <w:link w:val="H1G"/>
    <w:rsid w:val="00550A66"/>
    <w:rPr>
      <w:b/>
      <w:sz w:val="24"/>
      <w:lang w:val="en-GB"/>
    </w:rPr>
  </w:style>
  <w:style w:type="character" w:customStyle="1" w:styleId="FootnoteTextChar">
    <w:name w:val="Footnote Text Char"/>
    <w:aliases w:val="5_G Char,5_GR Char"/>
    <w:link w:val="FootnoteText"/>
    <w:rsid w:val="00550A66"/>
    <w:rPr>
      <w:sz w:val="18"/>
      <w:lang w:val="en-GB"/>
    </w:rPr>
  </w:style>
  <w:style w:type="character" w:customStyle="1" w:styleId="HChGChar">
    <w:name w:val="_ H _Ch_G Char"/>
    <w:link w:val="HChG"/>
    <w:rsid w:val="00550A66"/>
    <w:rPr>
      <w:b/>
      <w:sz w:val="2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60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Templates\UN-Docs2017\Templates\TRANS\TRANS_WP1_24_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98EB72-7E39-437C-ADDA-101946018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TRANS_WP1_24_E.dotm</Template>
  <TotalTime>15</TotalTime>
  <Pages>3</Pages>
  <Words>459</Words>
  <Characters>2459</Characters>
  <Application>Microsoft Office Word</Application>
  <DocSecurity>0</DocSecurity>
  <Lines>81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ECE/TRANS/WP.15/AC.1/2020/26</vt:lpstr>
      <vt:lpstr/>
    </vt:vector>
  </TitlesOfParts>
  <Company>CSD</Company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ECE/TRANS/WP.15/AC.1/2020/26</dc:title>
  <dc:creator>Christine Barrio-Champeau</dc:creator>
  <cp:lastModifiedBy>Christine Barrio-Champeau</cp:lastModifiedBy>
  <cp:revision>6</cp:revision>
  <cp:lastPrinted>2009-02-18T09:36:00Z</cp:lastPrinted>
  <dcterms:created xsi:type="dcterms:W3CDTF">2019-12-20T10:15:00Z</dcterms:created>
  <dcterms:modified xsi:type="dcterms:W3CDTF">2020-01-06T12:19:00Z</dcterms:modified>
</cp:coreProperties>
</file>