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E54765" w:rsidP="00E54765">
            <w:pPr>
              <w:jc w:val="right"/>
            </w:pPr>
            <w:r w:rsidRPr="00E54765">
              <w:rPr>
                <w:sz w:val="40"/>
              </w:rPr>
              <w:t>ECE</w:t>
            </w:r>
            <w:r>
              <w:t>/TRANS/WP.15/AC.1/2020/13</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E54765" w:rsidP="00E54765">
            <w:pPr>
              <w:spacing w:before="240" w:line="240" w:lineRule="exact"/>
            </w:pPr>
            <w:proofErr w:type="spellStart"/>
            <w:r>
              <w:t>Distr</w:t>
            </w:r>
            <w:proofErr w:type="spellEnd"/>
            <w:r>
              <w:t xml:space="preserve">. </w:t>
            </w:r>
            <w:proofErr w:type="gramStart"/>
            <w:r>
              <w:t>générale</w:t>
            </w:r>
            <w:proofErr w:type="gramEnd"/>
          </w:p>
          <w:p w:rsidR="00E54765" w:rsidRDefault="00E54765" w:rsidP="00E54765">
            <w:pPr>
              <w:spacing w:line="240" w:lineRule="exact"/>
            </w:pPr>
            <w:r>
              <w:t>30 décembre 2019</w:t>
            </w:r>
          </w:p>
          <w:p w:rsidR="00E54765" w:rsidRDefault="00C54C92" w:rsidP="00E54765">
            <w:pPr>
              <w:spacing w:line="240" w:lineRule="exact"/>
            </w:pPr>
            <w:r>
              <w:t>Français</w:t>
            </w:r>
          </w:p>
          <w:p w:rsidR="00E54765" w:rsidRPr="00DB58B5" w:rsidRDefault="00E54765" w:rsidP="00E54765">
            <w:pPr>
              <w:spacing w:line="240" w:lineRule="exact"/>
            </w:pPr>
            <w:r>
              <w:t xml:space="preserve">Original : </w:t>
            </w:r>
            <w:r w:rsidR="00C54C92">
              <w:t xml:space="preserve">anglais et </w:t>
            </w:r>
            <w:bookmarkStart w:id="0" w:name="_GoBack"/>
            <w:bookmarkEnd w:id="0"/>
            <w:r>
              <w:t>français</w:t>
            </w:r>
          </w:p>
        </w:tc>
      </w:tr>
    </w:tbl>
    <w:p w:rsidR="00484A4E" w:rsidRPr="0088448E" w:rsidRDefault="00484A4E" w:rsidP="00484A4E">
      <w:pPr>
        <w:spacing w:before="120"/>
        <w:rPr>
          <w:b/>
          <w:sz w:val="28"/>
          <w:szCs w:val="28"/>
          <w:lang w:val="fr-FR"/>
        </w:rPr>
      </w:pPr>
      <w:bookmarkStart w:id="1" w:name="_Hlk27748159"/>
      <w:r w:rsidRPr="0088448E">
        <w:rPr>
          <w:b/>
          <w:sz w:val="28"/>
          <w:szCs w:val="28"/>
          <w:lang w:val="fr-FR"/>
        </w:rPr>
        <w:t>Commission économique pour l’Europe</w:t>
      </w:r>
    </w:p>
    <w:p w:rsidR="00484A4E" w:rsidRPr="0088448E" w:rsidRDefault="00484A4E" w:rsidP="00484A4E">
      <w:pPr>
        <w:spacing w:before="120"/>
        <w:rPr>
          <w:sz w:val="28"/>
          <w:szCs w:val="28"/>
          <w:lang w:val="fr-FR"/>
        </w:rPr>
      </w:pPr>
      <w:r w:rsidRPr="0088448E">
        <w:rPr>
          <w:sz w:val="28"/>
          <w:szCs w:val="28"/>
          <w:lang w:val="fr-FR"/>
        </w:rPr>
        <w:t>Comité des transports intérieurs</w:t>
      </w:r>
    </w:p>
    <w:p w:rsidR="00484A4E" w:rsidRPr="0088448E" w:rsidRDefault="00484A4E" w:rsidP="00484A4E">
      <w:pPr>
        <w:spacing w:before="120" w:after="120"/>
        <w:rPr>
          <w:b/>
          <w:sz w:val="24"/>
          <w:szCs w:val="24"/>
          <w:lang w:val="fr-FR"/>
        </w:rPr>
      </w:pPr>
      <w:r w:rsidRPr="0088448E">
        <w:rPr>
          <w:b/>
          <w:sz w:val="24"/>
          <w:szCs w:val="24"/>
          <w:lang w:val="fr-FR"/>
        </w:rPr>
        <w:t>Groupe de travail des transports de marchandises dangereuses</w:t>
      </w:r>
    </w:p>
    <w:p w:rsidR="00484A4E" w:rsidRPr="0088448E" w:rsidRDefault="00484A4E" w:rsidP="00484A4E">
      <w:pPr>
        <w:rPr>
          <w:b/>
          <w:lang w:val="fr-FR"/>
        </w:rPr>
      </w:pPr>
      <w:r w:rsidRPr="0088448E">
        <w:rPr>
          <w:b/>
          <w:lang w:val="fr-FR"/>
        </w:rPr>
        <w:t xml:space="preserve">Réunion commune de la Commission d’experts du RID et </w:t>
      </w:r>
      <w:r w:rsidRPr="0088448E">
        <w:rPr>
          <w:b/>
          <w:lang w:val="fr-FR"/>
        </w:rPr>
        <w:br/>
        <w:t>du Groupe de travail des transports de marchandises dangereuses</w:t>
      </w:r>
    </w:p>
    <w:p w:rsidR="00484A4E" w:rsidRPr="0088448E" w:rsidRDefault="00484A4E" w:rsidP="00484A4E">
      <w:pPr>
        <w:rPr>
          <w:lang w:val="fr-FR"/>
        </w:rPr>
      </w:pPr>
      <w:r>
        <w:rPr>
          <w:lang w:val="fr-FR"/>
        </w:rPr>
        <w:t>Berne</w:t>
      </w:r>
      <w:r w:rsidRPr="0088448E">
        <w:rPr>
          <w:lang w:val="fr-FR"/>
        </w:rPr>
        <w:t xml:space="preserve">, </w:t>
      </w:r>
      <w:r>
        <w:rPr>
          <w:lang w:val="fr-FR"/>
        </w:rPr>
        <w:t>16</w:t>
      </w:r>
      <w:r w:rsidRPr="0088448E">
        <w:rPr>
          <w:lang w:val="fr-FR"/>
        </w:rPr>
        <w:t>-2</w:t>
      </w:r>
      <w:r>
        <w:rPr>
          <w:lang w:val="fr-FR"/>
        </w:rPr>
        <w:t>0</w:t>
      </w:r>
      <w:r w:rsidRPr="0088448E">
        <w:rPr>
          <w:lang w:val="fr-FR"/>
        </w:rPr>
        <w:t xml:space="preserve"> </w:t>
      </w:r>
      <w:r>
        <w:rPr>
          <w:lang w:val="fr-FR"/>
        </w:rPr>
        <w:t>mars</w:t>
      </w:r>
      <w:r w:rsidRPr="0088448E">
        <w:rPr>
          <w:lang w:val="fr-FR"/>
        </w:rPr>
        <w:t xml:space="preserve"> 20</w:t>
      </w:r>
      <w:r>
        <w:rPr>
          <w:lang w:val="fr-FR"/>
        </w:rPr>
        <w:t>20</w:t>
      </w:r>
    </w:p>
    <w:p w:rsidR="00484A4E" w:rsidRPr="0088448E" w:rsidRDefault="00484A4E" w:rsidP="00484A4E">
      <w:pPr>
        <w:rPr>
          <w:lang w:val="fr-FR"/>
        </w:rPr>
      </w:pPr>
      <w:r w:rsidRPr="0088448E">
        <w:rPr>
          <w:lang w:val="fr-FR"/>
        </w:rPr>
        <w:t>Point 5 b) de l’ordre du jour provisoire</w:t>
      </w:r>
    </w:p>
    <w:p w:rsidR="00484A4E" w:rsidRPr="0088448E" w:rsidRDefault="00484A4E" w:rsidP="00484A4E">
      <w:pPr>
        <w:rPr>
          <w:b/>
          <w:lang w:val="fr-FR"/>
        </w:rPr>
      </w:pPr>
      <w:r w:rsidRPr="0088448E">
        <w:rPr>
          <w:b/>
          <w:lang w:val="fr-FR"/>
        </w:rPr>
        <w:t>Propositions d’amendements au RID/ADR/</w:t>
      </w:r>
      <w:proofErr w:type="gramStart"/>
      <w:r w:rsidRPr="0088448E">
        <w:rPr>
          <w:b/>
          <w:lang w:val="fr-FR"/>
        </w:rPr>
        <w:t>ADN:</w:t>
      </w:r>
      <w:proofErr w:type="gramEnd"/>
      <w:r w:rsidRPr="0088448E">
        <w:rPr>
          <w:b/>
          <w:lang w:val="fr-FR"/>
        </w:rPr>
        <w:br/>
        <w:t xml:space="preserve">nouvelles propositions </w:t>
      </w:r>
    </w:p>
    <w:p w:rsidR="00484A4E" w:rsidRPr="006E0E02" w:rsidRDefault="00484A4E" w:rsidP="0034243B">
      <w:pPr>
        <w:pStyle w:val="HChG"/>
        <w:rPr>
          <w:lang w:val="fr-FR"/>
        </w:rPr>
      </w:pPr>
      <w:r w:rsidRPr="006E0E02">
        <w:rPr>
          <w:lang w:val="fr-FR"/>
        </w:rPr>
        <w:tab/>
      </w:r>
      <w:r w:rsidRPr="006E0E02">
        <w:rPr>
          <w:lang w:val="fr-FR"/>
        </w:rPr>
        <w:tab/>
      </w:r>
      <w:r w:rsidRPr="006E0E02">
        <w:rPr>
          <w:w w:val="105"/>
          <w:lang w:val="fr-FR"/>
        </w:rPr>
        <w:t>Proposition d’amendement au Chapitre 1.2 du RID/ADR</w:t>
      </w:r>
    </w:p>
    <w:p w:rsidR="00484A4E" w:rsidRDefault="00484A4E" w:rsidP="0034243B">
      <w:pPr>
        <w:pStyle w:val="H1G"/>
        <w:rPr>
          <w:w w:val="105"/>
          <w:lang w:val="fr-FR"/>
        </w:rPr>
      </w:pPr>
      <w:r w:rsidRPr="006E0E02">
        <w:rPr>
          <w:w w:val="105"/>
          <w:lang w:val="fr-FR"/>
        </w:rPr>
        <w:tab/>
      </w:r>
      <w:r>
        <w:rPr>
          <w:w w:val="105"/>
          <w:lang w:val="fr-FR"/>
        </w:rPr>
        <w:tab/>
      </w:r>
      <w:r>
        <w:rPr>
          <w:w w:val="105"/>
          <w:lang w:val="fr-FR"/>
        </w:rPr>
        <w:tab/>
      </w:r>
      <w:r w:rsidRPr="006E0E02">
        <w:rPr>
          <w:w w:val="105"/>
          <w:lang w:val="fr-FR"/>
        </w:rPr>
        <w:t xml:space="preserve">Transmis par le Gouvernement </w:t>
      </w:r>
      <w:r>
        <w:rPr>
          <w:w w:val="105"/>
          <w:lang w:val="fr-FR"/>
        </w:rPr>
        <w:t>du</w:t>
      </w:r>
      <w:r w:rsidRPr="006E0E02">
        <w:rPr>
          <w:w w:val="105"/>
          <w:lang w:val="fr-FR"/>
        </w:rPr>
        <w:t xml:space="preserve"> </w:t>
      </w:r>
      <w:r w:rsidRPr="002C015F">
        <w:rPr>
          <w:w w:val="105"/>
          <w:lang w:val="fr-FR"/>
        </w:rPr>
        <w:t>Portugal</w:t>
      </w:r>
      <w:r w:rsidR="0034243B" w:rsidRPr="0035756D">
        <w:rPr>
          <w:rStyle w:val="FootnoteReference"/>
          <w:sz w:val="20"/>
        </w:rPr>
        <w:footnoteReference w:customMarkFollows="1" w:id="2"/>
        <w:t>*</w:t>
      </w:r>
      <w:r w:rsidR="0034243B" w:rsidRPr="001155A7">
        <w:rPr>
          <w:b w:val="0"/>
          <w:bCs/>
          <w:position w:val="6"/>
          <w:sz w:val="20"/>
        </w:rPr>
        <w:t>,</w:t>
      </w:r>
      <w:r w:rsidR="0034243B" w:rsidRPr="0035756D">
        <w:rPr>
          <w:sz w:val="20"/>
        </w:rPr>
        <w:t xml:space="preserve"> </w:t>
      </w:r>
      <w:r w:rsidR="0034243B" w:rsidRPr="0035756D">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484A4E" w:rsidTr="00637517">
        <w:trPr>
          <w:jc w:val="center"/>
        </w:trPr>
        <w:tc>
          <w:tcPr>
            <w:tcW w:w="9629" w:type="dxa"/>
            <w:shd w:val="clear" w:color="auto" w:fill="auto"/>
          </w:tcPr>
          <w:bookmarkEnd w:id="1"/>
          <w:p w:rsidR="00484A4E" w:rsidRPr="00622D85" w:rsidRDefault="00484A4E" w:rsidP="00637517">
            <w:pPr>
              <w:spacing w:before="240" w:after="120"/>
              <w:ind w:left="255"/>
              <w:rPr>
                <w:i/>
              </w:rPr>
            </w:pPr>
            <w:r w:rsidRPr="00622D85">
              <w:rPr>
                <w:i/>
              </w:rPr>
              <w:t>Résumé</w:t>
            </w:r>
          </w:p>
        </w:tc>
      </w:tr>
      <w:tr w:rsidR="00484A4E" w:rsidTr="00637517">
        <w:trPr>
          <w:jc w:val="center"/>
        </w:trPr>
        <w:tc>
          <w:tcPr>
            <w:tcW w:w="9629" w:type="dxa"/>
            <w:shd w:val="clear" w:color="auto" w:fill="auto"/>
          </w:tcPr>
          <w:p w:rsidR="00484A4E" w:rsidRPr="00622D85" w:rsidRDefault="00484A4E" w:rsidP="00637517">
            <w:pPr>
              <w:pStyle w:val="SingleTxtG"/>
              <w:tabs>
                <w:tab w:val="left" w:pos="3686"/>
              </w:tabs>
              <w:ind w:left="3686" w:hanging="2552"/>
            </w:pPr>
            <w:r w:rsidRPr="00622D85">
              <w:rPr>
                <w:b/>
              </w:rPr>
              <w:t xml:space="preserve">Résumé </w:t>
            </w:r>
            <w:proofErr w:type="gramStart"/>
            <w:r w:rsidRPr="00622D85">
              <w:rPr>
                <w:b/>
              </w:rPr>
              <w:t>analytique:</w:t>
            </w:r>
            <w:proofErr w:type="gramEnd"/>
            <w:r w:rsidRPr="00622D85">
              <w:rPr>
                <w:b/>
              </w:rPr>
              <w:tab/>
            </w:r>
            <w:r w:rsidRPr="00E572EC">
              <w:rPr>
                <w:lang w:val="fr-FR"/>
              </w:rPr>
              <w:t>Il est proposé de supprimer de la section 1.2.1 le décodage de toutes les abréviations et acronymes, lesquels figureront dans une nouvelle section 1.2.3.</w:t>
            </w:r>
          </w:p>
        </w:tc>
      </w:tr>
      <w:tr w:rsidR="00484A4E" w:rsidTr="00637517">
        <w:trPr>
          <w:jc w:val="center"/>
        </w:trPr>
        <w:tc>
          <w:tcPr>
            <w:tcW w:w="9629" w:type="dxa"/>
            <w:shd w:val="clear" w:color="auto" w:fill="auto"/>
          </w:tcPr>
          <w:p w:rsidR="00484A4E" w:rsidRPr="00622D85" w:rsidRDefault="00484A4E" w:rsidP="00637517">
            <w:pPr>
              <w:pStyle w:val="SingleTxtG"/>
              <w:tabs>
                <w:tab w:val="left" w:pos="3686"/>
              </w:tabs>
              <w:ind w:left="3686" w:hanging="2552"/>
            </w:pPr>
            <w:r w:rsidRPr="00622D85">
              <w:rPr>
                <w:b/>
              </w:rPr>
              <w:t xml:space="preserve">Mesures à </w:t>
            </w:r>
            <w:proofErr w:type="gramStart"/>
            <w:r w:rsidRPr="00622D85">
              <w:rPr>
                <w:b/>
              </w:rPr>
              <w:t>prendre:</w:t>
            </w:r>
            <w:proofErr w:type="gramEnd"/>
            <w:r w:rsidRPr="00622D85">
              <w:rPr>
                <w:b/>
              </w:rPr>
              <w:tab/>
            </w:r>
            <w:proofErr w:type="spellStart"/>
            <w:r w:rsidRPr="00DC19A3">
              <w:rPr>
                <w:snapToGrid w:val="0"/>
                <w:spacing w:val="-6"/>
                <w:lang w:val="en-US"/>
              </w:rPr>
              <w:t>Créer</w:t>
            </w:r>
            <w:proofErr w:type="spellEnd"/>
            <w:r w:rsidRPr="00DC19A3">
              <w:rPr>
                <w:snapToGrid w:val="0"/>
                <w:spacing w:val="-6"/>
                <w:lang w:val="en-US"/>
              </w:rPr>
              <w:t xml:space="preserve"> </w:t>
            </w:r>
            <w:proofErr w:type="spellStart"/>
            <w:r w:rsidRPr="00DC19A3">
              <w:rPr>
                <w:snapToGrid w:val="0"/>
                <w:spacing w:val="-6"/>
                <w:lang w:val="en-US"/>
              </w:rPr>
              <w:t>une</w:t>
            </w:r>
            <w:proofErr w:type="spellEnd"/>
            <w:r w:rsidRPr="00DC19A3">
              <w:rPr>
                <w:snapToGrid w:val="0"/>
                <w:spacing w:val="-6"/>
                <w:lang w:val="en-US"/>
              </w:rPr>
              <w:t xml:space="preserve"> nouvelle</w:t>
            </w:r>
            <w:r w:rsidRPr="00DC19A3">
              <w:rPr>
                <w:spacing w:val="-6"/>
                <w:lang w:val="en-US"/>
              </w:rPr>
              <w:t xml:space="preserve"> section 1.2.3 </w:t>
            </w:r>
            <w:r w:rsidRPr="00DC19A3">
              <w:rPr>
                <w:snapToGrid w:val="0"/>
                <w:spacing w:val="-6"/>
                <w:lang w:val="en-US"/>
              </w:rPr>
              <w:t xml:space="preserve">dans le </w:t>
            </w:r>
            <w:proofErr w:type="spellStart"/>
            <w:r w:rsidRPr="00DC19A3">
              <w:rPr>
                <w:snapToGrid w:val="0"/>
                <w:spacing w:val="-6"/>
                <w:lang w:val="en-US"/>
              </w:rPr>
              <w:t>Chapitre</w:t>
            </w:r>
            <w:proofErr w:type="spellEnd"/>
            <w:r w:rsidRPr="00DC19A3">
              <w:rPr>
                <w:snapToGrid w:val="0"/>
                <w:spacing w:val="-6"/>
                <w:lang w:val="en-US"/>
              </w:rPr>
              <w:t xml:space="preserve"> 1.2.</w:t>
            </w:r>
          </w:p>
        </w:tc>
      </w:tr>
      <w:tr w:rsidR="00484A4E" w:rsidTr="00637517">
        <w:trPr>
          <w:jc w:val="center"/>
        </w:trPr>
        <w:tc>
          <w:tcPr>
            <w:tcW w:w="9629" w:type="dxa"/>
            <w:shd w:val="clear" w:color="auto" w:fill="auto"/>
          </w:tcPr>
          <w:p w:rsidR="00484A4E" w:rsidRDefault="00484A4E" w:rsidP="00637517">
            <w:pPr>
              <w:pStyle w:val="SingleTxtG"/>
              <w:tabs>
                <w:tab w:val="left" w:pos="3260"/>
              </w:tabs>
              <w:ind w:left="0"/>
            </w:pPr>
          </w:p>
        </w:tc>
      </w:tr>
    </w:tbl>
    <w:p w:rsidR="00484A4E" w:rsidRPr="00F215A0" w:rsidRDefault="00484A4E" w:rsidP="00484A4E">
      <w:pPr>
        <w:pStyle w:val="HChG"/>
      </w:pPr>
      <w:r w:rsidRPr="00F215A0">
        <w:tab/>
      </w:r>
      <w:r w:rsidRPr="00F215A0">
        <w:tab/>
        <w:t>Introduction</w:t>
      </w:r>
    </w:p>
    <w:p w:rsidR="00484A4E" w:rsidRPr="000B4143" w:rsidRDefault="00484A4E" w:rsidP="00484A4E">
      <w:pPr>
        <w:pStyle w:val="SingleTxtG"/>
        <w:rPr>
          <w:lang w:val="fr-FR"/>
        </w:rPr>
      </w:pPr>
      <w:r>
        <w:rPr>
          <w:lang w:val="fr-FR"/>
        </w:rPr>
        <w:t>1.</w:t>
      </w:r>
      <w:r>
        <w:rPr>
          <w:lang w:val="fr-FR"/>
        </w:rPr>
        <w:tab/>
      </w:r>
      <w:r w:rsidRPr="000B4143">
        <w:rPr>
          <w:lang w:val="fr-FR"/>
        </w:rPr>
        <w:t>La section 1.2.1 d</w:t>
      </w:r>
      <w:r>
        <w:rPr>
          <w:lang w:val="fr-FR"/>
        </w:rPr>
        <w:t>es</w:t>
      </w:r>
      <w:r w:rsidRPr="000B4143">
        <w:rPr>
          <w:lang w:val="fr-FR"/>
        </w:rPr>
        <w:t xml:space="preserve"> </w:t>
      </w:r>
      <w:r>
        <w:rPr>
          <w:lang w:val="fr-FR"/>
        </w:rPr>
        <w:t>r</w:t>
      </w:r>
      <w:r w:rsidRPr="000B4143">
        <w:rPr>
          <w:lang w:val="fr-FR"/>
        </w:rPr>
        <w:t>èglement</w:t>
      </w:r>
      <w:r>
        <w:rPr>
          <w:lang w:val="fr-FR"/>
        </w:rPr>
        <w:t>s</w:t>
      </w:r>
      <w:r w:rsidRPr="000B4143">
        <w:rPr>
          <w:lang w:val="fr-FR"/>
        </w:rPr>
        <w:t xml:space="preserve"> RID et ADR contient la définition de tous les termes techniques utilisés dans l</w:t>
      </w:r>
      <w:r>
        <w:rPr>
          <w:lang w:val="fr-FR"/>
        </w:rPr>
        <w:t>a</w:t>
      </w:r>
      <w:r w:rsidRPr="000B4143">
        <w:rPr>
          <w:lang w:val="fr-FR"/>
        </w:rPr>
        <w:t xml:space="preserve"> règlement</w:t>
      </w:r>
      <w:r>
        <w:rPr>
          <w:lang w:val="fr-FR"/>
        </w:rPr>
        <w:t>ation</w:t>
      </w:r>
      <w:r w:rsidRPr="000B4143">
        <w:rPr>
          <w:lang w:val="fr-FR"/>
        </w:rPr>
        <w:t>, de manière claire et concise, ce qui est très avantageux pour les utilisateurs.</w:t>
      </w:r>
    </w:p>
    <w:p w:rsidR="00484A4E" w:rsidRPr="00DC19A3" w:rsidRDefault="00484A4E" w:rsidP="00484A4E">
      <w:pPr>
        <w:pStyle w:val="SingleTxtG"/>
        <w:rPr>
          <w:lang w:val="fr-FR"/>
        </w:rPr>
      </w:pPr>
      <w:r>
        <w:rPr>
          <w:lang w:val="fr-FR"/>
        </w:rPr>
        <w:t>2.</w:t>
      </w:r>
      <w:r>
        <w:rPr>
          <w:lang w:val="fr-FR"/>
        </w:rPr>
        <w:tab/>
      </w:r>
      <w:r w:rsidRPr="00DC19A3">
        <w:rPr>
          <w:lang w:val="fr-FR"/>
        </w:rPr>
        <w:t>D'autre part, la section 1.2.1 inclut aussi la signification de nombreux acronymes, ce qui est également très utile, mais ne fournit pas de vraies définitions et complique inutilement la consultation des définitions authentiques.</w:t>
      </w:r>
    </w:p>
    <w:p w:rsidR="00484A4E" w:rsidRPr="00DC19A3" w:rsidRDefault="00484A4E" w:rsidP="007725DD">
      <w:pPr>
        <w:pStyle w:val="HChG"/>
        <w:rPr>
          <w:lang w:val="fr-FR"/>
        </w:rPr>
      </w:pPr>
      <w:r>
        <w:rPr>
          <w:w w:val="105"/>
          <w:lang w:val="fr-FR"/>
        </w:rPr>
        <w:lastRenderedPageBreak/>
        <w:tab/>
      </w:r>
      <w:r>
        <w:rPr>
          <w:w w:val="105"/>
          <w:lang w:val="fr-FR"/>
        </w:rPr>
        <w:tab/>
      </w:r>
      <w:r w:rsidRPr="00DC19A3">
        <w:rPr>
          <w:w w:val="105"/>
          <w:lang w:val="fr-FR"/>
        </w:rPr>
        <w:t>Proposition</w:t>
      </w:r>
    </w:p>
    <w:p w:rsidR="00484A4E" w:rsidRPr="00F264D0" w:rsidRDefault="00484A4E" w:rsidP="00484A4E">
      <w:pPr>
        <w:pStyle w:val="SingleTxtG"/>
        <w:rPr>
          <w:lang w:val="fr-FR"/>
        </w:rPr>
      </w:pPr>
      <w:r>
        <w:rPr>
          <w:lang w:val="fr-FR"/>
        </w:rPr>
        <w:t>3.</w:t>
      </w:r>
      <w:r>
        <w:rPr>
          <w:lang w:val="fr-FR"/>
        </w:rPr>
        <w:tab/>
      </w:r>
      <w:r w:rsidRPr="00F264D0">
        <w:rPr>
          <w:lang w:val="fr-FR"/>
        </w:rPr>
        <w:t>Il est proposé de supprimer de la section 1.2.1 le décodage de toutes les abréviations et acronymes</w:t>
      </w:r>
      <w:r>
        <w:rPr>
          <w:lang w:val="fr-FR"/>
        </w:rPr>
        <w:t>, lesquels</w:t>
      </w:r>
      <w:r w:rsidRPr="00F264D0">
        <w:rPr>
          <w:lang w:val="fr-FR"/>
        </w:rPr>
        <w:t xml:space="preserve"> figureront dans une nouvelle section 1.2.3 à créer.</w:t>
      </w:r>
      <w:r>
        <w:rPr>
          <w:lang w:val="fr-FR"/>
        </w:rPr>
        <w:t xml:space="preserve"> </w:t>
      </w:r>
      <w:r w:rsidRPr="007C5AC3">
        <w:rPr>
          <w:lang w:val="fr-FR"/>
        </w:rPr>
        <w:t>On ajoute aussi l’adresse des sites électroniques des organisations internationales</w:t>
      </w:r>
      <w:r>
        <w:rPr>
          <w:lang w:val="fr-FR"/>
        </w:rPr>
        <w:t>.</w:t>
      </w:r>
    </w:p>
    <w:p w:rsidR="00484A4E" w:rsidRPr="00DC19A3" w:rsidRDefault="00484A4E" w:rsidP="00484A4E">
      <w:pPr>
        <w:pStyle w:val="SingleTxtG"/>
        <w:rPr>
          <w:rFonts w:cs="Courier New"/>
          <w:lang w:val="fr-FR" w:eastAsia="pt-PT"/>
        </w:rPr>
      </w:pPr>
      <w:r>
        <w:rPr>
          <w:rFonts w:cs="Courier New"/>
          <w:lang w:val="fr-FR" w:eastAsia="pt-PT"/>
        </w:rPr>
        <w:t>4.</w:t>
      </w:r>
      <w:r>
        <w:rPr>
          <w:rFonts w:cs="Courier New"/>
          <w:lang w:val="fr-FR" w:eastAsia="pt-PT"/>
        </w:rPr>
        <w:tab/>
      </w:r>
      <w:r w:rsidRPr="00DC19A3">
        <w:rPr>
          <w:rFonts w:cs="Courier New"/>
          <w:lang w:val="fr-FR" w:eastAsia="pt-PT"/>
        </w:rPr>
        <w:t>La même solution a été adoptée dans les textes équivalents du Code IMDG, et a été largement acceptée, sachant que l’IMDG est la réglementation modale la plus largement utilisée pour le transport de marchandises dangereuses.</w:t>
      </w:r>
    </w:p>
    <w:p w:rsidR="00484A4E" w:rsidRDefault="00484A4E" w:rsidP="00484A4E">
      <w:pPr>
        <w:pStyle w:val="SingleTxtG"/>
        <w:rPr>
          <w:rFonts w:cs="Courier New"/>
          <w:lang w:val="fr-FR" w:eastAsia="pt-PT"/>
        </w:rPr>
      </w:pPr>
      <w:r>
        <w:rPr>
          <w:rFonts w:cs="Courier New"/>
          <w:lang w:val="fr-FR" w:eastAsia="pt-PT"/>
        </w:rPr>
        <w:t>5.</w:t>
      </w:r>
      <w:r>
        <w:rPr>
          <w:rFonts w:cs="Courier New"/>
          <w:lang w:val="fr-FR" w:eastAsia="pt-PT"/>
        </w:rPr>
        <w:tab/>
        <w:t>La liste d’amend</w:t>
      </w:r>
      <w:r w:rsidR="006F488A">
        <w:rPr>
          <w:rFonts w:cs="Courier New"/>
          <w:lang w:val="fr-FR" w:eastAsia="pt-PT"/>
        </w:rPr>
        <w:t>e</w:t>
      </w:r>
      <w:r>
        <w:rPr>
          <w:rFonts w:cs="Courier New"/>
          <w:lang w:val="fr-FR" w:eastAsia="pt-PT"/>
        </w:rPr>
        <w:t xml:space="preserve">ments au chapitre 1.2 figure dans l’annexe au présent document. Le texte complet du chapitre 1.2 est reproduit dans le document informel </w:t>
      </w:r>
      <w:r w:rsidRPr="008B6681">
        <w:rPr>
          <w:rFonts w:cs="Courier New"/>
          <w:lang w:val="fr-FR" w:eastAsia="pt-PT"/>
        </w:rPr>
        <w:t>INF.</w:t>
      </w:r>
      <w:r w:rsidR="008B6681">
        <w:rPr>
          <w:rFonts w:cs="Courier New"/>
          <w:lang w:val="fr-FR" w:eastAsia="pt-PT"/>
        </w:rPr>
        <w:t>5</w:t>
      </w:r>
      <w:r>
        <w:rPr>
          <w:rFonts w:cs="Courier New"/>
          <w:lang w:val="fr-FR" w:eastAsia="pt-PT"/>
        </w:rPr>
        <w:t xml:space="preserve">, avec le </w:t>
      </w:r>
      <w:r w:rsidRPr="00DC19A3">
        <w:rPr>
          <w:rFonts w:cs="Courier New"/>
          <w:lang w:val="fr-FR" w:eastAsia="pt-PT"/>
        </w:rPr>
        <w:t xml:space="preserve">nouveau texte </w:t>
      </w:r>
      <w:r>
        <w:rPr>
          <w:rFonts w:cs="Courier New"/>
          <w:u w:val="single"/>
          <w:lang w:val="fr-FR" w:eastAsia="pt-PT"/>
        </w:rPr>
        <w:t>surligné</w:t>
      </w:r>
      <w:r w:rsidRPr="00DC19A3">
        <w:rPr>
          <w:rFonts w:cs="Courier New"/>
          <w:lang w:val="fr-FR" w:eastAsia="pt-PT"/>
        </w:rPr>
        <w:t xml:space="preserve"> et le texte supprimé </w:t>
      </w:r>
      <w:r w:rsidRPr="00DC19A3">
        <w:rPr>
          <w:rFonts w:cs="Courier New"/>
          <w:strike/>
          <w:lang w:val="fr-FR" w:eastAsia="pt-PT"/>
        </w:rPr>
        <w:t>barré</w:t>
      </w:r>
      <w:r w:rsidRPr="00DC19A3">
        <w:rPr>
          <w:rFonts w:cs="Courier New"/>
          <w:lang w:val="fr-FR" w:eastAsia="pt-PT"/>
        </w:rPr>
        <w:t>.</w:t>
      </w:r>
    </w:p>
    <w:p w:rsidR="00484A4E" w:rsidRDefault="00484A4E" w:rsidP="00484A4E">
      <w:pPr>
        <w:pStyle w:val="SingleTxtG"/>
        <w:rPr>
          <w:rFonts w:cs="Courier New"/>
          <w:lang w:val="fr-FR" w:eastAsia="pt-PT"/>
        </w:rPr>
      </w:pPr>
      <w:r>
        <w:rPr>
          <w:rFonts w:cs="Courier New"/>
          <w:lang w:val="fr-FR" w:eastAsia="pt-PT"/>
        </w:rPr>
        <w:t>6.</w:t>
      </w:r>
      <w:r>
        <w:rPr>
          <w:rFonts w:cs="Courier New"/>
          <w:lang w:val="fr-FR" w:eastAsia="pt-PT"/>
        </w:rPr>
        <w:tab/>
      </w:r>
      <w:r w:rsidRPr="00DC19A3">
        <w:rPr>
          <w:rFonts w:cs="Courier New"/>
          <w:lang w:val="fr-FR" w:eastAsia="pt-PT"/>
        </w:rPr>
        <w:t>Un amendement similaire peut être vu dans l'Accord ADN.</w:t>
      </w:r>
    </w:p>
    <w:p w:rsidR="00484A4E" w:rsidRPr="00154B8B" w:rsidRDefault="00484A4E" w:rsidP="00484A4E">
      <w:pPr>
        <w:pStyle w:val="SingleTxtG"/>
        <w:rPr>
          <w:rFonts w:cs="Courier New"/>
          <w:lang w:val="fr-FR" w:eastAsia="pt-PT"/>
        </w:rPr>
      </w:pPr>
      <w:r>
        <w:rPr>
          <w:rFonts w:cs="Courier New"/>
          <w:color w:val="222222"/>
          <w:lang w:val="fr-FR" w:eastAsia="pt-PT"/>
        </w:rPr>
        <w:t>7.</w:t>
      </w:r>
      <w:r>
        <w:rPr>
          <w:rFonts w:cs="Courier New"/>
          <w:color w:val="222222"/>
          <w:lang w:val="fr-FR" w:eastAsia="pt-PT"/>
        </w:rPr>
        <w:tab/>
      </w:r>
      <w:r w:rsidRPr="00154B8B">
        <w:rPr>
          <w:rFonts w:cs="Courier New"/>
          <w:color w:val="222222"/>
          <w:lang w:val="fr-FR" w:eastAsia="pt-PT"/>
        </w:rPr>
        <w:t>La présente proposition a pris en considération les observations et suggestions faites à la session d'automne 2019 de la Réunion commune RID/ADR/ADN sur la précédente proposition portugaise</w:t>
      </w:r>
      <w:r>
        <w:rPr>
          <w:rFonts w:cs="Courier New"/>
          <w:color w:val="222222"/>
          <w:lang w:val="fr-FR" w:eastAsia="pt-PT"/>
        </w:rPr>
        <w:t xml:space="preserve"> relative</w:t>
      </w:r>
      <w:r w:rsidRPr="00154B8B">
        <w:rPr>
          <w:rFonts w:cs="Courier New"/>
          <w:color w:val="222222"/>
          <w:lang w:val="fr-FR" w:eastAsia="pt-PT"/>
        </w:rPr>
        <w:t xml:space="preserve"> à ce sujet (ECE/TRANS/WP.15/AC.1/2019/27).</w:t>
      </w:r>
    </w:p>
    <w:p w:rsidR="00484A4E" w:rsidRPr="008804C0" w:rsidRDefault="007725DD" w:rsidP="007725DD">
      <w:pPr>
        <w:pStyle w:val="HChG"/>
        <w:rPr>
          <w:lang w:val="fr-FR"/>
        </w:rPr>
      </w:pPr>
      <w:r>
        <w:rPr>
          <w:w w:val="110"/>
          <w:lang w:val="fr-FR"/>
        </w:rPr>
        <w:tab/>
      </w:r>
      <w:r>
        <w:rPr>
          <w:w w:val="110"/>
          <w:lang w:val="fr-FR"/>
        </w:rPr>
        <w:tab/>
      </w:r>
      <w:r w:rsidR="00484A4E" w:rsidRPr="008804C0">
        <w:rPr>
          <w:w w:val="110"/>
          <w:lang w:val="fr-FR"/>
        </w:rPr>
        <w:t>Justification</w:t>
      </w:r>
    </w:p>
    <w:p w:rsidR="00484A4E" w:rsidRPr="00DC19A3" w:rsidRDefault="00484A4E" w:rsidP="00484A4E">
      <w:pPr>
        <w:pStyle w:val="SingleTxtG"/>
        <w:rPr>
          <w:lang w:val="fr-FR" w:eastAsia="pt-PT"/>
        </w:rPr>
      </w:pPr>
      <w:r>
        <w:rPr>
          <w:lang w:val="fr-FR" w:eastAsia="pt-PT"/>
        </w:rPr>
        <w:t>8.</w:t>
      </w:r>
      <w:r>
        <w:rPr>
          <w:lang w:val="fr-FR" w:eastAsia="pt-PT"/>
        </w:rPr>
        <w:tab/>
      </w:r>
      <w:r w:rsidRPr="00DC19A3">
        <w:rPr>
          <w:lang w:val="fr-FR" w:eastAsia="pt-PT"/>
        </w:rPr>
        <w:t>Ces modifications ont pour but d’apporter plus de clarté et de convivialité à l’actuelle section 1.2.1 du Règlement, afin que ce texte ne contienne que les définitions des concepts et des termes techniques utilisés dans l’ADR et le RID, en faisant un véritable glossaire, il est entendu que ce soit sa vocation.</w:t>
      </w:r>
    </w:p>
    <w:p w:rsidR="00484A4E" w:rsidRPr="00F215A0" w:rsidRDefault="007725DD" w:rsidP="007725DD">
      <w:pPr>
        <w:pStyle w:val="HChG"/>
        <w:rPr>
          <w:w w:val="110"/>
          <w:lang w:val="fr-FR"/>
        </w:rPr>
      </w:pPr>
      <w:r>
        <w:rPr>
          <w:w w:val="110"/>
          <w:lang w:val="fr-FR"/>
        </w:rPr>
        <w:tab/>
      </w:r>
      <w:r>
        <w:rPr>
          <w:w w:val="110"/>
          <w:lang w:val="fr-FR"/>
        </w:rPr>
        <w:tab/>
      </w:r>
      <w:r w:rsidR="00484A4E" w:rsidRPr="006E0E02">
        <w:rPr>
          <w:w w:val="110"/>
          <w:lang w:val="fr-FR"/>
        </w:rPr>
        <w:t>Difficultés</w:t>
      </w:r>
    </w:p>
    <w:p w:rsidR="00484A4E" w:rsidRDefault="00484A4E" w:rsidP="00484A4E">
      <w:pPr>
        <w:pStyle w:val="SingleTxtG"/>
        <w:rPr>
          <w:rFonts w:cs="Courier New"/>
          <w:color w:val="222222"/>
          <w:lang w:val="fr-FR" w:eastAsia="pt-PT"/>
        </w:rPr>
      </w:pPr>
      <w:r>
        <w:rPr>
          <w:rFonts w:cs="Courier New"/>
          <w:color w:val="222222"/>
          <w:lang w:val="fr-FR" w:eastAsia="pt-PT"/>
        </w:rPr>
        <w:t>9.</w:t>
      </w:r>
      <w:r>
        <w:rPr>
          <w:rFonts w:cs="Courier New"/>
          <w:color w:val="222222"/>
          <w:lang w:val="fr-FR" w:eastAsia="pt-PT"/>
        </w:rPr>
        <w:tab/>
      </w:r>
      <w:r w:rsidRPr="00F215A0">
        <w:rPr>
          <w:rFonts w:cs="Courier New"/>
          <w:color w:val="222222"/>
          <w:lang w:val="fr-FR" w:eastAsia="pt-PT"/>
        </w:rPr>
        <w:t>Aucune difficulté avec l'application de l'amendement n'est attendue.</w:t>
      </w:r>
    </w:p>
    <w:p w:rsidR="00484A4E" w:rsidRDefault="00484A4E" w:rsidP="00484A4E">
      <w:pPr>
        <w:suppressAutoHyphens w:val="0"/>
        <w:kinsoku/>
        <w:overflowPunct/>
        <w:autoSpaceDE/>
        <w:autoSpaceDN/>
        <w:adjustRightInd/>
        <w:snapToGrid/>
        <w:spacing w:after="200" w:line="276" w:lineRule="auto"/>
        <w:rPr>
          <w:rFonts w:cs="Courier New"/>
          <w:color w:val="222222"/>
          <w:lang w:val="fr-FR" w:eastAsia="pt-PT"/>
        </w:rPr>
      </w:pPr>
      <w:r>
        <w:rPr>
          <w:rFonts w:cs="Courier New"/>
          <w:color w:val="222222"/>
          <w:lang w:val="fr-FR" w:eastAsia="pt-PT"/>
        </w:rPr>
        <w:br w:type="page"/>
      </w:r>
    </w:p>
    <w:p w:rsidR="00484A4E" w:rsidRPr="00F215A0" w:rsidRDefault="00484A4E" w:rsidP="007725DD">
      <w:pPr>
        <w:pStyle w:val="HChG"/>
        <w:rPr>
          <w:lang w:val="fr-FR"/>
        </w:rPr>
      </w:pPr>
      <w:r>
        <w:rPr>
          <w:lang w:val="fr-FR"/>
        </w:rPr>
        <w:lastRenderedPageBreak/>
        <w:tab/>
      </w:r>
      <w:r>
        <w:rPr>
          <w:lang w:val="fr-FR"/>
        </w:rPr>
        <w:tab/>
      </w:r>
      <w:r w:rsidRPr="00F215A0">
        <w:rPr>
          <w:lang w:val="fr-FR"/>
        </w:rPr>
        <w:t>Annexe</w:t>
      </w:r>
    </w:p>
    <w:p w:rsidR="00484A4E" w:rsidRDefault="00484A4E" w:rsidP="00484A4E">
      <w:pPr>
        <w:pStyle w:val="SingleTxtG"/>
      </w:pPr>
      <w:r>
        <w:tab/>
        <w:t>Modifier le chapitre 1.2 du RID/ADR comme suit :</w:t>
      </w:r>
    </w:p>
    <w:p w:rsidR="00484A4E" w:rsidRPr="00FA4F08" w:rsidRDefault="00484A4E" w:rsidP="00484A4E">
      <w:pPr>
        <w:pStyle w:val="SingleTxtG"/>
        <w:ind w:left="1985" w:hanging="851"/>
        <w:rPr>
          <w:lang w:val="fr-FR"/>
        </w:rPr>
      </w:pPr>
      <w:r>
        <w:t>Titre</w:t>
      </w:r>
      <w:r>
        <w:tab/>
        <w:t xml:space="preserve">Modifier pour lire : </w:t>
      </w:r>
      <w:r w:rsidRPr="00F215A0">
        <w:t>« </w:t>
      </w:r>
      <w:r w:rsidRPr="00F215A0">
        <w:rPr>
          <w:lang w:val="fr-FR"/>
        </w:rPr>
        <w:t xml:space="preserve">DÉFINITIONS, ET UNITÉS DE MESURE ET </w:t>
      </w:r>
      <w:r w:rsidRPr="00FA4F08">
        <w:rPr>
          <w:lang w:val="fr-FR"/>
        </w:rPr>
        <w:t>ABRÉVIATIONS »</w:t>
      </w:r>
    </w:p>
    <w:p w:rsidR="00484A4E" w:rsidRPr="00FA4F08" w:rsidRDefault="00484A4E" w:rsidP="00484A4E">
      <w:pPr>
        <w:pStyle w:val="SingleTxtG"/>
        <w:tabs>
          <w:tab w:val="left" w:pos="1985"/>
        </w:tabs>
      </w:pPr>
      <w:r w:rsidRPr="00FA4F08">
        <w:t>1.2.1</w:t>
      </w:r>
      <w:r w:rsidRPr="00FA4F08">
        <w:tab/>
        <w:t>Insérer les nouvelles définitions suivantes [RID seulement] dans l’ordre alphabétique :</w:t>
      </w:r>
    </w:p>
    <w:p w:rsidR="00484A4E" w:rsidRPr="00FA4F08" w:rsidRDefault="00484A4E" w:rsidP="00484A4E">
      <w:pPr>
        <w:pStyle w:val="SingleTxtG"/>
        <w:ind w:left="1985"/>
        <w:rPr>
          <w:iCs/>
        </w:rPr>
      </w:pPr>
      <w:r w:rsidRPr="00FA4F08">
        <w:rPr>
          <w:i/>
          <w:lang w:val="fr-FR"/>
        </w:rPr>
        <w:t>« Dispositif de mise à l’atmosphère commandé par contrainte </w:t>
      </w:r>
      <w:r w:rsidRPr="00FA4F08">
        <w:rPr>
          <w:iCs/>
          <w:lang w:val="fr-FR"/>
        </w:rPr>
        <w:t>», le dispositif de citerne à vidange par le bas qui est relié avec le clapet interne et qui n’est ouvert que dans les conditions normales de service lors des opérations de chargement et de déchargement pour aérer la citerne ; ».</w:t>
      </w:r>
    </w:p>
    <w:p w:rsidR="00484A4E" w:rsidRPr="00FA4F08" w:rsidRDefault="00484A4E" w:rsidP="00484A4E">
      <w:pPr>
        <w:pStyle w:val="SingleTxtG"/>
        <w:ind w:left="1985"/>
        <w:rPr>
          <w:i/>
        </w:rPr>
      </w:pPr>
      <w:r w:rsidRPr="00FA4F08">
        <w:rPr>
          <w:i/>
          <w:lang w:val="fr-FR"/>
        </w:rPr>
        <w:t>« Trafic ferroutage »,</w:t>
      </w:r>
      <w:r w:rsidRPr="00FA4F08">
        <w:rPr>
          <w:lang w:val="fr-FR"/>
        </w:rPr>
        <w:t xml:space="preserve"> l’acheminement de véhicules routiers en trafic combiné rail/route. Ce terme englobe la route roulante [chargement de véhicules routiers (accompagnés ou non accompagnés) sur des wagons destinés à ce type de transport] »</w:t>
      </w:r>
      <w:r w:rsidRPr="00FA4F08">
        <w:rPr>
          <w:i/>
        </w:rPr>
        <w:t>.</w:t>
      </w:r>
    </w:p>
    <w:p w:rsidR="00484A4E" w:rsidRPr="00FA4F08" w:rsidRDefault="00484A4E" w:rsidP="00484A4E">
      <w:pPr>
        <w:pStyle w:val="SingleTxtG"/>
        <w:tabs>
          <w:tab w:val="left" w:pos="1985"/>
        </w:tabs>
      </w:pPr>
      <w:r w:rsidRPr="00FA4F08">
        <w:t>1.2.3</w:t>
      </w:r>
      <w:r w:rsidRPr="00FA4F08">
        <w:tab/>
        <w:t xml:space="preserve">Ajouter une nouvelle section 1.2.3 avec une liste d’abréviations pour lire comme suit : </w:t>
      </w:r>
    </w:p>
    <w:p w:rsidR="00484A4E" w:rsidRPr="00FA4F08" w:rsidRDefault="00484A4E" w:rsidP="00484A4E">
      <w:pPr>
        <w:pStyle w:val="SingleTxtG"/>
        <w:ind w:left="1985"/>
        <w:rPr>
          <w:lang w:val="fr-FR"/>
        </w:rPr>
      </w:pPr>
      <w:r w:rsidRPr="00FA4F08">
        <w:rPr>
          <w:b/>
          <w:bCs/>
          <w:lang w:val="fr-FR"/>
        </w:rPr>
        <w:t xml:space="preserve">1.2.3 </w:t>
      </w:r>
      <w:r w:rsidRPr="00FA4F08">
        <w:rPr>
          <w:b/>
          <w:bCs/>
          <w:lang w:val="fr-FR"/>
        </w:rPr>
        <w:tab/>
        <w:t>Liste d’abréviations</w:t>
      </w:r>
    </w:p>
    <w:p w:rsidR="00484A4E" w:rsidRPr="00FA4F08" w:rsidRDefault="00484A4E" w:rsidP="00484A4E">
      <w:pPr>
        <w:pStyle w:val="SingleTxtG"/>
        <w:ind w:left="1985"/>
        <w:rPr>
          <w:rFonts w:ascii="inherit" w:hAnsi="inherit" w:cs="Courier New"/>
          <w:color w:val="212121"/>
          <w:lang w:val="fr-FR" w:eastAsia="pt-PT"/>
        </w:rPr>
      </w:pPr>
      <w:r w:rsidRPr="00FA4F08">
        <w:rPr>
          <w:rFonts w:ascii="inherit" w:hAnsi="inherit" w:cs="Courier New"/>
          <w:color w:val="212121"/>
          <w:lang w:val="fr-FR" w:eastAsia="pt-PT"/>
        </w:rPr>
        <w:t xml:space="preserve">Dans le RID/ADR, sont utilisés des abréviations, des acronymes et des désignations abrégées </w:t>
      </w:r>
      <w:r w:rsidRPr="00FA4F08">
        <w:rPr>
          <w:rFonts w:ascii="inherit" w:hAnsi="inherit" w:cs="Courier New"/>
          <w:lang w:val="fr-FR" w:eastAsia="pt-PT"/>
        </w:rPr>
        <w:t>de textes réglementaires</w:t>
      </w:r>
      <w:r w:rsidRPr="00FA4F08">
        <w:rPr>
          <w:rFonts w:ascii="inherit" w:hAnsi="inherit" w:cs="Courier New"/>
          <w:color w:val="212121"/>
          <w:lang w:val="fr-FR" w:eastAsia="pt-PT"/>
        </w:rPr>
        <w:t xml:space="preserve">, avec la signification </w:t>
      </w:r>
      <w:proofErr w:type="gramStart"/>
      <w:r w:rsidRPr="00FA4F08">
        <w:rPr>
          <w:rFonts w:ascii="inherit" w:hAnsi="inherit" w:cs="Courier New"/>
          <w:color w:val="212121"/>
          <w:lang w:val="fr-FR" w:eastAsia="pt-PT"/>
        </w:rPr>
        <w:t>suivante:</w:t>
      </w:r>
      <w:proofErr w:type="gramEnd"/>
    </w:p>
    <w:p w:rsidR="00484A4E" w:rsidRPr="00FA4F08" w:rsidRDefault="00484A4E" w:rsidP="00484A4E">
      <w:pPr>
        <w:pStyle w:val="SingleTxtG"/>
        <w:ind w:left="1985"/>
        <w:rPr>
          <w:b/>
          <w:bCs/>
          <w:lang w:val="fr-FR"/>
        </w:rPr>
      </w:pPr>
      <w:r w:rsidRPr="00FA4F08">
        <w:rPr>
          <w:b/>
          <w:bCs/>
          <w:lang w:val="fr-FR"/>
        </w:rPr>
        <w:t>A</w:t>
      </w:r>
    </w:p>
    <w:p w:rsidR="00484A4E" w:rsidRPr="00DC75C3" w:rsidRDefault="00484A4E" w:rsidP="00484A4E">
      <w:pPr>
        <w:pStyle w:val="SingleTxtG"/>
        <w:ind w:left="1985"/>
        <w:rPr>
          <w:lang w:val="fr-FR"/>
        </w:rPr>
      </w:pPr>
      <w:r w:rsidRPr="00FA4F08">
        <w:rPr>
          <w:i/>
          <w:lang w:val="fr-FR"/>
        </w:rPr>
        <w:t>"ADN"</w:t>
      </w:r>
      <w:r w:rsidRPr="00FA4F08">
        <w:rPr>
          <w:lang w:val="fr-FR"/>
        </w:rPr>
        <w:t>, l'Accord européen relatif au transport international des marchandises dangereuses par voies de</w:t>
      </w:r>
      <w:r w:rsidRPr="00DC75C3">
        <w:rPr>
          <w:lang w:val="fr-FR"/>
        </w:rPr>
        <w:t xml:space="preserve"> navigation </w:t>
      </w:r>
      <w:proofErr w:type="gramStart"/>
      <w:r w:rsidRPr="00DC75C3">
        <w:rPr>
          <w:lang w:val="fr-FR"/>
        </w:rPr>
        <w:t>intérieures;</w:t>
      </w:r>
      <w:proofErr w:type="gramEnd"/>
    </w:p>
    <w:p w:rsidR="00484A4E" w:rsidRPr="004E4382" w:rsidRDefault="00484A4E" w:rsidP="00484A4E">
      <w:pPr>
        <w:pStyle w:val="SingleTxtG"/>
        <w:ind w:left="1985"/>
        <w:rPr>
          <w:lang w:val="fr-FR"/>
        </w:rPr>
      </w:pPr>
      <w:r w:rsidRPr="00FB17F2">
        <w:rPr>
          <w:i/>
          <w:lang w:val="fr-FR"/>
        </w:rPr>
        <w:t>"ADR"</w:t>
      </w:r>
      <w:r w:rsidRPr="00FB17F2">
        <w:rPr>
          <w:lang w:val="fr-FR"/>
        </w:rPr>
        <w:t>, l’Accord européen relatif au transport international des marchandises dangereuses par route, y compris les accords particuliers qui ont été signés par tous les pays intéressés par le transport</w:t>
      </w:r>
      <w:r w:rsidRPr="004E4382">
        <w:rPr>
          <w:lang w:val="fr-FR"/>
        </w:rPr>
        <w:t xml:space="preserve"> </w:t>
      </w:r>
      <w:r w:rsidRPr="004E4382">
        <w:rPr>
          <w:i/>
          <w:lang w:val="fr-FR"/>
        </w:rPr>
        <w:t>(seulement dans le RID</w:t>
      </w:r>
      <w:proofErr w:type="gramStart"/>
      <w:r w:rsidRPr="004E4382">
        <w:rPr>
          <w:i/>
          <w:lang w:val="fr-FR"/>
        </w:rPr>
        <w:t>)</w:t>
      </w:r>
      <w:r w:rsidRPr="00E67C51">
        <w:rPr>
          <w:lang w:val="fr-FR"/>
        </w:rPr>
        <w:t>;</w:t>
      </w:r>
      <w:proofErr w:type="gramEnd"/>
    </w:p>
    <w:p w:rsidR="00484A4E" w:rsidRPr="00DC75C3" w:rsidRDefault="00484A4E" w:rsidP="00484A4E">
      <w:pPr>
        <w:pStyle w:val="SingleTxtG"/>
        <w:ind w:left="1985"/>
        <w:rPr>
          <w:lang w:val="fr-FR"/>
        </w:rPr>
      </w:pPr>
      <w:r w:rsidRPr="00DC75C3">
        <w:rPr>
          <w:i/>
          <w:lang w:val="fr-FR"/>
        </w:rPr>
        <w:t>"AIEA"</w:t>
      </w:r>
      <w:r w:rsidRPr="00DC75C3">
        <w:rPr>
          <w:lang w:val="fr-FR"/>
        </w:rPr>
        <w:t>, l’Agence internationale de l'énergie atomique (AIEA), (AIEA, P.O. Box 100, A-1400 Vienne</w:t>
      </w:r>
      <w:r>
        <w:rPr>
          <w:lang w:val="fr-FR"/>
        </w:rPr>
        <w:t>, Autriche</w:t>
      </w:r>
      <w:r w:rsidRPr="00DC75C3">
        <w:rPr>
          <w:lang w:val="fr-FR"/>
        </w:rPr>
        <w:t>)</w:t>
      </w:r>
      <w:r>
        <w:rPr>
          <w:lang w:val="fr-FR"/>
        </w:rPr>
        <w:t xml:space="preserve">, </w:t>
      </w:r>
      <w:proofErr w:type="gramStart"/>
      <w:r>
        <w:rPr>
          <w:lang w:val="fr-FR"/>
        </w:rPr>
        <w:t>www.iaea.org</w:t>
      </w:r>
      <w:r w:rsidRPr="00DC75C3">
        <w:rPr>
          <w:lang w:val="fr-FR"/>
        </w:rPr>
        <w:t>;</w:t>
      </w:r>
      <w:proofErr w:type="gramEnd"/>
    </w:p>
    <w:p w:rsidR="00484A4E" w:rsidRPr="004C5872" w:rsidRDefault="00484A4E" w:rsidP="00484A4E">
      <w:pPr>
        <w:pStyle w:val="SingleTxtG"/>
        <w:ind w:left="1985"/>
      </w:pPr>
      <w:r w:rsidRPr="004C5872">
        <w:rPr>
          <w:i/>
          <w:lang w:val="fr-FR"/>
        </w:rPr>
        <w:t>"</w:t>
      </w:r>
      <w:r w:rsidRPr="004C5872">
        <w:rPr>
          <w:i/>
        </w:rPr>
        <w:t>Annexe 2 au SMGS</w:t>
      </w:r>
      <w:r w:rsidRPr="004C5872">
        <w:rPr>
          <w:i/>
          <w:lang w:val="fr-FR"/>
        </w:rPr>
        <w:t>"</w:t>
      </w:r>
      <w:r w:rsidRPr="004C5872">
        <w:t xml:space="preserve">, </w:t>
      </w:r>
      <w:r>
        <w:t xml:space="preserve">les </w:t>
      </w:r>
      <w:r w:rsidRPr="004C5872">
        <w:t xml:space="preserve">Prescriptions pour le transport de marchandises dangereuses formant l’annexe 2 au </w:t>
      </w:r>
      <w:proofErr w:type="gramStart"/>
      <w:r w:rsidRPr="004C5872">
        <w:t>SMGS;</w:t>
      </w:r>
      <w:proofErr w:type="gramEnd"/>
    </w:p>
    <w:p w:rsidR="00484A4E" w:rsidRPr="00DC75C3" w:rsidRDefault="00484A4E" w:rsidP="00484A4E">
      <w:pPr>
        <w:pStyle w:val="SingleTxtG"/>
        <w:ind w:left="1985"/>
      </w:pPr>
      <w:r w:rsidRPr="00DC75C3">
        <w:rPr>
          <w:i/>
          <w:lang w:val="en-US"/>
        </w:rPr>
        <w:t>"ASTM"</w:t>
      </w:r>
      <w:r w:rsidRPr="00DC75C3">
        <w:rPr>
          <w:lang w:val="en-US"/>
        </w:rPr>
        <w:t xml:space="preserve">, </w:t>
      </w:r>
      <w:proofErr w:type="spellStart"/>
      <w:r w:rsidRPr="00DC75C3">
        <w:rPr>
          <w:lang w:val="en-US"/>
        </w:rPr>
        <w:t>l'American</w:t>
      </w:r>
      <w:proofErr w:type="spellEnd"/>
      <w:r w:rsidRPr="00DC75C3">
        <w:rPr>
          <w:lang w:val="en-US"/>
        </w:rPr>
        <w:t xml:space="preserve"> Society for Testing and Materials, (ASTM International, 100 Barr Harbor Drive, </w:t>
      </w:r>
      <w:r w:rsidRPr="00DC75C3">
        <w:t xml:space="preserve">PO Box C700, West </w:t>
      </w:r>
      <w:proofErr w:type="spellStart"/>
      <w:r w:rsidRPr="00DC75C3">
        <w:t>Conshohocken</w:t>
      </w:r>
      <w:proofErr w:type="spellEnd"/>
      <w:r w:rsidRPr="00DC75C3">
        <w:t>, PA, 19428-2959, États-Unis d'Amérique)</w:t>
      </w:r>
      <w:r>
        <w:t>, www.astm.org</w:t>
      </w:r>
      <w:r w:rsidRPr="00DC75C3">
        <w:t>;</w:t>
      </w:r>
    </w:p>
    <w:p w:rsidR="00484A4E" w:rsidRPr="009827FD" w:rsidRDefault="00484A4E" w:rsidP="00484A4E">
      <w:pPr>
        <w:pStyle w:val="SingleTxtG"/>
        <w:ind w:left="1985"/>
        <w:rPr>
          <w:lang w:val="fr-FR"/>
        </w:rPr>
      </w:pPr>
      <w:r w:rsidRPr="009827FD">
        <w:rPr>
          <w:i/>
          <w:lang w:val="fr-FR"/>
        </w:rPr>
        <w:t>"CEE-ONU"</w:t>
      </w:r>
      <w:r w:rsidRPr="009827FD">
        <w:rPr>
          <w:lang w:val="fr-FR"/>
        </w:rPr>
        <w:t>, la Commission Économique des Nations Unies pour l'Europe, (CEE-ONU, Palais des Nations, 8-14 avenue de la Paix, CH-1211 Genève 10, Suisse)</w:t>
      </w:r>
      <w:r>
        <w:rPr>
          <w:lang w:val="fr-FR"/>
        </w:rPr>
        <w:t xml:space="preserve">, </w:t>
      </w:r>
      <w:proofErr w:type="gramStart"/>
      <w:r>
        <w:rPr>
          <w:lang w:val="fr-FR"/>
        </w:rPr>
        <w:t>www.unece.org</w:t>
      </w:r>
      <w:r w:rsidRPr="009827FD">
        <w:rPr>
          <w:lang w:val="fr-FR"/>
        </w:rPr>
        <w:t>;</w:t>
      </w:r>
      <w:proofErr w:type="gramEnd"/>
    </w:p>
    <w:p w:rsidR="00484A4E" w:rsidRPr="009827FD" w:rsidRDefault="00484A4E" w:rsidP="00484A4E">
      <w:pPr>
        <w:pStyle w:val="SingleTxtG"/>
        <w:ind w:left="1985"/>
        <w:rPr>
          <w:lang w:val="fr-FR"/>
        </w:rPr>
      </w:pPr>
      <w:r w:rsidRPr="009827FD">
        <w:rPr>
          <w:i/>
          <w:lang w:val="fr-FR"/>
        </w:rPr>
        <w:t>"CGA"</w:t>
      </w:r>
      <w:r w:rsidRPr="009827FD">
        <w:rPr>
          <w:lang w:val="fr-FR"/>
        </w:rPr>
        <w:t xml:space="preserve">, "Compressed Gas Association", (CGA, 14501 George Carter </w:t>
      </w:r>
      <w:proofErr w:type="spellStart"/>
      <w:r w:rsidRPr="009827FD">
        <w:rPr>
          <w:lang w:val="fr-FR"/>
        </w:rPr>
        <w:t>Way</w:t>
      </w:r>
      <w:proofErr w:type="spellEnd"/>
      <w:r w:rsidRPr="009827FD">
        <w:rPr>
          <w:lang w:val="fr-FR"/>
        </w:rPr>
        <w:t>, Suite 103, Chantilly, VA 20151, États-Unis d'Amérique)</w:t>
      </w:r>
      <w:r>
        <w:rPr>
          <w:lang w:val="fr-FR"/>
        </w:rPr>
        <w:t xml:space="preserve">, </w:t>
      </w:r>
      <w:proofErr w:type="gramStart"/>
      <w:r>
        <w:rPr>
          <w:lang w:val="fr-FR"/>
        </w:rPr>
        <w:t>www.cganet.com</w:t>
      </w:r>
      <w:r w:rsidRPr="009827FD">
        <w:rPr>
          <w:lang w:val="fr-FR"/>
        </w:rPr>
        <w:t>;</w:t>
      </w:r>
      <w:proofErr w:type="gramEnd"/>
    </w:p>
    <w:p w:rsidR="00484A4E" w:rsidRDefault="00484A4E" w:rsidP="00484A4E">
      <w:pPr>
        <w:pStyle w:val="SingleTxtG"/>
        <w:ind w:left="1985"/>
        <w:rPr>
          <w:lang w:val="fr-FR"/>
        </w:rPr>
      </w:pPr>
      <w:r w:rsidRPr="009827FD">
        <w:rPr>
          <w:i/>
          <w:lang w:val="fr-FR"/>
        </w:rPr>
        <w:t>"CGEM"</w:t>
      </w:r>
      <w:r w:rsidRPr="009827FD">
        <w:rPr>
          <w:lang w:val="fr-FR"/>
        </w:rPr>
        <w:t>, voir "Conteneur à gaz à éléments multiples"</w:t>
      </w:r>
      <w:r>
        <w:rPr>
          <w:lang w:val="fr-FR"/>
        </w:rPr>
        <w:t xml:space="preserve"> à la section 1.2.1</w:t>
      </w:r>
      <w:r w:rsidRPr="009827FD">
        <w:rPr>
          <w:lang w:val="fr-FR"/>
        </w:rPr>
        <w:t>;</w:t>
      </w:r>
    </w:p>
    <w:p w:rsidR="00484A4E" w:rsidRPr="00DC75C3" w:rsidRDefault="00484A4E" w:rsidP="00484A4E">
      <w:pPr>
        <w:pStyle w:val="SingleTxtG"/>
        <w:ind w:left="1985"/>
        <w:rPr>
          <w:lang w:val="fr-FR"/>
        </w:rPr>
      </w:pPr>
      <w:r w:rsidRPr="00DC75C3">
        <w:rPr>
          <w:i/>
          <w:lang w:val="fr-FR"/>
        </w:rPr>
        <w:t>"CMR"</w:t>
      </w:r>
      <w:r w:rsidRPr="00DC75C3">
        <w:rPr>
          <w:lang w:val="fr-FR"/>
        </w:rPr>
        <w:t xml:space="preserve">, la Convention relative au contrat de transport international de marchandises par route (Genève, 19 mai 1956), telle que </w:t>
      </w:r>
      <w:proofErr w:type="gramStart"/>
      <w:r w:rsidRPr="00DC75C3">
        <w:rPr>
          <w:lang w:val="fr-FR"/>
        </w:rPr>
        <w:t>modifiée;</w:t>
      </w:r>
      <w:proofErr w:type="gramEnd"/>
    </w:p>
    <w:p w:rsidR="00484A4E" w:rsidRPr="00F803B3" w:rsidRDefault="00484A4E" w:rsidP="00484A4E">
      <w:pPr>
        <w:pStyle w:val="SingleTxtG"/>
        <w:ind w:left="1985"/>
        <w:rPr>
          <w:lang w:val="fr-FR"/>
        </w:rPr>
      </w:pPr>
      <w:r w:rsidRPr="00F803B3">
        <w:rPr>
          <w:i/>
          <w:lang w:val="fr-FR"/>
        </w:rPr>
        <w:t>"CSC"</w:t>
      </w:r>
      <w:r w:rsidRPr="00F803B3">
        <w:rPr>
          <w:lang w:val="fr-FR"/>
        </w:rPr>
        <w:t xml:space="preserve">, la Convention internationale sur la sécurité des conteneurs (Genève, 1972) telle que modifiée et publiée par l'Organisation Maritime Internationale (OMI), à </w:t>
      </w:r>
      <w:proofErr w:type="gramStart"/>
      <w:r w:rsidRPr="00F803B3">
        <w:rPr>
          <w:lang w:val="fr-FR"/>
        </w:rPr>
        <w:t>Londres;</w:t>
      </w:r>
      <w:proofErr w:type="gramEnd"/>
    </w:p>
    <w:p w:rsidR="00484A4E" w:rsidRDefault="00484A4E" w:rsidP="00484A4E">
      <w:pPr>
        <w:pStyle w:val="SingleTxtG"/>
        <w:ind w:left="1985"/>
        <w:rPr>
          <w:lang w:val="fr-FR"/>
        </w:rPr>
      </w:pPr>
      <w:r w:rsidRPr="00F803B3">
        <w:rPr>
          <w:i/>
          <w:lang w:val="fr-FR"/>
        </w:rPr>
        <w:t>"CSI"</w:t>
      </w:r>
      <w:r w:rsidRPr="00F803B3">
        <w:rPr>
          <w:lang w:val="fr-FR"/>
        </w:rPr>
        <w:t>, voir "Indice de sûreté-criticité"</w:t>
      </w:r>
      <w:r>
        <w:rPr>
          <w:lang w:val="fr-FR"/>
        </w:rPr>
        <w:t xml:space="preserve"> à la section 1.2.1;</w:t>
      </w:r>
    </w:p>
    <w:p w:rsidR="00484A4E" w:rsidRPr="004C5872" w:rsidRDefault="00484A4E" w:rsidP="00484A4E">
      <w:pPr>
        <w:pStyle w:val="SingleTxtG"/>
        <w:ind w:left="1985"/>
        <w:rPr>
          <w:lang w:val="fr-FR"/>
        </w:rPr>
      </w:pPr>
      <w:r w:rsidRPr="00F803B3">
        <w:rPr>
          <w:i/>
          <w:lang w:val="fr-FR"/>
        </w:rPr>
        <w:t>"</w:t>
      </w:r>
      <w:r>
        <w:rPr>
          <w:i/>
          <w:lang w:val="fr-FR"/>
        </w:rPr>
        <w:t>CTU</w:t>
      </w:r>
      <w:r w:rsidRPr="00F803B3">
        <w:rPr>
          <w:i/>
          <w:lang w:val="fr-FR"/>
        </w:rPr>
        <w:t>"</w:t>
      </w:r>
      <w:r>
        <w:rPr>
          <w:i/>
          <w:lang w:val="fr-FR"/>
        </w:rPr>
        <w:t xml:space="preserve">, </w:t>
      </w:r>
      <w:r>
        <w:rPr>
          <w:lang w:val="fr-FR"/>
        </w:rPr>
        <w:t xml:space="preserve">voir </w:t>
      </w:r>
      <w:r w:rsidRPr="004C5872">
        <w:rPr>
          <w:lang w:val="fr-FR"/>
        </w:rPr>
        <w:t>"Engin de transport" à la section 1.2.1;</w:t>
      </w:r>
    </w:p>
    <w:p w:rsidR="00484A4E" w:rsidRPr="00775549" w:rsidRDefault="00484A4E" w:rsidP="00484A4E">
      <w:pPr>
        <w:pStyle w:val="SingleTxtG"/>
        <w:keepNext/>
        <w:keepLines/>
        <w:ind w:left="1985"/>
        <w:rPr>
          <w:b/>
          <w:bCs/>
          <w:lang w:val="fr-FR"/>
        </w:rPr>
      </w:pPr>
      <w:r w:rsidRPr="00775549">
        <w:rPr>
          <w:b/>
          <w:bCs/>
          <w:lang w:val="fr-FR"/>
        </w:rPr>
        <w:lastRenderedPageBreak/>
        <w:t>E</w:t>
      </w:r>
    </w:p>
    <w:p w:rsidR="00484A4E" w:rsidRPr="00096B2C" w:rsidRDefault="00484A4E" w:rsidP="00484A4E">
      <w:pPr>
        <w:pStyle w:val="SingleTxtG"/>
        <w:ind w:left="1985"/>
        <w:rPr>
          <w:lang w:val="fr-FR"/>
        </w:rPr>
      </w:pPr>
      <w:r w:rsidRPr="00096B2C">
        <w:rPr>
          <w:i/>
          <w:lang w:val="fr-FR"/>
        </w:rPr>
        <w:t>"ECE"</w:t>
      </w:r>
      <w:r w:rsidRPr="00096B2C">
        <w:rPr>
          <w:lang w:val="fr-FR"/>
        </w:rPr>
        <w:t xml:space="preserve">, voir "Entité chargée de l’entretien" </w:t>
      </w:r>
      <w:r w:rsidRPr="004C5872">
        <w:rPr>
          <w:lang w:val="fr-FR"/>
        </w:rPr>
        <w:t>à la section 1.2.1</w:t>
      </w:r>
      <w:r w:rsidRPr="00096B2C">
        <w:rPr>
          <w:i/>
          <w:lang w:val="fr-FR"/>
        </w:rPr>
        <w:t xml:space="preserve"> (seulement dans le RID</w:t>
      </w:r>
      <w:proofErr w:type="gramStart"/>
      <w:r w:rsidRPr="00096B2C">
        <w:rPr>
          <w:i/>
          <w:lang w:val="fr-FR"/>
        </w:rPr>
        <w:t>)</w:t>
      </w:r>
      <w:r w:rsidRPr="00096B2C">
        <w:rPr>
          <w:lang w:val="fr-FR"/>
        </w:rPr>
        <w:t>;</w:t>
      </w:r>
      <w:proofErr w:type="gramEnd"/>
    </w:p>
    <w:p w:rsidR="00484A4E" w:rsidRDefault="00484A4E" w:rsidP="00484A4E">
      <w:pPr>
        <w:pStyle w:val="SingleTxtG"/>
        <w:ind w:left="1985"/>
        <w:rPr>
          <w:lang w:val="fr-FR"/>
        </w:rPr>
      </w:pPr>
      <w:r w:rsidRPr="00F803B3">
        <w:rPr>
          <w:i/>
          <w:lang w:val="fr-FR"/>
        </w:rPr>
        <w:t>"EN"</w:t>
      </w:r>
      <w:r w:rsidRPr="00F803B3">
        <w:rPr>
          <w:lang w:val="fr-FR"/>
        </w:rPr>
        <w:t xml:space="preserve"> (Norme), une norme européenne publiée par le Comité européen de normalisation (CEN), (CEN, Avenue Marnix 17, B-1000 Bruxelles</w:t>
      </w:r>
      <w:r>
        <w:rPr>
          <w:lang w:val="fr-FR"/>
        </w:rPr>
        <w:t>, Belgique</w:t>
      </w:r>
      <w:r w:rsidRPr="00F803B3">
        <w:rPr>
          <w:lang w:val="fr-FR"/>
        </w:rPr>
        <w:t>)</w:t>
      </w:r>
      <w:r>
        <w:rPr>
          <w:lang w:val="fr-FR"/>
        </w:rPr>
        <w:t xml:space="preserve">, </w:t>
      </w:r>
      <w:proofErr w:type="gramStart"/>
      <w:r>
        <w:rPr>
          <w:lang w:val="fr-FR"/>
        </w:rPr>
        <w:t>www.cen.eu</w:t>
      </w:r>
      <w:r w:rsidRPr="00F803B3">
        <w:rPr>
          <w:lang w:val="fr-FR"/>
        </w:rPr>
        <w:t>;</w:t>
      </w:r>
      <w:proofErr w:type="gramEnd"/>
    </w:p>
    <w:p w:rsidR="00484A4E" w:rsidRPr="00775549" w:rsidRDefault="00484A4E" w:rsidP="00484A4E">
      <w:pPr>
        <w:pStyle w:val="SingleTxtG"/>
        <w:ind w:left="1985"/>
        <w:rPr>
          <w:b/>
          <w:bCs/>
          <w:lang w:val="fr-FR"/>
        </w:rPr>
      </w:pPr>
      <w:r w:rsidRPr="00775549">
        <w:rPr>
          <w:b/>
          <w:bCs/>
          <w:lang w:val="fr-FR"/>
        </w:rPr>
        <w:t>G</w:t>
      </w:r>
    </w:p>
    <w:p w:rsidR="00484A4E" w:rsidRPr="00BF16F8" w:rsidRDefault="00484A4E" w:rsidP="00484A4E">
      <w:pPr>
        <w:pStyle w:val="SingleTxtG"/>
        <w:ind w:left="1985"/>
        <w:rPr>
          <w:lang w:val="fr-FR"/>
        </w:rPr>
      </w:pPr>
      <w:r w:rsidRPr="00BF16F8">
        <w:rPr>
          <w:i/>
          <w:lang w:val="fr-FR"/>
        </w:rPr>
        <w:t>"GNC"</w:t>
      </w:r>
      <w:r>
        <w:rPr>
          <w:i/>
          <w:lang w:val="fr-FR"/>
        </w:rPr>
        <w:t xml:space="preserve">, </w:t>
      </w:r>
      <w:r w:rsidRPr="00BF16F8">
        <w:rPr>
          <w:lang w:val="fr-FR"/>
        </w:rPr>
        <w:t>voir "Gaz naturel comprimé"</w:t>
      </w:r>
      <w:r>
        <w:rPr>
          <w:lang w:val="fr-FR"/>
        </w:rPr>
        <w:t xml:space="preserve"> à la section 1.2.1;</w:t>
      </w:r>
      <w:r>
        <w:rPr>
          <w:i/>
          <w:lang w:val="fr-FR"/>
        </w:rPr>
        <w:t xml:space="preserve"> </w:t>
      </w:r>
      <w:r w:rsidRPr="00BF16F8">
        <w:rPr>
          <w:lang w:val="fr-FR"/>
        </w:rPr>
        <w:t xml:space="preserve"> </w:t>
      </w:r>
    </w:p>
    <w:p w:rsidR="00484A4E" w:rsidRPr="00BF16F8" w:rsidRDefault="00484A4E" w:rsidP="00484A4E">
      <w:pPr>
        <w:pStyle w:val="SingleTxtG"/>
        <w:ind w:left="1985"/>
        <w:rPr>
          <w:lang w:val="fr-FR"/>
        </w:rPr>
      </w:pPr>
      <w:r w:rsidRPr="00BF16F8">
        <w:rPr>
          <w:i/>
          <w:lang w:val="fr-FR"/>
        </w:rPr>
        <w:t>"GNL"</w:t>
      </w:r>
      <w:r>
        <w:rPr>
          <w:i/>
          <w:lang w:val="fr-FR"/>
        </w:rPr>
        <w:t xml:space="preserve">, </w:t>
      </w:r>
      <w:r w:rsidRPr="00BF16F8">
        <w:rPr>
          <w:lang w:val="fr-FR"/>
        </w:rPr>
        <w:t>voir "Gaz naturel liquéfié"</w:t>
      </w:r>
      <w:r>
        <w:rPr>
          <w:lang w:val="fr-FR"/>
        </w:rPr>
        <w:t xml:space="preserve"> à la section 1.2.1;</w:t>
      </w:r>
    </w:p>
    <w:p w:rsidR="00484A4E" w:rsidRPr="00BF16F8" w:rsidRDefault="00484A4E" w:rsidP="00484A4E">
      <w:pPr>
        <w:pStyle w:val="SingleTxtG"/>
        <w:ind w:left="1985"/>
        <w:rPr>
          <w:lang w:val="fr-FR"/>
        </w:rPr>
      </w:pPr>
      <w:r w:rsidRPr="00026612">
        <w:rPr>
          <w:i/>
          <w:lang w:val="fr-FR"/>
        </w:rPr>
        <w:t xml:space="preserve">"GPL", </w:t>
      </w:r>
      <w:r w:rsidRPr="00026612">
        <w:rPr>
          <w:lang w:val="fr-FR"/>
        </w:rPr>
        <w:t xml:space="preserve">voir "Gaz de pétrole liquéfié" </w:t>
      </w:r>
      <w:r>
        <w:rPr>
          <w:lang w:val="fr-FR"/>
        </w:rPr>
        <w:t>à la section 1.2.1;</w:t>
      </w:r>
    </w:p>
    <w:p w:rsidR="00484A4E" w:rsidRPr="00E67C51" w:rsidRDefault="00484A4E" w:rsidP="00484A4E">
      <w:pPr>
        <w:pStyle w:val="SingleTxtG"/>
        <w:ind w:left="1985"/>
        <w:rPr>
          <w:lang w:val="fr-FR"/>
        </w:rPr>
      </w:pPr>
      <w:r w:rsidRPr="00F803B3">
        <w:rPr>
          <w:i/>
          <w:lang w:val="fr-FR"/>
        </w:rPr>
        <w:t>"</w:t>
      </w:r>
      <w:r>
        <w:rPr>
          <w:i/>
          <w:lang w:val="fr-FR"/>
        </w:rPr>
        <w:t>GRV</w:t>
      </w:r>
      <w:r w:rsidRPr="00F803B3">
        <w:rPr>
          <w:i/>
          <w:lang w:val="fr-FR"/>
        </w:rPr>
        <w:t>"</w:t>
      </w:r>
      <w:r>
        <w:rPr>
          <w:i/>
          <w:lang w:val="fr-FR"/>
        </w:rPr>
        <w:t xml:space="preserve">, </w:t>
      </w:r>
      <w:r w:rsidRPr="00F803B3">
        <w:rPr>
          <w:lang w:val="fr-FR"/>
        </w:rPr>
        <w:t>voir "</w:t>
      </w:r>
      <w:r>
        <w:rPr>
          <w:lang w:val="fr-FR"/>
        </w:rPr>
        <w:t>Grand récipient pour vrac</w:t>
      </w:r>
      <w:r w:rsidRPr="00F803B3">
        <w:rPr>
          <w:lang w:val="fr-FR"/>
        </w:rPr>
        <w:t>"</w:t>
      </w:r>
      <w:r>
        <w:rPr>
          <w:lang w:val="fr-FR"/>
        </w:rPr>
        <w:t xml:space="preserve"> à la section 1.2.1;</w:t>
      </w:r>
      <w:r>
        <w:rPr>
          <w:i/>
          <w:lang w:val="fr-FR"/>
        </w:rPr>
        <w:t xml:space="preserve"> </w:t>
      </w:r>
    </w:p>
    <w:p w:rsidR="00484A4E" w:rsidRPr="00775549" w:rsidRDefault="00484A4E" w:rsidP="00484A4E">
      <w:pPr>
        <w:pStyle w:val="SingleTxtG"/>
        <w:ind w:left="1985"/>
        <w:rPr>
          <w:b/>
          <w:bCs/>
          <w:lang w:val="fr-FR"/>
        </w:rPr>
      </w:pPr>
      <w:r w:rsidRPr="00775549">
        <w:rPr>
          <w:b/>
          <w:bCs/>
          <w:lang w:val="fr-FR"/>
        </w:rPr>
        <w:t>I</w:t>
      </w:r>
    </w:p>
    <w:p w:rsidR="00484A4E" w:rsidRPr="00223494" w:rsidRDefault="00484A4E" w:rsidP="00484A4E">
      <w:pPr>
        <w:pStyle w:val="SingleTxtG"/>
        <w:ind w:left="1985"/>
        <w:rPr>
          <w:lang w:val="fr-FR"/>
        </w:rPr>
      </w:pPr>
      <w:r w:rsidRPr="00F803B3">
        <w:rPr>
          <w:i/>
          <w:lang w:val="fr-FR"/>
        </w:rPr>
        <w:t>"IMDG"</w:t>
      </w:r>
      <w:r w:rsidRPr="00F803B3">
        <w:rPr>
          <w:lang w:val="fr-FR"/>
        </w:rPr>
        <w:t>, voir "Code IMDG</w:t>
      </w:r>
      <w:r w:rsidRPr="00223494">
        <w:rPr>
          <w:lang w:val="fr-FR"/>
        </w:rPr>
        <w:t>" à la section 1.2.1;</w:t>
      </w:r>
    </w:p>
    <w:p w:rsidR="00484A4E" w:rsidRDefault="00484A4E" w:rsidP="00484A4E">
      <w:pPr>
        <w:pStyle w:val="SingleTxtG"/>
        <w:ind w:left="1985"/>
        <w:rPr>
          <w:lang w:val="fr-FR"/>
        </w:rPr>
      </w:pPr>
      <w:r w:rsidRPr="00F803B3">
        <w:rPr>
          <w:i/>
          <w:lang w:val="fr-FR"/>
        </w:rPr>
        <w:t>"ISO"</w:t>
      </w:r>
      <w:r w:rsidRPr="00F803B3">
        <w:rPr>
          <w:lang w:val="fr-FR"/>
        </w:rPr>
        <w:t xml:space="preserve"> (norme), une norme internationale publiée par l'Organisation internationale de normalisation (ISO), (ISO -1, rue de </w:t>
      </w:r>
      <w:proofErr w:type="spellStart"/>
      <w:r w:rsidRPr="00F803B3">
        <w:rPr>
          <w:lang w:val="fr-FR"/>
        </w:rPr>
        <w:t>Varembé</w:t>
      </w:r>
      <w:proofErr w:type="spellEnd"/>
      <w:r w:rsidRPr="00F803B3">
        <w:rPr>
          <w:lang w:val="fr-FR"/>
        </w:rPr>
        <w:t>. CH-1204 Genève 20</w:t>
      </w:r>
      <w:r>
        <w:rPr>
          <w:lang w:val="fr-FR"/>
        </w:rPr>
        <w:t>, Suisse</w:t>
      </w:r>
      <w:r w:rsidRPr="00F803B3">
        <w:rPr>
          <w:lang w:val="fr-FR"/>
        </w:rPr>
        <w:t>)</w:t>
      </w:r>
      <w:r>
        <w:rPr>
          <w:lang w:val="fr-FR"/>
        </w:rPr>
        <w:t xml:space="preserve">, </w:t>
      </w:r>
      <w:proofErr w:type="gramStart"/>
      <w:r>
        <w:rPr>
          <w:lang w:val="fr-FR"/>
        </w:rPr>
        <w:t>www.iso.org</w:t>
      </w:r>
      <w:r w:rsidRPr="00F803B3">
        <w:rPr>
          <w:lang w:val="fr-FR"/>
        </w:rPr>
        <w:t>;</w:t>
      </w:r>
      <w:proofErr w:type="gramEnd"/>
    </w:p>
    <w:p w:rsidR="00484A4E" w:rsidRPr="00775549" w:rsidRDefault="00484A4E" w:rsidP="00484A4E">
      <w:pPr>
        <w:pStyle w:val="SingleTxtG"/>
        <w:ind w:left="1985"/>
        <w:rPr>
          <w:b/>
          <w:bCs/>
          <w:lang w:val="fr-FR"/>
        </w:rPr>
      </w:pPr>
      <w:r w:rsidRPr="00775549">
        <w:rPr>
          <w:b/>
          <w:bCs/>
          <w:lang w:val="fr-FR"/>
        </w:rPr>
        <w:t>M</w:t>
      </w:r>
    </w:p>
    <w:p w:rsidR="00484A4E" w:rsidRPr="00385247" w:rsidRDefault="00484A4E" w:rsidP="00484A4E">
      <w:pPr>
        <w:pStyle w:val="SingleTxtG"/>
        <w:ind w:left="1985"/>
        <w:rPr>
          <w:lang w:val="fr-FR"/>
        </w:rPr>
      </w:pPr>
      <w:r w:rsidRPr="00385247">
        <w:rPr>
          <w:i/>
          <w:lang w:val="fr-FR"/>
        </w:rPr>
        <w:t>"MEMU"</w:t>
      </w:r>
      <w:r w:rsidRPr="00385247">
        <w:rPr>
          <w:lang w:val="fr-FR"/>
        </w:rPr>
        <w:t>, voir "Unité mobile de fabrication d’explosifs"</w:t>
      </w:r>
      <w:r>
        <w:rPr>
          <w:lang w:val="fr-FR"/>
        </w:rPr>
        <w:t xml:space="preserve"> à la section 1.2.1</w:t>
      </w:r>
      <w:r w:rsidRPr="00385247">
        <w:rPr>
          <w:lang w:val="fr-FR"/>
        </w:rPr>
        <w:t>;</w:t>
      </w:r>
    </w:p>
    <w:p w:rsidR="00484A4E" w:rsidRPr="00775549" w:rsidRDefault="00484A4E" w:rsidP="00484A4E">
      <w:pPr>
        <w:pStyle w:val="SingleTxtG"/>
        <w:ind w:left="1985"/>
        <w:rPr>
          <w:b/>
          <w:bCs/>
          <w:lang w:val="fr-FR"/>
        </w:rPr>
      </w:pPr>
      <w:r w:rsidRPr="00775549">
        <w:rPr>
          <w:b/>
          <w:bCs/>
          <w:lang w:val="fr-FR"/>
        </w:rPr>
        <w:t>N</w:t>
      </w:r>
    </w:p>
    <w:p w:rsidR="00484A4E" w:rsidRPr="00FB17F2" w:rsidRDefault="00484A4E" w:rsidP="00484A4E">
      <w:pPr>
        <w:pStyle w:val="SingleTxtG"/>
        <w:ind w:left="1985"/>
        <w:rPr>
          <w:lang w:val="fr-FR"/>
        </w:rPr>
      </w:pPr>
      <w:r w:rsidRPr="00FB17F2">
        <w:rPr>
          <w:i/>
          <w:lang w:val="fr-FR"/>
        </w:rPr>
        <w:t>"N.S.A."</w:t>
      </w:r>
      <w:r w:rsidRPr="00FB17F2">
        <w:rPr>
          <w:lang w:val="fr-FR"/>
        </w:rPr>
        <w:t xml:space="preserve">, voir "Rubrique </w:t>
      </w:r>
      <w:proofErr w:type="spellStart"/>
      <w:r w:rsidRPr="00FB17F2">
        <w:rPr>
          <w:lang w:val="fr-FR"/>
        </w:rPr>
        <w:t>n.s.a</w:t>
      </w:r>
      <w:proofErr w:type="spellEnd"/>
      <w:r w:rsidRPr="00FB17F2">
        <w:rPr>
          <w:lang w:val="fr-FR"/>
        </w:rPr>
        <w:t xml:space="preserve">." </w:t>
      </w:r>
      <w:r>
        <w:rPr>
          <w:lang w:val="fr-FR"/>
        </w:rPr>
        <w:t>à la section 1.2.1</w:t>
      </w:r>
      <w:r w:rsidRPr="00FB17F2">
        <w:rPr>
          <w:lang w:val="fr-FR"/>
        </w:rPr>
        <w:t>.</w:t>
      </w:r>
    </w:p>
    <w:p w:rsidR="00484A4E" w:rsidRPr="00775549" w:rsidRDefault="00484A4E" w:rsidP="00484A4E">
      <w:pPr>
        <w:pStyle w:val="SingleTxtG"/>
        <w:ind w:left="1985"/>
        <w:rPr>
          <w:b/>
          <w:bCs/>
          <w:lang w:val="fr-FR"/>
        </w:rPr>
      </w:pPr>
      <w:r w:rsidRPr="00775549">
        <w:rPr>
          <w:b/>
          <w:bCs/>
          <w:lang w:val="fr-FR"/>
        </w:rPr>
        <w:t>O</w:t>
      </w:r>
    </w:p>
    <w:p w:rsidR="00484A4E" w:rsidRPr="00385247" w:rsidRDefault="00484A4E" w:rsidP="00484A4E">
      <w:pPr>
        <w:pStyle w:val="SingleTxtG"/>
        <w:ind w:left="1985"/>
        <w:rPr>
          <w:lang w:val="fr-FR"/>
        </w:rPr>
      </w:pPr>
      <w:r w:rsidRPr="00385247">
        <w:rPr>
          <w:i/>
          <w:lang w:val="fr-FR"/>
        </w:rPr>
        <w:t>"OACI"</w:t>
      </w:r>
      <w:r w:rsidRPr="00385247">
        <w:rPr>
          <w:lang w:val="fr-FR"/>
        </w:rPr>
        <w:t xml:space="preserve">, l'Organisation de l'aviation civile internationale, (OACI, 999 </w:t>
      </w:r>
      <w:proofErr w:type="spellStart"/>
      <w:r w:rsidRPr="00385247">
        <w:rPr>
          <w:lang w:val="fr-FR"/>
        </w:rPr>
        <w:t>University</w:t>
      </w:r>
      <w:proofErr w:type="spellEnd"/>
      <w:r w:rsidRPr="00385247">
        <w:rPr>
          <w:lang w:val="fr-FR"/>
        </w:rPr>
        <w:t xml:space="preserve"> Street, Montréal, Québec H3C 5H7, Canada)</w:t>
      </w:r>
      <w:r>
        <w:rPr>
          <w:lang w:val="fr-FR"/>
        </w:rPr>
        <w:t xml:space="preserve">, </w:t>
      </w:r>
      <w:proofErr w:type="gramStart"/>
      <w:r>
        <w:rPr>
          <w:lang w:val="fr-FR"/>
        </w:rPr>
        <w:t>www.icao.org</w:t>
      </w:r>
      <w:r w:rsidRPr="00385247">
        <w:rPr>
          <w:lang w:val="fr-FR"/>
        </w:rPr>
        <w:t>;</w:t>
      </w:r>
      <w:proofErr w:type="gramEnd"/>
    </w:p>
    <w:p w:rsidR="00484A4E" w:rsidRDefault="00484A4E" w:rsidP="00484A4E">
      <w:pPr>
        <w:pStyle w:val="SingleTxtG"/>
        <w:ind w:left="1985"/>
        <w:rPr>
          <w:lang w:val="fr-FR"/>
        </w:rPr>
      </w:pPr>
      <w:r w:rsidRPr="00385247">
        <w:rPr>
          <w:i/>
          <w:lang w:val="fr-FR"/>
        </w:rPr>
        <w:t>"OMI"</w:t>
      </w:r>
      <w:r w:rsidRPr="00385247">
        <w:rPr>
          <w:lang w:val="fr-FR"/>
        </w:rPr>
        <w:t xml:space="preserve">, l'Organisation maritime internationale, (OMI, 4 Albert </w:t>
      </w:r>
      <w:proofErr w:type="spellStart"/>
      <w:r w:rsidRPr="00385247">
        <w:rPr>
          <w:lang w:val="fr-FR"/>
        </w:rPr>
        <w:t>Embankment</w:t>
      </w:r>
      <w:proofErr w:type="spellEnd"/>
      <w:r w:rsidRPr="00385247">
        <w:rPr>
          <w:lang w:val="fr-FR"/>
        </w:rPr>
        <w:t>, Londres SE1 7SR, Royaume-Uni)</w:t>
      </w:r>
      <w:r>
        <w:rPr>
          <w:lang w:val="fr-FR"/>
        </w:rPr>
        <w:t xml:space="preserve">, </w:t>
      </w:r>
      <w:proofErr w:type="gramStart"/>
      <w:r>
        <w:rPr>
          <w:lang w:val="fr-FR"/>
        </w:rPr>
        <w:t>www.imo.org</w:t>
      </w:r>
      <w:r w:rsidRPr="00385247">
        <w:rPr>
          <w:lang w:val="fr-FR"/>
        </w:rPr>
        <w:t>;</w:t>
      </w:r>
      <w:proofErr w:type="gramEnd"/>
    </w:p>
    <w:p w:rsidR="00484A4E" w:rsidRPr="00893C60" w:rsidRDefault="00484A4E" w:rsidP="00484A4E">
      <w:pPr>
        <w:pStyle w:val="SingleTxtG"/>
        <w:ind w:left="1985"/>
      </w:pPr>
      <w:r w:rsidRPr="00893C60">
        <w:rPr>
          <w:i/>
          <w:lang w:val="fr-FR"/>
        </w:rPr>
        <w:t>"</w:t>
      </w:r>
      <w:r w:rsidRPr="00893C60">
        <w:rPr>
          <w:i/>
        </w:rPr>
        <w:t>OTIF</w:t>
      </w:r>
      <w:r w:rsidRPr="00893C60">
        <w:rPr>
          <w:i/>
          <w:lang w:val="fr-FR"/>
        </w:rPr>
        <w:t>"</w:t>
      </w:r>
      <w:r w:rsidRPr="00893C60">
        <w:t xml:space="preserve">, l'Organisation </w:t>
      </w:r>
      <w:r>
        <w:t>i</w:t>
      </w:r>
      <w:r w:rsidRPr="00893C60">
        <w:t xml:space="preserve">ntergouvernementale pour les </w:t>
      </w:r>
      <w:r>
        <w:t>t</w:t>
      </w:r>
      <w:r w:rsidRPr="00893C60">
        <w:t xml:space="preserve">ransports </w:t>
      </w:r>
      <w:r>
        <w:t>i</w:t>
      </w:r>
      <w:r w:rsidRPr="00893C60">
        <w:t xml:space="preserve">nternationaux </w:t>
      </w:r>
      <w:r>
        <w:t>f</w:t>
      </w:r>
      <w:r w:rsidRPr="00893C60">
        <w:t xml:space="preserve">erroviaires (OTIF, </w:t>
      </w:r>
      <w:proofErr w:type="spellStart"/>
      <w:r w:rsidRPr="00893C60">
        <w:t>Gryphenhübeliweg</w:t>
      </w:r>
      <w:proofErr w:type="spellEnd"/>
      <w:r w:rsidRPr="00893C60">
        <w:t xml:space="preserve"> 30, CH–3006 Berne</w:t>
      </w:r>
      <w:r>
        <w:t>, Suisse</w:t>
      </w:r>
      <w:r w:rsidRPr="00893C60">
        <w:t>)</w:t>
      </w:r>
      <w:r>
        <w:t>, www.otif.org</w:t>
      </w:r>
      <w:r w:rsidRPr="00893C60">
        <w:t xml:space="preserve"> ;</w:t>
      </w:r>
    </w:p>
    <w:p w:rsidR="00484A4E" w:rsidRPr="00775549" w:rsidRDefault="00484A4E" w:rsidP="00484A4E">
      <w:pPr>
        <w:pStyle w:val="SingleTxtG"/>
        <w:ind w:left="1985"/>
        <w:rPr>
          <w:b/>
          <w:bCs/>
          <w:lang w:val="fr-FR"/>
        </w:rPr>
      </w:pPr>
      <w:r w:rsidRPr="00775549">
        <w:rPr>
          <w:b/>
          <w:bCs/>
          <w:lang w:val="fr-FR"/>
        </w:rPr>
        <w:t>R</w:t>
      </w:r>
    </w:p>
    <w:p w:rsidR="00484A4E" w:rsidRPr="004E4382" w:rsidRDefault="00484A4E" w:rsidP="00484A4E">
      <w:pPr>
        <w:pStyle w:val="SingleTxtG"/>
        <w:ind w:left="1985"/>
        <w:rPr>
          <w:i/>
          <w:lang w:val="fr-FR"/>
        </w:rPr>
      </w:pPr>
      <w:r w:rsidRPr="00385247">
        <w:rPr>
          <w:i/>
          <w:lang w:val="fr-FR"/>
        </w:rPr>
        <w:t>"RID"</w:t>
      </w:r>
      <w:r w:rsidRPr="00385247">
        <w:rPr>
          <w:lang w:val="fr-FR"/>
        </w:rPr>
        <w:t>, le Règlement concernant le transport international ferroviaire des marchandises dangereuses, appendice C de la COTIF (Convention relative aux transports internationaux ferroviaires)</w:t>
      </w:r>
      <w:r w:rsidRPr="00FB17F2">
        <w:rPr>
          <w:lang w:val="fr-FR"/>
        </w:rPr>
        <w:t xml:space="preserve"> </w:t>
      </w:r>
      <w:r w:rsidRPr="00FB17F2">
        <w:rPr>
          <w:i/>
          <w:lang w:val="fr-FR"/>
        </w:rPr>
        <w:t>(seulement dans l’ADR</w:t>
      </w:r>
      <w:proofErr w:type="gramStart"/>
      <w:r w:rsidRPr="00FB17F2">
        <w:rPr>
          <w:i/>
          <w:lang w:val="fr-FR"/>
        </w:rPr>
        <w:t>)</w:t>
      </w:r>
      <w:r w:rsidRPr="00385247">
        <w:rPr>
          <w:lang w:val="fr-FR"/>
        </w:rPr>
        <w:t>;</w:t>
      </w:r>
      <w:proofErr w:type="gramEnd"/>
    </w:p>
    <w:p w:rsidR="00484A4E" w:rsidRPr="00775549" w:rsidRDefault="00484A4E" w:rsidP="00484A4E">
      <w:pPr>
        <w:pStyle w:val="SingleTxtG"/>
        <w:ind w:left="1985"/>
        <w:rPr>
          <w:b/>
          <w:bCs/>
          <w:lang w:val="fr-FR"/>
        </w:rPr>
      </w:pPr>
      <w:r w:rsidRPr="00775549">
        <w:rPr>
          <w:b/>
          <w:bCs/>
          <w:lang w:val="fr-FR"/>
        </w:rPr>
        <w:t>S</w:t>
      </w:r>
    </w:p>
    <w:p w:rsidR="00484A4E" w:rsidRPr="00385247" w:rsidRDefault="00484A4E" w:rsidP="00484A4E">
      <w:pPr>
        <w:pStyle w:val="SingleTxtG"/>
        <w:ind w:left="1985"/>
        <w:rPr>
          <w:lang w:val="fr-FR"/>
        </w:rPr>
      </w:pPr>
      <w:r w:rsidRPr="00385247">
        <w:rPr>
          <w:i/>
          <w:lang w:val="fr-FR"/>
        </w:rPr>
        <w:t>"SGH"</w:t>
      </w:r>
      <w:r w:rsidRPr="00385247">
        <w:rPr>
          <w:lang w:val="fr-FR"/>
        </w:rPr>
        <w:t xml:space="preserve">, le Système Général Harmonisé de classification et d'étiquetage des produits chimiques, </w:t>
      </w:r>
      <w:r>
        <w:rPr>
          <w:lang w:val="fr-FR"/>
        </w:rPr>
        <w:t>hui</w:t>
      </w:r>
      <w:r w:rsidRPr="00385247">
        <w:rPr>
          <w:lang w:val="fr-FR"/>
        </w:rPr>
        <w:t>tième édition révisée, publié par les Nations Unies sous la cote ST/SG/AC.10/30/Rev.</w:t>
      </w:r>
      <w:proofErr w:type="gramStart"/>
      <w:r>
        <w:rPr>
          <w:lang w:val="fr-FR"/>
        </w:rPr>
        <w:t>8</w:t>
      </w:r>
      <w:r w:rsidRPr="00385247">
        <w:rPr>
          <w:lang w:val="fr-FR"/>
        </w:rPr>
        <w:t>;</w:t>
      </w:r>
      <w:proofErr w:type="gramEnd"/>
    </w:p>
    <w:p w:rsidR="00484A4E" w:rsidRPr="00E572EC" w:rsidRDefault="00484A4E" w:rsidP="00484A4E">
      <w:pPr>
        <w:pStyle w:val="SingleTxtG"/>
        <w:ind w:left="1985"/>
        <w:rPr>
          <w:lang w:val="fr-FR"/>
        </w:rPr>
      </w:pPr>
      <w:r w:rsidRPr="004C5872">
        <w:rPr>
          <w:i/>
          <w:lang w:val="fr-FR"/>
        </w:rPr>
        <w:t>"</w:t>
      </w:r>
      <w:r w:rsidRPr="00E572EC">
        <w:rPr>
          <w:i/>
          <w:lang w:val="fr-FR"/>
        </w:rPr>
        <w:t>SMGS</w:t>
      </w:r>
      <w:r w:rsidRPr="004C5872">
        <w:rPr>
          <w:i/>
          <w:lang w:val="fr-FR"/>
        </w:rPr>
        <w:t>"</w:t>
      </w:r>
      <w:r w:rsidRPr="00E572EC">
        <w:rPr>
          <w:lang w:val="fr-FR"/>
        </w:rPr>
        <w:t xml:space="preserve">, l’Accord concernant le transport international ferroviaire des marchandises par chemin de fer de l’Organisation pour la coopération des chemins de fer (OSJD), (OSJD, </w:t>
      </w:r>
      <w:proofErr w:type="spellStart"/>
      <w:r w:rsidRPr="00E572EC">
        <w:rPr>
          <w:rStyle w:val="Strong"/>
          <w:color w:val="4C4C4C"/>
          <w:sz w:val="18"/>
          <w:szCs w:val="18"/>
          <w:u w:val="single"/>
          <w:lang w:val="fr-FR"/>
        </w:rPr>
        <w:t>ul</w:t>
      </w:r>
      <w:proofErr w:type="spellEnd"/>
      <w:r w:rsidRPr="00E572EC">
        <w:rPr>
          <w:rStyle w:val="Strong"/>
          <w:color w:val="4C4C4C"/>
          <w:sz w:val="18"/>
          <w:szCs w:val="18"/>
          <w:u w:val="single"/>
          <w:lang w:val="fr-FR"/>
        </w:rPr>
        <w:t xml:space="preserve">. </w:t>
      </w:r>
      <w:proofErr w:type="spellStart"/>
      <w:r w:rsidRPr="00E572EC">
        <w:rPr>
          <w:rStyle w:val="Strong"/>
          <w:color w:val="4C4C4C"/>
          <w:sz w:val="18"/>
          <w:szCs w:val="18"/>
          <w:u w:val="single"/>
          <w:lang w:val="fr-FR"/>
        </w:rPr>
        <w:t>Hoza</w:t>
      </w:r>
      <w:proofErr w:type="spellEnd"/>
      <w:r w:rsidRPr="00E572EC">
        <w:rPr>
          <w:rStyle w:val="Strong"/>
          <w:color w:val="4C4C4C"/>
          <w:sz w:val="18"/>
          <w:szCs w:val="18"/>
          <w:u w:val="single"/>
          <w:lang w:val="fr-FR"/>
        </w:rPr>
        <w:t xml:space="preserve">, </w:t>
      </w:r>
      <w:r w:rsidRPr="00F21EFA">
        <w:rPr>
          <w:rStyle w:val="Strong"/>
          <w:sz w:val="18"/>
          <w:szCs w:val="18"/>
          <w:u w:val="single"/>
          <w:lang w:val="fr-FR"/>
        </w:rPr>
        <w:t>63/67 PL-00-681</w:t>
      </w:r>
      <w:r w:rsidRPr="00F21EFA">
        <w:rPr>
          <w:lang w:val="fr-FR"/>
        </w:rPr>
        <w:t xml:space="preserve"> </w:t>
      </w:r>
      <w:r w:rsidRPr="00E572EC">
        <w:rPr>
          <w:lang w:val="fr-FR"/>
        </w:rPr>
        <w:t>Varsovie, Pologne</w:t>
      </w:r>
      <w:proofErr w:type="gramStart"/>
      <w:r>
        <w:rPr>
          <w:lang w:val="fr-FR"/>
        </w:rPr>
        <w:t>),www.</w:t>
      </w:r>
      <w:r w:rsidRPr="00E572EC">
        <w:rPr>
          <w:lang w:val="fr-FR"/>
        </w:rPr>
        <w:t>en.osjd.org</w:t>
      </w:r>
      <w:proofErr w:type="gramEnd"/>
      <w:r w:rsidRPr="00E572EC">
        <w:rPr>
          <w:lang w:val="fr-FR"/>
        </w:rPr>
        <w:t xml:space="preserve">; </w:t>
      </w:r>
    </w:p>
    <w:p w:rsidR="00484A4E" w:rsidRPr="00775549" w:rsidRDefault="00484A4E" w:rsidP="00484A4E">
      <w:pPr>
        <w:pStyle w:val="SingleTxtG"/>
        <w:ind w:left="1985"/>
        <w:rPr>
          <w:b/>
          <w:bCs/>
          <w:lang w:val="fr-FR"/>
        </w:rPr>
      </w:pPr>
      <w:r w:rsidRPr="00775549">
        <w:rPr>
          <w:b/>
          <w:bCs/>
          <w:lang w:val="fr-FR"/>
        </w:rPr>
        <w:t>T</w:t>
      </w:r>
    </w:p>
    <w:p w:rsidR="00484A4E" w:rsidRPr="00A079C8" w:rsidRDefault="00484A4E" w:rsidP="00484A4E">
      <w:pPr>
        <w:pStyle w:val="SingleTxtG"/>
        <w:ind w:left="1985"/>
        <w:rPr>
          <w:lang w:val="fr-FR"/>
        </w:rPr>
      </w:pPr>
      <w:r w:rsidRPr="00A079C8">
        <w:rPr>
          <w:i/>
          <w:lang w:val="fr-FR"/>
        </w:rPr>
        <w:t>"TDAA"</w:t>
      </w:r>
      <w:r w:rsidRPr="00A079C8">
        <w:rPr>
          <w:lang w:val="fr-FR"/>
        </w:rPr>
        <w:t>, voir "Température de décomposition auto-accélérée"</w:t>
      </w:r>
      <w:r>
        <w:rPr>
          <w:lang w:val="fr-FR"/>
        </w:rPr>
        <w:t xml:space="preserve"> à la section 1.2.1</w:t>
      </w:r>
      <w:r w:rsidRPr="00A079C8">
        <w:rPr>
          <w:lang w:val="fr-FR"/>
        </w:rPr>
        <w:t>;</w:t>
      </w:r>
    </w:p>
    <w:p w:rsidR="00484A4E" w:rsidRDefault="00484A4E" w:rsidP="00484A4E">
      <w:pPr>
        <w:pStyle w:val="SingleTxtG"/>
        <w:ind w:left="1985"/>
        <w:rPr>
          <w:lang w:val="fr-FR"/>
        </w:rPr>
      </w:pPr>
      <w:r w:rsidRPr="00A079C8">
        <w:rPr>
          <w:i/>
          <w:lang w:val="fr-FR"/>
        </w:rPr>
        <w:t>"TPAA"</w:t>
      </w:r>
      <w:r w:rsidRPr="00A079C8">
        <w:rPr>
          <w:lang w:val="fr-FR"/>
        </w:rPr>
        <w:t>, voir "Température de polymérisation auto-accélérée"</w:t>
      </w:r>
      <w:r>
        <w:rPr>
          <w:lang w:val="fr-FR"/>
        </w:rPr>
        <w:t xml:space="preserve"> à la section 1.2.1</w:t>
      </w:r>
      <w:r w:rsidRPr="00A079C8">
        <w:rPr>
          <w:lang w:val="fr-FR"/>
        </w:rPr>
        <w:t>;</w:t>
      </w:r>
    </w:p>
    <w:p w:rsidR="007725DD" w:rsidRDefault="007725DD" w:rsidP="00484A4E">
      <w:pPr>
        <w:pStyle w:val="SingleTxtG"/>
        <w:ind w:left="1985"/>
        <w:rPr>
          <w:lang w:val="fr-FR"/>
        </w:rPr>
      </w:pPr>
    </w:p>
    <w:p w:rsidR="007725DD" w:rsidRPr="00A079C8" w:rsidRDefault="007725DD" w:rsidP="00484A4E">
      <w:pPr>
        <w:pStyle w:val="SingleTxtG"/>
        <w:ind w:left="1985"/>
        <w:rPr>
          <w:lang w:val="fr-FR"/>
        </w:rPr>
      </w:pPr>
    </w:p>
    <w:p w:rsidR="00484A4E" w:rsidRPr="00775549" w:rsidRDefault="00484A4E" w:rsidP="00484A4E">
      <w:pPr>
        <w:pStyle w:val="SingleTxtG"/>
        <w:ind w:left="1985"/>
        <w:rPr>
          <w:b/>
          <w:bCs/>
          <w:lang w:val="fr-FR"/>
        </w:rPr>
      </w:pPr>
      <w:r w:rsidRPr="00775549">
        <w:rPr>
          <w:b/>
          <w:bCs/>
          <w:lang w:val="fr-FR"/>
        </w:rPr>
        <w:lastRenderedPageBreak/>
        <w:t>U</w:t>
      </w:r>
    </w:p>
    <w:p w:rsidR="00484A4E" w:rsidRDefault="00484A4E" w:rsidP="00484A4E">
      <w:pPr>
        <w:pStyle w:val="SingleTxtG"/>
        <w:ind w:left="1985"/>
        <w:rPr>
          <w:lang w:val="fr-FR"/>
        </w:rPr>
      </w:pPr>
      <w:r w:rsidRPr="00A079C8">
        <w:rPr>
          <w:i/>
          <w:lang w:val="fr-FR"/>
        </w:rPr>
        <w:t>"UIC"</w:t>
      </w:r>
      <w:r w:rsidRPr="00A079C8">
        <w:rPr>
          <w:lang w:val="fr-FR"/>
        </w:rPr>
        <w:t>, l'Union Internationale des Chemins de Fer, (UIC, 16 rue Je</w:t>
      </w:r>
      <w:r>
        <w:rPr>
          <w:lang w:val="fr-FR"/>
        </w:rPr>
        <w:t xml:space="preserve">an Rey, F-75015 Paris, France), </w:t>
      </w:r>
      <w:hyperlink r:id="rId8" w:history="1">
        <w:r w:rsidRPr="00223494">
          <w:rPr>
            <w:rStyle w:val="Hyperlink"/>
            <w:sz w:val="18"/>
            <w:szCs w:val="18"/>
            <w:lang w:val="fr-FR"/>
          </w:rPr>
          <w:t>www.uic.org</w:t>
        </w:r>
      </w:hyperlink>
      <w:r w:rsidRPr="00223494">
        <w:rPr>
          <w:lang w:val="fr-FR"/>
        </w:rPr>
        <w:t>.</w:t>
      </w:r>
    </w:p>
    <w:p w:rsidR="00484A4E" w:rsidRDefault="00484A4E" w:rsidP="00484A4E">
      <w:pPr>
        <w:pStyle w:val="HChG"/>
        <w:rPr>
          <w:lang w:val="fr-FR"/>
        </w:rPr>
      </w:pPr>
      <w:r>
        <w:rPr>
          <w:lang w:val="fr-FR"/>
        </w:rPr>
        <w:tab/>
      </w:r>
      <w:r>
        <w:rPr>
          <w:lang w:val="fr-FR"/>
        </w:rPr>
        <w:tab/>
        <w:t>Amendement de conséquence</w:t>
      </w:r>
    </w:p>
    <w:p w:rsidR="00484A4E" w:rsidRPr="00271BC5" w:rsidRDefault="00484A4E" w:rsidP="00484A4E">
      <w:pPr>
        <w:rPr>
          <w:lang w:val="fr-FR"/>
        </w:rPr>
      </w:pPr>
      <w:r>
        <w:rPr>
          <w:lang w:val="fr-FR"/>
        </w:rPr>
        <w:tab/>
      </w:r>
      <w:r>
        <w:rPr>
          <w:lang w:val="fr-FR"/>
        </w:rPr>
        <w:tab/>
        <w:t>Supprimer toutes les définitions dans la nouvelle section 1.2.3 de la liste du 1.2.1.</w:t>
      </w:r>
    </w:p>
    <w:p w:rsidR="00484A4E" w:rsidRPr="00E1798A" w:rsidRDefault="00484A4E" w:rsidP="00484A4E">
      <w:pPr>
        <w:spacing w:before="240"/>
        <w:jc w:val="center"/>
      </w:pPr>
      <w:r>
        <w:rPr>
          <w:u w:val="single"/>
          <w:lang w:val="fr-FR"/>
        </w:rPr>
        <w:tab/>
      </w:r>
      <w:r>
        <w:rPr>
          <w:u w:val="single"/>
          <w:lang w:val="fr-FR"/>
        </w:rPr>
        <w:tab/>
      </w:r>
      <w:r>
        <w:rPr>
          <w:u w:val="single"/>
          <w:lang w:val="fr-FR"/>
        </w:rPr>
        <w:tab/>
      </w:r>
    </w:p>
    <w:p w:rsidR="00C1626B" w:rsidRPr="00E54765" w:rsidRDefault="00C1626B" w:rsidP="00F06ED4"/>
    <w:sectPr w:rsidR="00C1626B" w:rsidRPr="00E54765" w:rsidSect="00FA4F0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765" w:rsidRDefault="00E54765" w:rsidP="00F95C08">
      <w:pPr>
        <w:spacing w:line="240" w:lineRule="auto"/>
      </w:pPr>
    </w:p>
  </w:endnote>
  <w:endnote w:type="continuationSeparator" w:id="0">
    <w:p w:rsidR="00E54765" w:rsidRPr="00AC3823" w:rsidRDefault="00E54765" w:rsidP="00AC3823">
      <w:pPr>
        <w:pStyle w:val="Footer"/>
      </w:pPr>
    </w:p>
  </w:endnote>
  <w:endnote w:type="continuationNotice" w:id="1">
    <w:p w:rsidR="00E54765" w:rsidRDefault="00E547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65" w:rsidRPr="00E54765" w:rsidRDefault="00E54765" w:rsidP="00E54765">
    <w:pPr>
      <w:pStyle w:val="Footer"/>
      <w:tabs>
        <w:tab w:val="right" w:pos="9638"/>
      </w:tabs>
      <w:rPr>
        <w:sz w:val="18"/>
      </w:rPr>
    </w:pPr>
    <w:r w:rsidRPr="00E54765">
      <w:rPr>
        <w:b/>
        <w:sz w:val="18"/>
      </w:rPr>
      <w:fldChar w:fldCharType="begin"/>
    </w:r>
    <w:r w:rsidRPr="00E54765">
      <w:rPr>
        <w:b/>
        <w:sz w:val="18"/>
      </w:rPr>
      <w:instrText xml:space="preserve"> PAGE  \* MERGEFORMAT </w:instrText>
    </w:r>
    <w:r w:rsidRPr="00E54765">
      <w:rPr>
        <w:b/>
        <w:sz w:val="18"/>
      </w:rPr>
      <w:fldChar w:fldCharType="separate"/>
    </w:r>
    <w:r w:rsidRPr="00E54765">
      <w:rPr>
        <w:b/>
        <w:noProof/>
        <w:sz w:val="18"/>
      </w:rPr>
      <w:t>2</w:t>
    </w:r>
    <w:r w:rsidRPr="00E5476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65" w:rsidRPr="00E54765" w:rsidRDefault="00E54765" w:rsidP="00E54765">
    <w:pPr>
      <w:pStyle w:val="Footer"/>
      <w:tabs>
        <w:tab w:val="right" w:pos="9638"/>
      </w:tabs>
      <w:rPr>
        <w:b/>
        <w:sz w:val="18"/>
      </w:rPr>
    </w:pPr>
    <w:r>
      <w:tab/>
    </w:r>
    <w:r w:rsidRPr="00E54765">
      <w:rPr>
        <w:b/>
        <w:sz w:val="18"/>
      </w:rPr>
      <w:fldChar w:fldCharType="begin"/>
    </w:r>
    <w:r w:rsidRPr="00E54765">
      <w:rPr>
        <w:b/>
        <w:sz w:val="18"/>
      </w:rPr>
      <w:instrText xml:space="preserve"> PAGE  \* MERGEFORMAT </w:instrText>
    </w:r>
    <w:r w:rsidRPr="00E54765">
      <w:rPr>
        <w:b/>
        <w:sz w:val="18"/>
      </w:rPr>
      <w:fldChar w:fldCharType="separate"/>
    </w:r>
    <w:r w:rsidRPr="00E54765">
      <w:rPr>
        <w:b/>
        <w:noProof/>
        <w:sz w:val="18"/>
      </w:rPr>
      <w:t>3</w:t>
    </w:r>
    <w:r w:rsidRPr="00E547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E54765"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765" w:rsidRPr="00AC3823" w:rsidRDefault="00E54765" w:rsidP="00AC3823">
      <w:pPr>
        <w:pStyle w:val="Footer"/>
        <w:tabs>
          <w:tab w:val="right" w:pos="2155"/>
        </w:tabs>
        <w:spacing w:after="80" w:line="240" w:lineRule="atLeast"/>
        <w:ind w:left="680"/>
        <w:rPr>
          <w:u w:val="single"/>
        </w:rPr>
      </w:pPr>
      <w:r>
        <w:rPr>
          <w:u w:val="single"/>
        </w:rPr>
        <w:tab/>
      </w:r>
    </w:p>
  </w:footnote>
  <w:footnote w:type="continuationSeparator" w:id="0">
    <w:p w:rsidR="00E54765" w:rsidRPr="00AC3823" w:rsidRDefault="00E54765" w:rsidP="00AC3823">
      <w:pPr>
        <w:pStyle w:val="Footer"/>
        <w:tabs>
          <w:tab w:val="right" w:pos="2155"/>
        </w:tabs>
        <w:spacing w:after="80" w:line="240" w:lineRule="atLeast"/>
        <w:ind w:left="680"/>
        <w:rPr>
          <w:u w:val="single"/>
        </w:rPr>
      </w:pPr>
      <w:r>
        <w:rPr>
          <w:u w:val="single"/>
        </w:rPr>
        <w:tab/>
      </w:r>
    </w:p>
  </w:footnote>
  <w:footnote w:type="continuationNotice" w:id="1">
    <w:p w:rsidR="00E54765" w:rsidRPr="00AC3823" w:rsidRDefault="00E54765">
      <w:pPr>
        <w:spacing w:line="240" w:lineRule="auto"/>
        <w:rPr>
          <w:sz w:val="2"/>
          <w:szCs w:val="2"/>
        </w:rPr>
      </w:pPr>
    </w:p>
  </w:footnote>
  <w:footnote w:id="2">
    <w:p w:rsidR="0034243B" w:rsidRPr="00FA5D3A" w:rsidRDefault="0034243B" w:rsidP="0034243B">
      <w:pPr>
        <w:pStyle w:val="FootnoteText"/>
      </w:pPr>
      <w:r>
        <w:rPr>
          <w:rStyle w:val="FootnoteReference"/>
        </w:rPr>
        <w:tab/>
      </w:r>
      <w:r w:rsidRPr="00FA5D3A">
        <w:rPr>
          <w:rStyle w:val="FootnoteReference"/>
          <w:sz w:val="20"/>
        </w:rPr>
        <w:t>*</w:t>
      </w:r>
      <w:r>
        <w:rPr>
          <w:rStyle w:val="FootnoteReference"/>
          <w:sz w:val="20"/>
        </w:rPr>
        <w:tab/>
      </w:r>
      <w:r w:rsidRPr="00E52D86">
        <w:t xml:space="preserve">Conformément au projet de programme de travail du Comité des transports intérieurs pour </w:t>
      </w:r>
      <w:r w:rsidRPr="00E52D86">
        <w:rPr>
          <w:color w:val="000000"/>
          <w:lang w:eastAsia="en-GB"/>
        </w:rPr>
        <w:t>2018-2019 (ECE/TRANS/WP.15/237, annex</w:t>
      </w:r>
      <w:r>
        <w:rPr>
          <w:color w:val="000000"/>
          <w:lang w:eastAsia="en-GB"/>
        </w:rPr>
        <w:t>e</w:t>
      </w:r>
      <w:r w:rsidRPr="00E52D86">
        <w:rPr>
          <w:color w:val="000000"/>
          <w:lang w:eastAsia="en-GB"/>
        </w:rPr>
        <w:t xml:space="preserve"> V, (9.2)).</w:t>
      </w:r>
    </w:p>
  </w:footnote>
  <w:footnote w:id="3">
    <w:p w:rsidR="0034243B" w:rsidRPr="00FA5D3A" w:rsidRDefault="0034243B" w:rsidP="0034243B">
      <w:pPr>
        <w:pStyle w:val="FootnoteText"/>
      </w:pPr>
      <w:r>
        <w:rPr>
          <w:rStyle w:val="FootnoteReference"/>
        </w:rPr>
        <w:tab/>
      </w:r>
      <w:r w:rsidRPr="00FA5D3A">
        <w:rPr>
          <w:rStyle w:val="FootnoteReference"/>
          <w:sz w:val="20"/>
        </w:rPr>
        <w:t>**</w:t>
      </w:r>
      <w:r>
        <w:rPr>
          <w:rStyle w:val="FootnoteReference"/>
          <w:sz w:val="20"/>
        </w:rPr>
        <w:tab/>
      </w:r>
      <w:r w:rsidRPr="00F05DFD">
        <w:t xml:space="preserve">Diffusée par </w:t>
      </w:r>
      <w:r>
        <w:t xml:space="preserve">l’Organisation intergouvernementale pour les transports internationaux ferroviaires sous la cote </w:t>
      </w:r>
      <w:r w:rsidRPr="00F05DFD">
        <w:t>OTIF/RID/RC/20</w:t>
      </w:r>
      <w:r>
        <w:t>20</w:t>
      </w:r>
      <w:r w:rsidRPr="00F05DFD">
        <w:t>/</w:t>
      </w:r>
      <w:r>
        <w:t>13</w:t>
      </w:r>
      <w:r w:rsidRPr="00F05DF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65" w:rsidRPr="00E54765" w:rsidRDefault="00C54C92">
    <w:pPr>
      <w:pStyle w:val="Header"/>
    </w:pPr>
    <w:r>
      <w:fldChar w:fldCharType="begin"/>
    </w:r>
    <w:r>
      <w:instrText xml:space="preserve"> TITLE  \* MERGEFORMAT </w:instrText>
    </w:r>
    <w:r>
      <w:fldChar w:fldCharType="separate"/>
    </w:r>
    <w:r w:rsidR="00E54765">
      <w:t>ECE/TRANS/WP.15/AC.1/2020/13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65" w:rsidRPr="00E54765" w:rsidRDefault="00C54C92" w:rsidP="00E54765">
    <w:pPr>
      <w:pStyle w:val="Header"/>
      <w:jc w:val="right"/>
    </w:pPr>
    <w:r>
      <w:fldChar w:fldCharType="begin"/>
    </w:r>
    <w:r>
      <w:instrText xml:space="preserve"> TITLE  \* MERGEFORMAT </w:instrText>
    </w:r>
    <w:r>
      <w:fldChar w:fldCharType="separate"/>
    </w:r>
    <w:r w:rsidR="00E54765">
      <w:t>ECE/TRANS/WP.15/AC.1/2020/13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684" w:rsidRDefault="00180684" w:rsidP="002C015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E54765"/>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80684"/>
    <w:rsid w:val="001D400F"/>
    <w:rsid w:val="001F525A"/>
    <w:rsid w:val="00223272"/>
    <w:rsid w:val="00240333"/>
    <w:rsid w:val="0024779E"/>
    <w:rsid w:val="002832AC"/>
    <w:rsid w:val="002C015F"/>
    <w:rsid w:val="002D7C93"/>
    <w:rsid w:val="0034243B"/>
    <w:rsid w:val="0037241C"/>
    <w:rsid w:val="003819FF"/>
    <w:rsid w:val="00441C3B"/>
    <w:rsid w:val="00446B0A"/>
    <w:rsid w:val="00446FE5"/>
    <w:rsid w:val="00452396"/>
    <w:rsid w:val="0046393B"/>
    <w:rsid w:val="00471288"/>
    <w:rsid w:val="00484A4E"/>
    <w:rsid w:val="0049687C"/>
    <w:rsid w:val="004E468C"/>
    <w:rsid w:val="005316B0"/>
    <w:rsid w:val="005505B7"/>
    <w:rsid w:val="00573BE5"/>
    <w:rsid w:val="00586ED3"/>
    <w:rsid w:val="00596AA9"/>
    <w:rsid w:val="005B4D0F"/>
    <w:rsid w:val="006F488A"/>
    <w:rsid w:val="00703D0F"/>
    <w:rsid w:val="00706363"/>
    <w:rsid w:val="007158BB"/>
    <w:rsid w:val="0071601D"/>
    <w:rsid w:val="0075410D"/>
    <w:rsid w:val="007725DD"/>
    <w:rsid w:val="007A62E6"/>
    <w:rsid w:val="0080684C"/>
    <w:rsid w:val="008204DA"/>
    <w:rsid w:val="008535AD"/>
    <w:rsid w:val="00871C75"/>
    <w:rsid w:val="008767E8"/>
    <w:rsid w:val="008776DC"/>
    <w:rsid w:val="00883605"/>
    <w:rsid w:val="008B6681"/>
    <w:rsid w:val="008E6043"/>
    <w:rsid w:val="00961E7B"/>
    <w:rsid w:val="009705C8"/>
    <w:rsid w:val="009C1CF4"/>
    <w:rsid w:val="009F02C9"/>
    <w:rsid w:val="00A30353"/>
    <w:rsid w:val="00A62D91"/>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37BDE"/>
    <w:rsid w:val="00C54C92"/>
    <w:rsid w:val="00C66A47"/>
    <w:rsid w:val="00C7616F"/>
    <w:rsid w:val="00CB16B5"/>
    <w:rsid w:val="00CE0608"/>
    <w:rsid w:val="00D3439C"/>
    <w:rsid w:val="00D44CF3"/>
    <w:rsid w:val="00D46C8C"/>
    <w:rsid w:val="00DB1831"/>
    <w:rsid w:val="00DD3BFD"/>
    <w:rsid w:val="00DE239D"/>
    <w:rsid w:val="00DF431C"/>
    <w:rsid w:val="00DF6678"/>
    <w:rsid w:val="00E428C8"/>
    <w:rsid w:val="00E54765"/>
    <w:rsid w:val="00EF2E22"/>
    <w:rsid w:val="00F0592C"/>
    <w:rsid w:val="00F06ED4"/>
    <w:rsid w:val="00F43289"/>
    <w:rsid w:val="00F660DF"/>
    <w:rsid w:val="00F95C08"/>
    <w:rsid w:val="00FA4F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4FD5A"/>
  <w15:docId w15:val="{AA844968-84A8-433A-8BD3-2FDD9BD7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customStyle="1" w:styleId="H1GChar">
    <w:name w:val="_ H_1_G Char"/>
    <w:link w:val="H1G"/>
    <w:uiPriority w:val="99"/>
    <w:locked/>
    <w:rsid w:val="00484A4E"/>
    <w:rPr>
      <w:b/>
      <w:sz w:val="24"/>
    </w:rPr>
  </w:style>
  <w:style w:type="character" w:styleId="Strong">
    <w:name w:val="Strong"/>
    <w:basedOn w:val="DefaultParagraphFont"/>
    <w:uiPriority w:val="22"/>
    <w:qFormat/>
    <w:rsid w:val="00484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4</TotalTime>
  <Pages>5</Pages>
  <Words>933</Words>
  <Characters>6784</Characters>
  <Application>Microsoft Office Word</Application>
  <DocSecurity>0</DocSecurity>
  <Lines>183</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ECE/TRANS/WP.15/AC.1/2020/13</vt:lpstr>
      <vt:lpstr>ECE/EX/22</vt:lpstr>
    </vt:vector>
  </TitlesOfParts>
  <Company>DCM</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ECE/TRANS/WP.15/AC.1/2020/13</dc:title>
  <dc:subject>FINAL</dc:subject>
  <dc:creator>Christine Barrio-Champeau</dc:creator>
  <cp:keywords/>
  <dc:description/>
  <cp:lastModifiedBy>Christine Barrio-Champeau</cp:lastModifiedBy>
  <cp:revision>8</cp:revision>
  <cp:lastPrinted>2014-05-14T10:59:00Z</cp:lastPrinted>
  <dcterms:created xsi:type="dcterms:W3CDTF">2019-12-30T10:15:00Z</dcterms:created>
  <dcterms:modified xsi:type="dcterms:W3CDTF">2019-12-30T13:00:00Z</dcterms:modified>
</cp:coreProperties>
</file>