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E3DD6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24A123" w14:textId="77777777" w:rsidR="002D5AAC" w:rsidRDefault="002D5AAC" w:rsidP="00F959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E467B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FBE743" w14:textId="77777777" w:rsidR="002D5AAC" w:rsidRDefault="00F95974" w:rsidP="00F95974">
            <w:pPr>
              <w:jc w:val="right"/>
            </w:pPr>
            <w:r w:rsidRPr="00F95974">
              <w:rPr>
                <w:sz w:val="40"/>
              </w:rPr>
              <w:t>ECE</w:t>
            </w:r>
            <w:r>
              <w:t>/TRANS/WP.15/AC.1/2020/12</w:t>
            </w:r>
          </w:p>
        </w:tc>
      </w:tr>
      <w:tr w:rsidR="002D5AAC" w:rsidRPr="00F95974" w14:paraId="2631B59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B210C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146AF6" wp14:editId="10582B3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3BC5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09BE06" w14:textId="77777777" w:rsidR="002D5AAC" w:rsidRDefault="00F959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4CBCD5D" w14:textId="77777777" w:rsidR="00F95974" w:rsidRDefault="00F95974" w:rsidP="00F9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2019</w:t>
            </w:r>
          </w:p>
          <w:p w14:paraId="699232D0" w14:textId="77777777" w:rsidR="00F95974" w:rsidRDefault="00F95974" w:rsidP="00F9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B44116" w14:textId="77777777" w:rsidR="00F95974" w:rsidRPr="008D53B6" w:rsidRDefault="00F95974" w:rsidP="00F959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0F6DF1" w14:textId="77777777" w:rsidR="00F9597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F99077" w14:textId="77777777" w:rsidR="00F95974" w:rsidRPr="0088174E" w:rsidRDefault="00F95974" w:rsidP="00F95974">
      <w:pPr>
        <w:spacing w:before="120"/>
        <w:rPr>
          <w:sz w:val="28"/>
          <w:szCs w:val="28"/>
        </w:rPr>
      </w:pPr>
      <w:r w:rsidRPr="0088174E">
        <w:rPr>
          <w:sz w:val="28"/>
          <w:szCs w:val="28"/>
        </w:rPr>
        <w:t>Комитет по внутреннему транспорту</w:t>
      </w:r>
    </w:p>
    <w:p w14:paraId="3F27FDDF" w14:textId="77777777" w:rsidR="00F95974" w:rsidRPr="0088174E" w:rsidRDefault="00F95974" w:rsidP="00F95974">
      <w:pPr>
        <w:spacing w:before="120" w:after="120"/>
        <w:rPr>
          <w:b/>
          <w:sz w:val="24"/>
          <w:szCs w:val="24"/>
        </w:rPr>
      </w:pPr>
      <w:r w:rsidRPr="0088174E">
        <w:rPr>
          <w:b/>
          <w:bCs/>
          <w:sz w:val="24"/>
          <w:szCs w:val="24"/>
        </w:rPr>
        <w:t>Рабочая группа по перевозкам опасных грузов</w:t>
      </w:r>
    </w:p>
    <w:p w14:paraId="7C432947" w14:textId="77777777" w:rsidR="00F95974" w:rsidRPr="0088174E" w:rsidRDefault="00F95974" w:rsidP="00F95974">
      <w:pPr>
        <w:rPr>
          <w:b/>
          <w:bCs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 Рабочей группы по перевозкам опасных грузов</w:t>
      </w:r>
    </w:p>
    <w:p w14:paraId="37937DC2" w14:textId="77777777" w:rsidR="00F95974" w:rsidRPr="00455EBB" w:rsidRDefault="00F95974" w:rsidP="00F95974">
      <w:r>
        <w:t>Берн, 16</w:t>
      </w:r>
      <w:r w:rsidRPr="00455EBB">
        <w:t>–</w:t>
      </w:r>
      <w:r>
        <w:t>20 марта 2020 года</w:t>
      </w:r>
    </w:p>
    <w:p w14:paraId="304C43C9" w14:textId="77777777" w:rsidR="00F95974" w:rsidRPr="0088174E" w:rsidRDefault="00F95974" w:rsidP="00F95974">
      <w:r>
        <w:t>Пункт 2 предварительной повестки дня</w:t>
      </w:r>
    </w:p>
    <w:p w14:paraId="78D1345B" w14:textId="77777777" w:rsidR="00F95974" w:rsidRPr="0088174E" w:rsidRDefault="00F95974" w:rsidP="00F95974">
      <w:pPr>
        <w:rPr>
          <w:b/>
          <w:bCs/>
        </w:rPr>
      </w:pPr>
      <w:r>
        <w:rPr>
          <w:b/>
          <w:bCs/>
        </w:rPr>
        <w:t>Цистерны</w:t>
      </w:r>
    </w:p>
    <w:p w14:paraId="0CD28C0F" w14:textId="77777777" w:rsidR="00F95974" w:rsidRPr="0088174E" w:rsidRDefault="00F95974" w:rsidP="00F95974">
      <w:pPr>
        <w:pStyle w:val="HChG"/>
      </w:pPr>
      <w:r>
        <w:tab/>
      </w:r>
      <w:r>
        <w:tab/>
      </w:r>
      <w:r>
        <w:rPr>
          <w:bCs/>
        </w:rPr>
        <w:t>Разъяснения в отношении использования цистерн после истечения срока, установленного для следующего испытания или проверки</w:t>
      </w:r>
    </w:p>
    <w:p w14:paraId="0453DED0" w14:textId="77777777" w:rsidR="00F95974" w:rsidRPr="0088174E" w:rsidRDefault="00F95974" w:rsidP="00F9597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Предложение, переданное Международным союзом владельцев грузовых вагонов (МСАГВ) и Международным союзом железных дорог (МСЖД)</w:t>
      </w:r>
      <w:r w:rsidRPr="00F95974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F9597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F95974">
        <w:rPr>
          <w:b w:val="0"/>
        </w:rPr>
        <w:t xml:space="preserve"> </w:t>
      </w:r>
      <w:bookmarkStart w:id="1" w:name="_Hlk27131928"/>
      <w:bookmarkEnd w:id="1"/>
    </w:p>
    <w:p w14:paraId="2097905B" w14:textId="77777777" w:rsidR="00F95974" w:rsidRPr="0088174E" w:rsidRDefault="00F95974" w:rsidP="00F95974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189AEC6" w14:textId="77777777" w:rsidR="00F95974" w:rsidRPr="0088174E" w:rsidRDefault="00F95974" w:rsidP="00F95974">
      <w:pPr>
        <w:pStyle w:val="SingleTxtG"/>
        <w:rPr>
          <w:bCs/>
        </w:rPr>
      </w:pPr>
      <w:r>
        <w:t>1.</w:t>
      </w:r>
      <w:r>
        <w:tab/>
        <w:t>Как уже было отмечено Польшей в документе ЕCE/TRANS/WP.15/</w:t>
      </w:r>
      <w:r>
        <w:br/>
        <w:t>AC.1/2019/19, представленном Совместному совещанию весной 2019 года, вопрос об эксплуатации цистерн после истечения срока действия промежуточной проверки не рассматривается в правилах надлежащим образом. Однако улучшенный текст не был принят Совместным совещанием.</w:t>
      </w:r>
    </w:p>
    <w:p w14:paraId="4A02D937" w14:textId="77777777" w:rsidR="00F95974" w:rsidRPr="0088174E" w:rsidRDefault="00F95974" w:rsidP="00F95974">
      <w:pPr>
        <w:pStyle w:val="SingleTxtG"/>
        <w:rPr>
          <w:bCs/>
        </w:rPr>
      </w:pPr>
      <w:r>
        <w:t>2.</w:t>
      </w:r>
      <w:r>
        <w:tab/>
        <w:t>В то же время следует отметить, что, вопреки толкованию Польши, в настоящее время допустимым было бы также повторное наполнение в течение упомянутого трехмесячного периода.</w:t>
      </w:r>
    </w:p>
    <w:p w14:paraId="6A53F369" w14:textId="77777777" w:rsidR="00F95974" w:rsidRDefault="00F95974" w:rsidP="00F95974">
      <w:pPr>
        <w:pStyle w:val="SingleTxtG"/>
        <w:rPr>
          <w:bCs/>
        </w:rPr>
      </w:pPr>
      <w:r>
        <w:t>3.</w:t>
      </w:r>
      <w:r>
        <w:tab/>
        <w:t>В целях достижения ясности и консенсуса в рамках Рабочей группы по цистернам предлагается сделать правила эксплуатации, изложенные в главе 4.3, более конкретными и сослаться на эти правила в главе 6.8.</w:t>
      </w:r>
    </w:p>
    <w:p w14:paraId="31ADFA95" w14:textId="77777777" w:rsidR="00F95974" w:rsidRPr="0088174E" w:rsidRDefault="00F95974" w:rsidP="00F95974">
      <w:pPr>
        <w:rPr>
          <w:b/>
        </w:rPr>
      </w:pPr>
      <w:r w:rsidRPr="0088174E">
        <w:br w:type="page"/>
      </w:r>
    </w:p>
    <w:p w14:paraId="7A72EE22" w14:textId="77777777" w:rsidR="00F95974" w:rsidRPr="0088174E" w:rsidRDefault="00F95974" w:rsidP="00F95974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14:paraId="26267D8C" w14:textId="77777777" w:rsidR="00F95974" w:rsidRPr="0088174E" w:rsidRDefault="00F95974" w:rsidP="00F95974">
      <w:pPr>
        <w:spacing w:before="120" w:after="120"/>
        <w:ind w:left="2268" w:right="1134" w:hanging="1134"/>
        <w:jc w:val="both"/>
      </w:pPr>
      <w:r w:rsidRPr="00455EBB">
        <w:rPr>
          <w:b/>
          <w:bCs/>
        </w:rPr>
        <w:t>4.3.2.3.7</w:t>
      </w:r>
      <w:r>
        <w:tab/>
        <w:t xml:space="preserve">Изменить следующим образом (новый текст напечатан </w:t>
      </w:r>
      <w:r w:rsidRPr="00455EBB">
        <w:rPr>
          <w:b/>
          <w:bCs/>
        </w:rPr>
        <w:t>жирным шрифтом</w:t>
      </w:r>
      <w:r>
        <w:t xml:space="preserve">, исключенный текст зачеркнут): </w:t>
      </w:r>
    </w:p>
    <w:p w14:paraId="2DAB2C9E" w14:textId="77777777" w:rsidR="00F95974" w:rsidRPr="0088174E" w:rsidRDefault="00F95974" w:rsidP="00F95974">
      <w:pPr>
        <w:spacing w:before="120" w:after="120"/>
        <w:ind w:left="2268" w:right="1134" w:hanging="1134"/>
        <w:jc w:val="both"/>
      </w:pPr>
      <w:r>
        <w:t>«</w:t>
      </w:r>
      <w:r>
        <w:rPr>
          <w:b/>
          <w:bCs/>
        </w:rPr>
        <w:t>4.3.2.3.7</w:t>
      </w:r>
      <w:r>
        <w:tab/>
        <w:t>Вагоны-цистерны, съемные цистерны, вагоны-батареи (МПОГ)/ Встроенные цистерны (автоцистерны), съемные цистерны, транспортные средства-батареи (ДОПОГ), контейнеры-цистерны, съемные кузова-цистерны и МЭГК не могут наполняться</w:t>
      </w:r>
      <w:r>
        <w:rPr>
          <w:b/>
          <w:bCs/>
        </w:rPr>
        <w:t>,</w:t>
      </w:r>
      <w:r>
        <w:t xml:space="preserve"> </w:t>
      </w:r>
      <w:r>
        <w:rPr>
          <w:strike/>
        </w:rPr>
        <w:t>или</w:t>
      </w:r>
      <w:r>
        <w:t xml:space="preserve"> предъявляться к перевозке </w:t>
      </w:r>
      <w:r>
        <w:rPr>
          <w:b/>
          <w:bCs/>
        </w:rPr>
        <w:t>или приниматься к перевозке</w:t>
      </w:r>
      <w:r>
        <w:t xml:space="preserve"> после истечения срока</w:t>
      </w:r>
      <w:r>
        <w:rPr>
          <w:b/>
          <w:bCs/>
        </w:rPr>
        <w:t>,</w:t>
      </w:r>
      <w:r>
        <w:t xml:space="preserve"> </w:t>
      </w:r>
      <w:r>
        <w:rPr>
          <w:strike/>
        </w:rPr>
        <w:t>действия</w:t>
      </w:r>
      <w:r>
        <w:t xml:space="preserve"> </w:t>
      </w:r>
      <w:r>
        <w:rPr>
          <w:b/>
          <w:bCs/>
        </w:rPr>
        <w:t xml:space="preserve">указанного для следующего </w:t>
      </w:r>
      <w:r>
        <w:t xml:space="preserve">испытания или проверки, предписанных в пунктах 6.8.2.4.2, </w:t>
      </w:r>
      <w:r>
        <w:rPr>
          <w:b/>
          <w:bCs/>
        </w:rPr>
        <w:t>6.8.2.4.3,</w:t>
      </w:r>
      <w:r>
        <w:t xml:space="preserve"> 6.8.3.4.6 и 6.8.3.4.12.</w:t>
      </w:r>
    </w:p>
    <w:p w14:paraId="1ADB6B30" w14:textId="77777777" w:rsidR="00F95974" w:rsidRPr="0088174E" w:rsidRDefault="00F95974" w:rsidP="00F95974">
      <w:pPr>
        <w:tabs>
          <w:tab w:val="left" w:pos="4395"/>
        </w:tabs>
        <w:spacing w:before="120" w:after="120"/>
        <w:ind w:left="2268" w:right="1134"/>
        <w:jc w:val="both"/>
      </w:pPr>
      <w:r>
        <w:t>Однако 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МЭГК, наполненные до истечения срока</w:t>
      </w:r>
      <w:r>
        <w:rPr>
          <w:b/>
          <w:bCs/>
        </w:rPr>
        <w:t>,</w:t>
      </w:r>
      <w:r>
        <w:t xml:space="preserve"> </w:t>
      </w:r>
      <w:r>
        <w:rPr>
          <w:strike/>
        </w:rPr>
        <w:t>действия последней периодической</w:t>
      </w:r>
      <w:r>
        <w:t xml:space="preserve"> </w:t>
      </w:r>
      <w:r>
        <w:rPr>
          <w:b/>
          <w:bCs/>
        </w:rPr>
        <w:t xml:space="preserve">указанного для следующей </w:t>
      </w:r>
      <w:r>
        <w:t>проверки, могут перевозиться:</w:t>
      </w:r>
    </w:p>
    <w:p w14:paraId="6EABD658" w14:textId="77777777" w:rsidR="00F95974" w:rsidRPr="0088174E" w:rsidRDefault="00F95974" w:rsidP="00F95974">
      <w:pPr>
        <w:tabs>
          <w:tab w:val="left" w:pos="2977"/>
          <w:tab w:val="left" w:pos="4395"/>
        </w:tabs>
        <w:spacing w:before="120" w:after="120"/>
        <w:ind w:left="2268" w:right="1134"/>
        <w:jc w:val="both"/>
      </w:pPr>
      <w:r>
        <w:t>а)</w:t>
      </w:r>
      <w:r>
        <w:tab/>
        <w:t xml:space="preserve">в течение периода, не превышающего одного месяца, после истечения </w:t>
      </w:r>
      <w:r>
        <w:rPr>
          <w:strike/>
        </w:rPr>
        <w:t>данного</w:t>
      </w:r>
      <w:r>
        <w:t xml:space="preserve"> </w:t>
      </w:r>
      <w:r>
        <w:rPr>
          <w:b/>
          <w:bCs/>
        </w:rPr>
        <w:t xml:space="preserve">указанного </w:t>
      </w:r>
      <w:r>
        <w:t>срока</w:t>
      </w:r>
      <w:r>
        <w:rPr>
          <w:b/>
          <w:bCs/>
        </w:rPr>
        <w:t>, если требуемая проверка является периодической проверкой в соответствии с пунктом</w:t>
      </w:r>
      <w:r w:rsidR="00D22A36">
        <w:rPr>
          <w:b/>
          <w:bCs/>
        </w:rPr>
        <w:t> </w:t>
      </w:r>
      <w:r>
        <w:rPr>
          <w:b/>
          <w:bCs/>
        </w:rPr>
        <w:t>6.8.2.4.2</w:t>
      </w:r>
      <w:r>
        <w:t>;</w:t>
      </w:r>
    </w:p>
    <w:p w14:paraId="514AD9DD" w14:textId="77777777" w:rsidR="00F95974" w:rsidRPr="0088174E" w:rsidRDefault="00F95974" w:rsidP="00F95974">
      <w:pPr>
        <w:tabs>
          <w:tab w:val="left" w:pos="2977"/>
          <w:tab w:val="left" w:pos="4395"/>
        </w:tabs>
        <w:spacing w:before="120" w:after="120"/>
        <w:ind w:left="2268" w:right="1134"/>
        <w:jc w:val="both"/>
        <w:rPr>
          <w:bCs/>
        </w:rPr>
      </w:pPr>
      <w:r>
        <w:t>b)</w:t>
      </w:r>
      <w:r>
        <w:tab/>
        <w:t xml:space="preserve">если компетентным органом не предписано иное, в течение периода, не превышающего трех месяцев, после истечения </w:t>
      </w:r>
      <w:r>
        <w:rPr>
          <w:strike/>
        </w:rPr>
        <w:t>данного</w:t>
      </w:r>
      <w:r>
        <w:t xml:space="preserve"> </w:t>
      </w:r>
      <w:r>
        <w:rPr>
          <w:b/>
          <w:bCs/>
        </w:rPr>
        <w:t>указанного</w:t>
      </w:r>
      <w:r>
        <w:t xml:space="preserve"> срока</w:t>
      </w:r>
      <w:r>
        <w:rPr>
          <w:b/>
          <w:bCs/>
        </w:rPr>
        <w:t>, если требуемая проверка является периодической проверкой в соответствии с пунктом 6.8.2.4.2,</w:t>
      </w:r>
      <w:r>
        <w:t xml:space="preserve"> с целью возвращения опасных грузов для их надлежащей утилизации или переработки. Информация об освобождении от действия соответствующего требования заносится в транспортный документ;</w:t>
      </w:r>
    </w:p>
    <w:p w14:paraId="3F94E2B4" w14:textId="77777777" w:rsidR="00F95974" w:rsidRPr="0088174E" w:rsidRDefault="00F95974" w:rsidP="00F95974">
      <w:pPr>
        <w:tabs>
          <w:tab w:val="left" w:pos="2977"/>
          <w:tab w:val="left" w:pos="4395"/>
        </w:tabs>
        <w:spacing w:before="120" w:after="120"/>
        <w:ind w:left="2268" w:right="1134"/>
        <w:jc w:val="both"/>
        <w:rPr>
          <w:b/>
          <w:bCs/>
        </w:rPr>
      </w:pPr>
      <w:r w:rsidRPr="000274AD">
        <w:rPr>
          <w:b/>
          <w:bCs/>
        </w:rPr>
        <w:t>c)</w:t>
      </w:r>
      <w:r>
        <w:tab/>
      </w:r>
      <w:r>
        <w:rPr>
          <w:b/>
          <w:bCs/>
        </w:rPr>
        <w:t>в течение периода, не превышающего трех месяцев, после истечения указанного срока, если требуемая проверка является промежуточной проверкой в соответствии с пунктом 6.8.2.4.3.</w:t>
      </w:r>
      <w:r>
        <w:t>».</w:t>
      </w:r>
    </w:p>
    <w:p w14:paraId="4DC9F10D" w14:textId="77777777" w:rsidR="00F95974" w:rsidRPr="0088174E" w:rsidRDefault="00F95974" w:rsidP="00F95974">
      <w:pPr>
        <w:pStyle w:val="SingleTxtG"/>
        <w:rPr>
          <w:bCs/>
        </w:rPr>
      </w:pPr>
      <w:r>
        <w:t>4.</w:t>
      </w:r>
      <w:r>
        <w:tab/>
        <w:t>В целях согласования текстов в отношении проверок, содержащихся в подразделе 6.8.2.4, и увязки с конкретным положением пункта 4.3.2.3.7 следует включить сноску к пунктам 6.8.2.4.2, 6.8.2.4.3 и 6.8.3.4.6.</w:t>
      </w:r>
    </w:p>
    <w:p w14:paraId="57315B82" w14:textId="77777777" w:rsidR="00F95974" w:rsidRPr="0088174E" w:rsidRDefault="00F95974" w:rsidP="00F95974">
      <w:pPr>
        <w:pStyle w:val="SingleTxtG"/>
        <w:ind w:left="1701"/>
        <w:rPr>
          <w:bCs/>
        </w:rPr>
      </w:pPr>
      <w:r>
        <w:t>«*</w:t>
      </w:r>
      <w:r>
        <w:tab/>
        <w:t>В отношении правил, ограничивающих период использования цистерн после истечения указанного срока, см. пункт 4.3.2.3.7.».</w:t>
      </w:r>
    </w:p>
    <w:p w14:paraId="1B9077A0" w14:textId="77777777" w:rsidR="00F95974" w:rsidRPr="0088174E" w:rsidRDefault="00F95974" w:rsidP="00F95974">
      <w:pPr>
        <w:pStyle w:val="SingleTxtG"/>
        <w:rPr>
          <w:bCs/>
        </w:rPr>
      </w:pPr>
      <w:r>
        <w:t>5.</w:t>
      </w:r>
      <w:r>
        <w:tab/>
        <w:t>Для достижения еще большей ясности была бы полезной следующая альтернативная сноска:</w:t>
      </w:r>
    </w:p>
    <w:p w14:paraId="1049F019" w14:textId="77777777" w:rsidR="00F95974" w:rsidRPr="0088174E" w:rsidRDefault="00F95974" w:rsidP="00F95974">
      <w:pPr>
        <w:pStyle w:val="SingleTxtG"/>
        <w:ind w:left="1701"/>
      </w:pPr>
      <w:r>
        <w:t>«*</w:t>
      </w:r>
      <w:r>
        <w:tab/>
        <w:t>Наполнение цистерн после истечения срока, указанного для следующего испытания или проверки, не допускается. В отношении правил, ограничивающих период использования таких цистерн, см. пункт 4.3.2.3.7. По истечении указанных периодов, в течение которых разрешается использование цистерн, цистерны должны успешно пройти соответствующее требуемое периодическое или промежуточное испытание или проверку до их дальнейшей эксплуатации или возвращения в эксплуатацию.».</w:t>
      </w:r>
    </w:p>
    <w:p w14:paraId="7F8CA0AE" w14:textId="77777777" w:rsidR="00F95974" w:rsidRPr="0088174E" w:rsidRDefault="00F95974" w:rsidP="00F95974">
      <w:pPr>
        <w:spacing w:before="240"/>
        <w:jc w:val="center"/>
        <w:rPr>
          <w:u w:val="single"/>
        </w:rPr>
      </w:pPr>
      <w:r w:rsidRPr="0088174E">
        <w:rPr>
          <w:u w:val="single"/>
        </w:rPr>
        <w:tab/>
      </w:r>
      <w:r w:rsidRPr="0088174E">
        <w:rPr>
          <w:u w:val="single"/>
        </w:rPr>
        <w:tab/>
      </w:r>
      <w:r w:rsidRPr="0088174E">
        <w:rPr>
          <w:u w:val="single"/>
        </w:rPr>
        <w:tab/>
      </w:r>
    </w:p>
    <w:p w14:paraId="50FD3CDA" w14:textId="77777777" w:rsidR="00E12C5F" w:rsidRPr="008D53B6" w:rsidRDefault="00E12C5F" w:rsidP="00D9145B"/>
    <w:sectPr w:rsidR="00E12C5F" w:rsidRPr="008D53B6" w:rsidSect="00F959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0571" w14:textId="77777777" w:rsidR="00AD2D71" w:rsidRPr="00A312BC" w:rsidRDefault="00AD2D71" w:rsidP="00A312BC"/>
  </w:endnote>
  <w:endnote w:type="continuationSeparator" w:id="0">
    <w:p w14:paraId="730579B4" w14:textId="77777777" w:rsidR="00AD2D71" w:rsidRPr="00A312BC" w:rsidRDefault="00AD2D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74A7B" w14:textId="77777777" w:rsidR="00F95974" w:rsidRPr="00F95974" w:rsidRDefault="00F95974">
    <w:pPr>
      <w:pStyle w:val="Footer"/>
    </w:pPr>
    <w:r w:rsidRPr="00F95974">
      <w:rPr>
        <w:b/>
        <w:sz w:val="18"/>
      </w:rPr>
      <w:fldChar w:fldCharType="begin"/>
    </w:r>
    <w:r w:rsidRPr="00F95974">
      <w:rPr>
        <w:b/>
        <w:sz w:val="18"/>
      </w:rPr>
      <w:instrText xml:space="preserve"> PAGE  \* MERGEFORMAT </w:instrText>
    </w:r>
    <w:r w:rsidRPr="00F95974">
      <w:rPr>
        <w:b/>
        <w:sz w:val="18"/>
      </w:rPr>
      <w:fldChar w:fldCharType="separate"/>
    </w:r>
    <w:r w:rsidRPr="00F95974">
      <w:rPr>
        <w:b/>
        <w:noProof/>
        <w:sz w:val="18"/>
      </w:rPr>
      <w:t>2</w:t>
    </w:r>
    <w:r w:rsidRPr="00F95974">
      <w:rPr>
        <w:b/>
        <w:sz w:val="18"/>
      </w:rPr>
      <w:fldChar w:fldCharType="end"/>
    </w:r>
    <w:r>
      <w:rPr>
        <w:b/>
        <w:sz w:val="18"/>
      </w:rPr>
      <w:tab/>
    </w:r>
    <w:r>
      <w:t>GE.19-22565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646A" w14:textId="77777777" w:rsidR="00F95974" w:rsidRPr="00F95974" w:rsidRDefault="00F95974" w:rsidP="00F95974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GE.19-22565</w:t>
    </w:r>
    <w:r>
      <w:tab/>
    </w:r>
    <w:r w:rsidRPr="00F95974">
      <w:rPr>
        <w:b/>
        <w:sz w:val="18"/>
      </w:rPr>
      <w:fldChar w:fldCharType="begin"/>
    </w:r>
    <w:r w:rsidRPr="00F95974">
      <w:rPr>
        <w:b/>
        <w:sz w:val="18"/>
      </w:rPr>
      <w:instrText xml:space="preserve"> PAGE  \* MERGEFORMAT </w:instrText>
    </w:r>
    <w:r w:rsidRPr="00F95974">
      <w:rPr>
        <w:b/>
        <w:sz w:val="18"/>
      </w:rPr>
      <w:fldChar w:fldCharType="separate"/>
    </w:r>
    <w:r w:rsidRPr="00F95974">
      <w:rPr>
        <w:b/>
        <w:noProof/>
        <w:sz w:val="18"/>
      </w:rPr>
      <w:t>3</w:t>
    </w:r>
    <w:r w:rsidRPr="00F959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C438" w14:textId="77777777" w:rsidR="00042B72" w:rsidRPr="00F95974" w:rsidRDefault="00F95974" w:rsidP="00F9597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034C4F" wp14:editId="6B93722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19-22565  (R)  060120  060120</w:t>
    </w:r>
    <w:r>
      <w:br/>
    </w:r>
    <w:r w:rsidRPr="00F95974">
      <w:rPr>
        <w:rFonts w:ascii="C39T30Lfz" w:hAnsi="C39T30Lfz"/>
        <w:kern w:val="14"/>
        <w:sz w:val="56"/>
      </w:rPr>
      <w:t></w:t>
    </w:r>
    <w:r w:rsidRPr="00F95974">
      <w:rPr>
        <w:rFonts w:ascii="C39T30Lfz" w:hAnsi="C39T30Lfz"/>
        <w:kern w:val="14"/>
        <w:sz w:val="56"/>
      </w:rPr>
      <w:t></w:t>
    </w:r>
    <w:r w:rsidRPr="00F95974">
      <w:rPr>
        <w:rFonts w:ascii="C39T30Lfz" w:hAnsi="C39T30Lfz"/>
        <w:kern w:val="14"/>
        <w:sz w:val="56"/>
      </w:rPr>
      <w:t></w:t>
    </w:r>
    <w:r w:rsidRPr="00F95974">
      <w:rPr>
        <w:rFonts w:ascii="C39T30Lfz" w:hAnsi="C39T30Lfz"/>
        <w:kern w:val="14"/>
        <w:sz w:val="56"/>
      </w:rPr>
      <w:t></w:t>
    </w:r>
    <w:r w:rsidRPr="00F95974">
      <w:rPr>
        <w:rFonts w:ascii="C39T30Lfz" w:hAnsi="C39T30Lfz"/>
        <w:kern w:val="14"/>
        <w:sz w:val="56"/>
      </w:rPr>
      <w:t></w:t>
    </w:r>
    <w:r w:rsidRPr="00F95974">
      <w:rPr>
        <w:rFonts w:ascii="C39T30Lfz" w:hAnsi="C39T30Lfz"/>
        <w:kern w:val="14"/>
        <w:sz w:val="56"/>
      </w:rPr>
      <w:t></w:t>
    </w:r>
    <w:r w:rsidRPr="00F95974">
      <w:rPr>
        <w:rFonts w:ascii="C39T30Lfz" w:hAnsi="C39T30Lfz"/>
        <w:kern w:val="14"/>
        <w:sz w:val="56"/>
      </w:rPr>
      <w:t></w:t>
    </w:r>
    <w:r w:rsidRPr="00F95974">
      <w:rPr>
        <w:rFonts w:ascii="C39T30Lfz" w:hAnsi="C39T30Lfz"/>
        <w:kern w:val="14"/>
        <w:sz w:val="56"/>
      </w:rPr>
      <w:t></w:t>
    </w:r>
    <w:r w:rsidRPr="00F9597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EEC892" wp14:editId="4A9154F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FC62" w14:textId="77777777" w:rsidR="00AD2D71" w:rsidRPr="001075E9" w:rsidRDefault="00AD2D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9EFC1C" w14:textId="77777777" w:rsidR="00AD2D71" w:rsidRDefault="00AD2D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747B77" w14:textId="77777777" w:rsidR="00F95974" w:rsidRPr="0088174E" w:rsidRDefault="00F95974" w:rsidP="00F95974">
      <w:pPr>
        <w:pStyle w:val="FootnoteText"/>
        <w:rPr>
          <w:sz w:val="20"/>
        </w:rPr>
      </w:pPr>
      <w:r>
        <w:tab/>
      </w:r>
      <w:r w:rsidRPr="00F95974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43B15CDF" w14:textId="77777777" w:rsidR="00F95974" w:rsidRPr="0088174E" w:rsidRDefault="00F95974" w:rsidP="00F95974">
      <w:pPr>
        <w:pStyle w:val="FootnoteText"/>
        <w:rPr>
          <w:sz w:val="20"/>
        </w:rPr>
      </w:pPr>
      <w:r>
        <w:tab/>
      </w:r>
      <w:r w:rsidRPr="00F95974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0271" w14:textId="7A1BB947" w:rsidR="00F95974" w:rsidRPr="00F95974" w:rsidRDefault="00247DF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64F94">
      <w:t>ECE/TRANS/WP.15/AC.1/2020/12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5DC1" w14:textId="53F858F0" w:rsidR="00F95974" w:rsidRPr="00F95974" w:rsidRDefault="00247DFF" w:rsidP="00F95974">
    <w:pPr>
      <w:pStyle w:val="Header"/>
      <w:jc w:val="right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464F94">
      <w:t>ECE/TRANS/WP.15/AC.1/2020/12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71"/>
    <w:rsid w:val="00033EE1"/>
    <w:rsid w:val="00042B72"/>
    <w:rsid w:val="000558BD"/>
    <w:rsid w:val="000B57E7"/>
    <w:rsid w:val="000B6373"/>
    <w:rsid w:val="000E4E5B"/>
    <w:rsid w:val="000F09DF"/>
    <w:rsid w:val="000F61B2"/>
    <w:rsid w:val="001000BF"/>
    <w:rsid w:val="001075E9"/>
    <w:rsid w:val="0014152F"/>
    <w:rsid w:val="00180183"/>
    <w:rsid w:val="0018024D"/>
    <w:rsid w:val="0018649F"/>
    <w:rsid w:val="00196389"/>
    <w:rsid w:val="001B3EF6"/>
    <w:rsid w:val="001C7A89"/>
    <w:rsid w:val="00247DF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4F94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2D7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2A3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974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E1CE5"/>
  <w15:docId w15:val="{E817BAF5-79A9-4AE8-B59F-BC32C6A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95974"/>
    <w:rPr>
      <w:lang w:val="ru-RU" w:eastAsia="en-US"/>
    </w:rPr>
  </w:style>
  <w:style w:type="paragraph" w:customStyle="1" w:styleId="ParNoG">
    <w:name w:val="_ParNo_G"/>
    <w:basedOn w:val="SingleTxtG"/>
    <w:qFormat/>
    <w:rsid w:val="00F95974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ECE/TRANS/WP.15/AC.1/2020/12</vt:lpstr>
      <vt:lpstr>ECE/TRANS/WP.15/AC.1/2020/12</vt:lpstr>
      <vt:lpstr>A/</vt:lpstr>
    </vt:vector>
  </TitlesOfParts>
  <Company>DCM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ECE/TRANS/WP.15/AC.1/2020/12</dc:title>
  <dc:subject/>
  <dc:creator>Uliana ANTIPOVA</dc:creator>
  <cp:keywords/>
  <cp:lastModifiedBy>Christine Barrio-Champeau</cp:lastModifiedBy>
  <cp:revision>2</cp:revision>
  <cp:lastPrinted>2020-01-06T13:36:00Z</cp:lastPrinted>
  <dcterms:created xsi:type="dcterms:W3CDTF">2020-01-14T13:31:00Z</dcterms:created>
  <dcterms:modified xsi:type="dcterms:W3CDTF">2020-01-14T13:31:00Z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