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6A4" w14:textId="77777777" w:rsidR="00E93FD8" w:rsidRPr="00835C30" w:rsidRDefault="00E93FD8" w:rsidP="00E93FD8">
      <w:pPr>
        <w:spacing w:before="120"/>
        <w:rPr>
          <w:b/>
          <w:sz w:val="28"/>
          <w:szCs w:val="28"/>
          <w:lang w:val="en-GB"/>
        </w:rPr>
      </w:pPr>
      <w:r w:rsidRPr="00835C30">
        <w:rPr>
          <w:b/>
          <w:sz w:val="28"/>
          <w:szCs w:val="28"/>
          <w:lang w:val="en-GB"/>
        </w:rPr>
        <w:t>Economic Commission for Europe</w:t>
      </w:r>
    </w:p>
    <w:p w14:paraId="2FC895FC" w14:textId="77777777" w:rsidR="00E93FD8" w:rsidRPr="00835C30" w:rsidRDefault="00E93FD8" w:rsidP="00E93FD8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14:paraId="3D2EA74F" w14:textId="77777777" w:rsidR="00E93FD8" w:rsidRPr="00835C30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14:paraId="41D55578" w14:textId="77777777"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14:paraId="303CB948" w14:textId="4AC75E6A"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2F7349">
        <w:rPr>
          <w:b/>
          <w:lang w:val="en-GB"/>
        </w:rPr>
        <w:t xml:space="preserve">2 July </w:t>
      </w:r>
      <w:r w:rsidR="00C464E7">
        <w:rPr>
          <w:b/>
          <w:lang w:val="en-GB"/>
        </w:rPr>
        <w:t>2020</w:t>
      </w:r>
    </w:p>
    <w:p w14:paraId="2BEB2A0C" w14:textId="77777777" w:rsidR="002F7349" w:rsidRDefault="002F7349" w:rsidP="002F7349">
      <w:pPr>
        <w:widowControl w:val="0"/>
        <w:adjustRightInd w:val="0"/>
        <w:snapToGrid w:val="0"/>
        <w:rPr>
          <w:lang w:val="en-GB"/>
        </w:rPr>
      </w:pPr>
      <w:r>
        <w:t xml:space="preserve">Bern, 10-11 </w:t>
      </w:r>
      <w:proofErr w:type="spellStart"/>
      <w:r>
        <w:t>September</w:t>
      </w:r>
      <w:proofErr w:type="spellEnd"/>
      <w:r>
        <w:t xml:space="preserve"> and Geneva, 14-18 </w:t>
      </w:r>
      <w:proofErr w:type="spellStart"/>
      <w:r>
        <w:t>September</w:t>
      </w:r>
      <w:proofErr w:type="spellEnd"/>
      <w:r>
        <w:t xml:space="preserve"> 2020</w:t>
      </w:r>
    </w:p>
    <w:p w14:paraId="77B8E160" w14:textId="77777777" w:rsidR="002F7349" w:rsidRDefault="002F7349" w:rsidP="002F7349">
      <w:pPr>
        <w:widowControl w:val="0"/>
        <w:adjustRightInd w:val="0"/>
        <w:snapToGrid w:val="0"/>
      </w:pPr>
      <w:r>
        <w:t xml:space="preserve">Item 6 of the </w:t>
      </w:r>
      <w:proofErr w:type="spellStart"/>
      <w:r>
        <w:t>provisional</w:t>
      </w:r>
      <w:proofErr w:type="spellEnd"/>
      <w:r>
        <w:t xml:space="preserve"> agenda</w:t>
      </w:r>
    </w:p>
    <w:p w14:paraId="0AAB29F9" w14:textId="77777777" w:rsidR="002F7349" w:rsidRDefault="002F7349" w:rsidP="002F7349">
      <w:pPr>
        <w:widowControl w:val="0"/>
        <w:adjustRightInd w:val="0"/>
        <w:snapToGrid w:val="0"/>
        <w:rPr>
          <w:b/>
        </w:rPr>
      </w:pPr>
      <w:r>
        <w:rPr>
          <w:b/>
        </w:rPr>
        <w:t xml:space="preserve">Reports of </w:t>
      </w:r>
      <w:proofErr w:type="spellStart"/>
      <w:r>
        <w:rPr>
          <w:b/>
        </w:rPr>
        <w:t>informal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groups</w:t>
      </w:r>
    </w:p>
    <w:p w14:paraId="6375DFF1" w14:textId="77777777" w:rsidR="002F7349" w:rsidRDefault="002F7349" w:rsidP="002F7349">
      <w:pPr>
        <w:pStyle w:val="HChG"/>
        <w:keepNext w:val="0"/>
        <w:keepLines w:val="0"/>
        <w:widowControl w:val="0"/>
        <w:adjustRightInd w:val="0"/>
        <w:snapToGrid w:val="0"/>
      </w:pPr>
      <w:r>
        <w:tab/>
      </w:r>
      <w:r>
        <w:tab/>
      </w:r>
      <w:proofErr w:type="spellStart"/>
      <w:r>
        <w:t>Comments</w:t>
      </w:r>
      <w:proofErr w:type="spellEnd"/>
      <w:r>
        <w:t xml:space="preserve"> on the Report of the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on the use of the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rPr>
          <w:i/>
        </w:rPr>
        <w:t>risk</w:t>
      </w:r>
      <w:proofErr w:type="spellEnd"/>
      <w:r>
        <w:t xml:space="preserve"> and </w:t>
      </w:r>
      <w:proofErr w:type="spellStart"/>
      <w:r>
        <w:rPr>
          <w:i/>
        </w:rPr>
        <w:t>hazard</w:t>
      </w:r>
      <w:proofErr w:type="spellEnd"/>
      <w:r>
        <w:t xml:space="preserve"> – 2020/44</w:t>
      </w:r>
    </w:p>
    <w:p w14:paraId="3C1CFA04" w14:textId="77777777" w:rsidR="002F7349" w:rsidRDefault="002F7349" w:rsidP="002F7349">
      <w:pPr>
        <w:pStyle w:val="H1G"/>
        <w:spacing w:before="240" w:after="120" w:line="22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Transmitted</w:t>
      </w:r>
      <w:proofErr w:type="spellEnd"/>
      <w:r>
        <w:rPr>
          <w:szCs w:val="24"/>
        </w:rPr>
        <w:t xml:space="preserve"> by the </w:t>
      </w:r>
      <w:proofErr w:type="spellStart"/>
      <w:r>
        <w:rPr>
          <w:szCs w:val="24"/>
        </w:rPr>
        <w:t>Government</w:t>
      </w:r>
      <w:proofErr w:type="spellEnd"/>
      <w:r>
        <w:rPr>
          <w:szCs w:val="24"/>
        </w:rPr>
        <w:t xml:space="preserve"> of Romania on </w:t>
      </w:r>
      <w:proofErr w:type="spellStart"/>
      <w:r>
        <w:rPr>
          <w:szCs w:val="24"/>
        </w:rPr>
        <w:t>behalf</w:t>
      </w:r>
      <w:proofErr w:type="spellEnd"/>
      <w:r>
        <w:rPr>
          <w:szCs w:val="24"/>
        </w:rPr>
        <w:t xml:space="preserve"> of the Group</w:t>
      </w:r>
    </w:p>
    <w:p w14:paraId="3EB040A6" w14:textId="77777777" w:rsidR="002F7349" w:rsidRDefault="002F7349" w:rsidP="002F7349">
      <w:pPr>
        <w:pStyle w:val="HChG"/>
        <w:spacing w:before="240"/>
        <w:jc w:val="both"/>
      </w:pPr>
      <w:r>
        <w:tab/>
      </w:r>
      <w:r>
        <w:tab/>
        <w:t>Introduction</w:t>
      </w:r>
    </w:p>
    <w:p w14:paraId="0AACE7F1" w14:textId="77777777" w:rsidR="002F7349" w:rsidRDefault="002F7349" w:rsidP="002F7349">
      <w:pPr>
        <w:pStyle w:val="SingleTxtG"/>
      </w:pPr>
      <w:r>
        <w:t>1.</w:t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review</w:t>
      </w:r>
      <w:proofErr w:type="spellEnd"/>
      <w:r>
        <w:t xml:space="preserve"> of the situation of the group report, as </w:t>
      </w:r>
      <w:proofErr w:type="spellStart"/>
      <w:r>
        <w:t>follows</w:t>
      </w:r>
      <w:proofErr w:type="spellEnd"/>
      <w:r>
        <w:t xml:space="preserve">: </w:t>
      </w:r>
    </w:p>
    <w:p w14:paraId="264AAE8B" w14:textId="3FD493DA" w:rsidR="002F7349" w:rsidRDefault="002F7349" w:rsidP="002F7349">
      <w:pPr>
        <w:pStyle w:val="SingleTxtG"/>
        <w:ind w:firstLine="567"/>
      </w:pPr>
      <w:r>
        <w:t>-</w:t>
      </w:r>
      <w:r>
        <w:tab/>
      </w:r>
      <w:r>
        <w:t xml:space="preserve">The report of the Informal </w:t>
      </w:r>
      <w:proofErr w:type="spellStart"/>
      <w:r>
        <w:t>Working</w:t>
      </w:r>
      <w:proofErr w:type="spellEnd"/>
      <w:r>
        <w:t xml:space="preserve"> Group meeting </w:t>
      </w:r>
      <w:proofErr w:type="spellStart"/>
      <w:r>
        <w:t>held</w:t>
      </w:r>
      <w:proofErr w:type="spellEnd"/>
      <w:r>
        <w:t xml:space="preserve"> in The Hague in </w:t>
      </w:r>
      <w:proofErr w:type="spellStart"/>
      <w:r>
        <w:t>February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as </w:t>
      </w:r>
      <w:proofErr w:type="spellStart"/>
      <w:r>
        <w:t>informal</w:t>
      </w:r>
      <w:proofErr w:type="spellEnd"/>
      <w:r>
        <w:t xml:space="preserve"> document INF.19 on the agenda of the March 2020 session of the RID/ADR/ADN Joint meeting;</w:t>
      </w:r>
    </w:p>
    <w:p w14:paraId="1A16C17F" w14:textId="76AFF35B" w:rsidR="002F7349" w:rsidRDefault="002F7349" w:rsidP="002F7349">
      <w:pPr>
        <w:pStyle w:val="SingleTxtG"/>
        <w:ind w:firstLine="567"/>
      </w:pPr>
      <w:r>
        <w:t>-</w:t>
      </w:r>
      <w:r>
        <w:tab/>
      </w:r>
      <w:r>
        <w:t xml:space="preserve">The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on the agenda of the 57</w:t>
      </w:r>
      <w:r>
        <w:rPr>
          <w:vertAlign w:val="superscript"/>
        </w:rPr>
        <w:t>th</w:t>
      </w:r>
      <w:r>
        <w:t xml:space="preserve"> session of the UN </w:t>
      </w:r>
      <w:proofErr w:type="spellStart"/>
      <w:r>
        <w:t>Sub-committee</w:t>
      </w:r>
      <w:proofErr w:type="spellEnd"/>
      <w:r>
        <w:t xml:space="preserve"> of expert for the transport 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(UNSCETDG)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as document ST/SG/AC.10/C.3/2020/58;</w:t>
      </w:r>
    </w:p>
    <w:p w14:paraId="7609E50C" w14:textId="477DCC63" w:rsidR="002F7349" w:rsidRDefault="002F7349" w:rsidP="002F7349">
      <w:pPr>
        <w:pStyle w:val="SingleTxtG"/>
        <w:ind w:firstLine="567"/>
      </w:pPr>
      <w:r>
        <w:t>-</w:t>
      </w:r>
      <w:r>
        <w:tab/>
      </w:r>
      <w:r>
        <w:t xml:space="preserve">For the </w:t>
      </w:r>
      <w:proofErr w:type="spellStart"/>
      <w:r>
        <w:t>September</w:t>
      </w:r>
      <w:proofErr w:type="spellEnd"/>
      <w:r>
        <w:t xml:space="preserve"> 2020 session of the RID/ADR/ADN Joint meeting, the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as document ECE/TRANS/WP.15/AC.1/2020/44.</w:t>
      </w:r>
    </w:p>
    <w:p w14:paraId="74A4FB3C" w14:textId="77777777" w:rsidR="002F7349" w:rsidRDefault="002F7349" w:rsidP="002F7349">
      <w:pPr>
        <w:pStyle w:val="SingleTxtG"/>
      </w:pPr>
      <w:r>
        <w:t>2.</w:t>
      </w:r>
      <w:r>
        <w:tab/>
      </w:r>
      <w:proofErr w:type="spellStart"/>
      <w:r>
        <w:t>Through</w:t>
      </w:r>
      <w:proofErr w:type="spellEnd"/>
      <w:r>
        <w:t xml:space="preserve"> the platform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secretariat</w:t>
      </w:r>
      <w:proofErr w:type="spellEnd"/>
      <w:r>
        <w:t xml:space="preserve"> for the 57</w:t>
      </w:r>
      <w:r>
        <w:rPr>
          <w:vertAlign w:val="superscript"/>
        </w:rPr>
        <w:t>th</w:t>
      </w:r>
      <w:r>
        <w:t xml:space="preserve"> session of the UNSCETDG (29 June - 8 July 2020)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deserve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by the RID/ADR/ADN Joint meeting, as </w:t>
      </w:r>
      <w:proofErr w:type="spellStart"/>
      <w:r>
        <w:t>follows</w:t>
      </w:r>
      <w:proofErr w:type="spellEnd"/>
      <w:r>
        <w:t>:</w:t>
      </w:r>
    </w:p>
    <w:p w14:paraId="784732FE" w14:textId="77777777" w:rsidR="002F7349" w:rsidRDefault="002F7349" w:rsidP="002F7349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right="1417" w:hanging="567"/>
        <w:rPr>
          <w:b/>
        </w:rPr>
      </w:pPr>
      <w:hyperlink r:id="rId8" w:history="1">
        <w:proofErr w:type="spellStart"/>
        <w:r>
          <w:rPr>
            <w:rStyle w:val="Hyperlink"/>
            <w:b/>
          </w:rPr>
          <w:t>Belgium_TDG+GHS</w:t>
        </w:r>
        <w:proofErr w:type="spellEnd"/>
      </w:hyperlink>
    </w:p>
    <w:p w14:paraId="5E7C2066" w14:textId="77777777" w:rsidR="002F7349" w:rsidRDefault="002F7349" w:rsidP="00340531">
      <w:pPr>
        <w:pStyle w:val="SingleTxtG"/>
        <w:ind w:left="1701"/>
      </w:pPr>
      <w:proofErr w:type="spellStart"/>
      <w:r>
        <w:t>We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the chairman of the </w:t>
      </w:r>
      <w:proofErr w:type="spellStart"/>
      <w:r>
        <w:t>working</w:t>
      </w:r>
      <w:proofErr w:type="spellEnd"/>
      <w:r>
        <w:t xml:space="preserve"> group for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support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continue to </w:t>
      </w:r>
      <w:proofErr w:type="spellStart"/>
      <w:r>
        <w:t>contribute</w:t>
      </w:r>
      <w:proofErr w:type="spellEnd"/>
      <w:r>
        <w:t xml:space="preserve"> to the </w:t>
      </w:r>
      <w:proofErr w:type="spellStart"/>
      <w:r>
        <w:t>review</w:t>
      </w:r>
      <w:proofErr w:type="spellEnd"/>
      <w:r>
        <w:t xml:space="preserve"> in the </w:t>
      </w:r>
      <w:proofErr w:type="spellStart"/>
      <w:r>
        <w:t>working</w:t>
      </w:r>
      <w:proofErr w:type="spellEnd"/>
      <w:r>
        <w:t xml:space="preserve"> group.</w:t>
      </w:r>
    </w:p>
    <w:p w14:paraId="5AF3D912" w14:textId="77777777" w:rsidR="002F7349" w:rsidRDefault="002F7349" w:rsidP="00340531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hanging="567"/>
        <w:rPr>
          <w:b/>
        </w:rPr>
      </w:pPr>
      <w:hyperlink r:id="rId9" w:history="1">
        <w:proofErr w:type="spellStart"/>
        <w:r>
          <w:rPr>
            <w:rStyle w:val="Hyperlink"/>
            <w:b/>
          </w:rPr>
          <w:t>Spain_TDG</w:t>
        </w:r>
        <w:proofErr w:type="spellEnd"/>
      </w:hyperlink>
    </w:p>
    <w:p w14:paraId="57DB7695" w14:textId="77777777" w:rsidR="002F7349" w:rsidRDefault="002F7349" w:rsidP="00340531">
      <w:pPr>
        <w:pStyle w:val="SingleTxtG"/>
        <w:ind w:left="1701"/>
      </w:pPr>
      <w:r>
        <w:t xml:space="preserve">Spain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thankful</w:t>
      </w:r>
      <w:proofErr w:type="spellEnd"/>
      <w:r>
        <w:t xml:space="preserve"> to the </w:t>
      </w:r>
      <w:proofErr w:type="spellStart"/>
      <w:r>
        <w:t>authors</w:t>
      </w:r>
      <w:proofErr w:type="spellEnd"/>
      <w:r>
        <w:t xml:space="preserve"> of the </w:t>
      </w:r>
      <w:proofErr w:type="spellStart"/>
      <w:r>
        <w:t>proposal</w:t>
      </w:r>
      <w:proofErr w:type="spellEnd"/>
      <w:r>
        <w:t xml:space="preserve"> for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the correct use of the </w:t>
      </w:r>
      <w:proofErr w:type="spellStart"/>
      <w:r>
        <w:t>terms</w:t>
      </w:r>
      <w:proofErr w:type="spellEnd"/>
      <w:r>
        <w:t xml:space="preserve"> “</w:t>
      </w:r>
      <w:proofErr w:type="spellStart"/>
      <w:r>
        <w:rPr>
          <w:i/>
        </w:rPr>
        <w:t>risk</w:t>
      </w:r>
      <w:proofErr w:type="spellEnd"/>
      <w:r>
        <w:t>” and “</w:t>
      </w:r>
      <w:proofErr w:type="spellStart"/>
      <w:r>
        <w:rPr>
          <w:i/>
        </w:rPr>
        <w:t>hazard</w:t>
      </w:r>
      <w:proofErr w:type="spellEnd"/>
      <w:r>
        <w:rPr>
          <w:i/>
        </w:rPr>
        <w:t>/danger</w:t>
      </w:r>
      <w:r>
        <w:t xml:space="preserve">” in the </w:t>
      </w:r>
      <w:proofErr w:type="spellStart"/>
      <w:r>
        <w:t>Recommendations</w:t>
      </w:r>
      <w:proofErr w:type="spellEnd"/>
      <w:r>
        <w:t xml:space="preserve"> and Model </w:t>
      </w:r>
      <w:proofErr w:type="spellStart"/>
      <w:r>
        <w:t>Regulations</w:t>
      </w:r>
      <w:proofErr w:type="spellEnd"/>
      <w:r>
        <w:t>.</w:t>
      </w:r>
    </w:p>
    <w:p w14:paraId="19611350" w14:textId="77777777" w:rsidR="002F7349" w:rsidRDefault="002F7349" w:rsidP="00340531">
      <w:pPr>
        <w:pStyle w:val="SingleTxtG"/>
        <w:ind w:left="1701"/>
      </w:pPr>
      <w:proofErr w:type="spellStart"/>
      <w:r>
        <w:t>After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 all the </w:t>
      </w:r>
      <w:proofErr w:type="spellStart"/>
      <w:r>
        <w:t>proposed</w:t>
      </w:r>
      <w:proofErr w:type="spellEnd"/>
      <w:r>
        <w:t xml:space="preserve"> changes, in English and in French, Spain can support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>:</w:t>
      </w:r>
    </w:p>
    <w:p w14:paraId="3C2EAE18" w14:textId="5E1B40B3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1.4.3- </w:t>
      </w:r>
      <w:proofErr w:type="spellStart"/>
      <w:r>
        <w:t>Only</w:t>
      </w:r>
      <w:proofErr w:type="spellEnd"/>
      <w:r>
        <w:t xml:space="preserve"> in the </w:t>
      </w:r>
      <w:r>
        <w:rPr>
          <w:u w:val="single"/>
        </w:rPr>
        <w:t>French Version</w:t>
      </w:r>
      <w:r>
        <w:t xml:space="preserve">, the </w:t>
      </w:r>
      <w:proofErr w:type="spellStart"/>
      <w:r>
        <w:t>Spanish</w:t>
      </w:r>
      <w:proofErr w:type="spellEnd"/>
      <w:r>
        <w:t xml:space="preserve"> experts support </w:t>
      </w:r>
      <w:r>
        <w:rPr>
          <w:u w:val="single"/>
        </w:rPr>
        <w:t>option 2</w:t>
      </w:r>
      <w:r>
        <w:t xml:space="preserve"> to replace “haut risqué” par “conséquences graves”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in line </w:t>
      </w:r>
      <w:proofErr w:type="spellStart"/>
      <w:r>
        <w:t>with</w:t>
      </w:r>
      <w:proofErr w:type="spellEnd"/>
      <w:r>
        <w:t xml:space="preserve"> the English </w:t>
      </w:r>
      <w:proofErr w:type="spellStart"/>
      <w:r>
        <w:t>language</w:t>
      </w:r>
      <w:proofErr w:type="spellEnd"/>
      <w:r>
        <w:t xml:space="preserve"> version, </w:t>
      </w:r>
      <w:proofErr w:type="spellStart"/>
      <w:r>
        <w:t>which</w:t>
      </w:r>
      <w:proofErr w:type="spellEnd"/>
      <w:r>
        <w:t xml:space="preserve"> expresses </w:t>
      </w:r>
      <w:proofErr w:type="spellStart"/>
      <w:r>
        <w:t>correctly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and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high </w:t>
      </w:r>
      <w:proofErr w:type="spellStart"/>
      <w:r>
        <w:t>consequences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case of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misuse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important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in French,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basic topic </w:t>
      </w:r>
      <w:proofErr w:type="spellStart"/>
      <w:r>
        <w:t>than</w:t>
      </w:r>
      <w:proofErr w:type="spellEnd"/>
      <w:r>
        <w:t xml:space="preserve"> can cause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misunderstandings</w:t>
      </w:r>
      <w:proofErr w:type="spellEnd"/>
      <w:r w:rsidR="00340531">
        <w:t> ;</w:t>
      </w:r>
    </w:p>
    <w:p w14:paraId="65D993E0" w14:textId="386BE886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1.5.1.1-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follow the OIEA </w:t>
      </w:r>
      <w:proofErr w:type="spellStart"/>
      <w:r>
        <w:t>texts</w:t>
      </w:r>
      <w:proofErr w:type="spellEnd"/>
      <w:r>
        <w:t xml:space="preserve">, and </w:t>
      </w:r>
      <w:proofErr w:type="spellStart"/>
      <w:r>
        <w:t>see</w:t>
      </w:r>
      <w:proofErr w:type="spellEnd"/>
      <w:r>
        <w:t xml:space="preserve"> if in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of the OIEA the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point of the OIEA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reviewed</w:t>
      </w:r>
      <w:proofErr w:type="spellEnd"/>
      <w:r w:rsidR="00340531">
        <w:t> ;</w:t>
      </w:r>
    </w:p>
    <w:p w14:paraId="670AEB50" w14:textId="3CC1CAA0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lastRenderedPageBreak/>
        <w:t>-</w:t>
      </w:r>
      <w:r>
        <w:tab/>
      </w:r>
      <w:r>
        <w:t xml:space="preserve">3.3, SP 391- The change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in the </w:t>
      </w:r>
      <w:r>
        <w:rPr>
          <w:u w:val="single"/>
        </w:rPr>
        <w:t>French version</w:t>
      </w:r>
      <w:r>
        <w:t xml:space="preserve"> (</w:t>
      </w:r>
      <w:proofErr w:type="spellStart"/>
      <w:r>
        <w:t>ed</w:t>
      </w:r>
      <w:proofErr w:type="spellEnd"/>
      <w:r>
        <w:t xml:space="preserve"> 21).</w:t>
      </w:r>
    </w:p>
    <w:p w14:paraId="28F24E54" w14:textId="77777777" w:rsidR="002F7349" w:rsidRDefault="002F7349" w:rsidP="002F7349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right="1417" w:hanging="567"/>
        <w:rPr>
          <w:b/>
        </w:rPr>
      </w:pPr>
      <w:hyperlink r:id="rId10" w:history="1">
        <w:proofErr w:type="spellStart"/>
        <w:r>
          <w:rPr>
            <w:rStyle w:val="Hyperlink"/>
            <w:b/>
          </w:rPr>
          <w:t>Canada_TDG</w:t>
        </w:r>
        <w:proofErr w:type="spellEnd"/>
      </w:hyperlink>
    </w:p>
    <w:p w14:paraId="72B3C66D" w14:textId="77777777" w:rsidR="002F7349" w:rsidRDefault="002F7349" w:rsidP="00340531">
      <w:pPr>
        <w:pStyle w:val="SingleTxtG"/>
        <w:ind w:left="1701" w:right="1417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Romania for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</w:t>
      </w:r>
    </w:p>
    <w:p w14:paraId="75D04299" w14:textId="77777777" w:rsidR="002F7349" w:rsidRDefault="002F7349" w:rsidP="00340531">
      <w:pPr>
        <w:pStyle w:val="SingleTxtG"/>
        <w:ind w:left="1701"/>
      </w:pPr>
      <w:r>
        <w:rPr>
          <w:b/>
          <w:bCs/>
        </w:rPr>
        <w:t xml:space="preserve">Canada supports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proposal</w:t>
      </w:r>
      <w:proofErr w:type="spellEnd"/>
      <w:r>
        <w:rPr>
          <w:b/>
          <w:bCs/>
        </w:rPr>
        <w:t xml:space="preserve"> in </w:t>
      </w:r>
      <w:proofErr w:type="spellStart"/>
      <w:r>
        <w:rPr>
          <w:b/>
          <w:bCs/>
        </w:rPr>
        <w:t>principle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proposes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wording</w:t>
      </w:r>
      <w:proofErr w:type="spellEnd"/>
      <w:r>
        <w:t xml:space="preserve">, as </w:t>
      </w:r>
      <w:proofErr w:type="spellStart"/>
      <w:r>
        <w:t>follows</w:t>
      </w:r>
      <w:proofErr w:type="spellEnd"/>
      <w:r>
        <w:t>:</w:t>
      </w:r>
    </w:p>
    <w:p w14:paraId="5197E34A" w14:textId="77777777" w:rsidR="002F7349" w:rsidRDefault="002F7349" w:rsidP="00340531">
      <w:pPr>
        <w:pStyle w:val="SingleTxtG"/>
        <w:ind w:left="1701" w:right="1417"/>
      </w:pPr>
      <w:r>
        <w:rPr>
          <w:u w:val="single"/>
        </w:rPr>
        <w:t>English document</w:t>
      </w:r>
    </w:p>
    <w:p w14:paraId="4AF76387" w14:textId="05051B0D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>2.1.3.3.1, Note – replace “</w:t>
      </w:r>
      <w:proofErr w:type="spellStart"/>
      <w:r>
        <w:t>risk</w:t>
      </w:r>
      <w:proofErr w:type="spellEnd"/>
      <w:r>
        <w:t>” by “</w:t>
      </w:r>
      <w:proofErr w:type="spellStart"/>
      <w:r>
        <w:t>likelihood</w:t>
      </w:r>
      <w:proofErr w:type="spellEnd"/>
      <w:r>
        <w:t>”</w:t>
      </w:r>
    </w:p>
    <w:p w14:paraId="0FB1FD20" w14:textId="0B0A4BCB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2.6.3.2.3.4 –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“</w:t>
      </w:r>
      <w:proofErr w:type="spellStart"/>
      <w:r>
        <w:t>risk</w:t>
      </w:r>
      <w:proofErr w:type="spellEnd"/>
      <w:r>
        <w:t xml:space="preserve"> of infection” or replace by “</w:t>
      </w:r>
      <w:proofErr w:type="spellStart"/>
      <w:r>
        <w:t>infectiousness</w:t>
      </w:r>
      <w:proofErr w:type="spellEnd"/>
      <w:r>
        <w:t xml:space="preserve"> </w:t>
      </w:r>
      <w:proofErr w:type="spellStart"/>
      <w:r>
        <w:t>hazard</w:t>
      </w:r>
      <w:proofErr w:type="spellEnd"/>
      <w:r>
        <w:t>”</w:t>
      </w:r>
    </w:p>
    <w:p w14:paraId="3A486840" w14:textId="1B7C33E1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6.7.2.5.1 – replace “as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wrenched</w:t>
      </w:r>
      <w:proofErr w:type="spellEnd"/>
      <w:r>
        <w:t xml:space="preserve"> off” by “and </w:t>
      </w:r>
      <w:proofErr w:type="spellStart"/>
      <w:r>
        <w:t>protected</w:t>
      </w:r>
      <w:proofErr w:type="spellEnd"/>
      <w:r>
        <w:t xml:space="preserve"> as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wrenched</w:t>
      </w:r>
      <w:proofErr w:type="spellEnd"/>
      <w:r>
        <w:t xml:space="preserve"> off” and the </w:t>
      </w:r>
      <w:proofErr w:type="spellStart"/>
      <w:r>
        <w:t>third</w:t>
      </w:r>
      <w:proofErr w:type="spellEnd"/>
      <w:r>
        <w:t xml:space="preserve"> sentence </w:t>
      </w:r>
      <w:proofErr w:type="spellStart"/>
      <w:r>
        <w:t>accordingly</w:t>
      </w:r>
      <w:proofErr w:type="spellEnd"/>
    </w:p>
    <w:p w14:paraId="06D43EDD" w14:textId="5D17EEAC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6.7.3.5.1 –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for 6.7.2.5.1</w:t>
      </w:r>
    </w:p>
    <w:p w14:paraId="177C4F12" w14:textId="4000E1F0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6.7.4.5.1 –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for 6.7.2.5.1</w:t>
      </w:r>
    </w:p>
    <w:p w14:paraId="16F23484" w14:textId="7F95001C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>7.1.2.1 – replace “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hazards</w:t>
      </w:r>
      <w:proofErr w:type="spellEnd"/>
      <w:r>
        <w:t xml:space="preserve">” by “lead to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>”</w:t>
      </w:r>
    </w:p>
    <w:p w14:paraId="64D570A9" w14:textId="2A0B66E6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>7.1.5.2 – replace “</w:t>
      </w:r>
      <w:proofErr w:type="spellStart"/>
      <w:r>
        <w:t>create</w:t>
      </w:r>
      <w:proofErr w:type="spellEnd"/>
      <w:r>
        <w:t xml:space="preserve"> an explosion </w:t>
      </w:r>
      <w:proofErr w:type="spellStart"/>
      <w:r>
        <w:t>hazard</w:t>
      </w:r>
      <w:proofErr w:type="spellEnd"/>
      <w:r>
        <w:t>” by “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likelihood</w:t>
      </w:r>
      <w:proofErr w:type="spellEnd"/>
      <w:r>
        <w:t xml:space="preserve"> of an explosion”</w:t>
      </w:r>
    </w:p>
    <w:p w14:paraId="6B4FF2E3" w14:textId="77777777" w:rsidR="002F7349" w:rsidRDefault="002F7349" w:rsidP="00340531">
      <w:pPr>
        <w:pStyle w:val="SingleTxtG"/>
        <w:ind w:left="1701"/>
      </w:pPr>
      <w:r>
        <w:rPr>
          <w:u w:val="single"/>
        </w:rPr>
        <w:t>French document</w:t>
      </w:r>
    </w:p>
    <w:p w14:paraId="7525D317" w14:textId="1CC3745C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1.4.3 – dans ce contexte, le mot « risque » nous semble pleinement approprié. Cependant, si le Sous-comité tient à remplacer ce mot, nous préférerions remplacer « marchandises dangereuses à haut risque » par « marchandises dangereuses présentant un danger pour la sécurité publique »</w:t>
      </w:r>
    </w:p>
    <w:p w14:paraId="47201776" w14:textId="5213B4EC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1.4.3.1 à 1.4.3.1.2, Tableau – voir commentaires pour 1.4.3</w:t>
      </w:r>
    </w:p>
    <w:p w14:paraId="3530D851" w14:textId="6DE23FED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1.4.3.1.3 - dans ce contexte, le mot « risque » nous semble pleinement approprié. Cependant, si le sous-comité tient à remplacer ce mot, nous préférerions remplacer « à haut risque » par « présentant un danger pour la sécurité publique »</w:t>
      </w:r>
    </w:p>
    <w:p w14:paraId="2DE77C16" w14:textId="7AFBDA3E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1.4.3.2 à 1.4.3.2.2.1 - voir commentaires pour 1.4.3</w:t>
      </w:r>
    </w:p>
    <w:p w14:paraId="2490179C" w14:textId="66106759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2.1.3.2.3, Note 3 - remplacer « risque d’être valable seulement » par « pourrait n’être valable que »</w:t>
      </w:r>
    </w:p>
    <w:p w14:paraId="46E67751" w14:textId="7237AF66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2.6.2.1.3 – dans le nouveau texte, remplacer « si 10% (masse) au moins de sa masse totale sont susceptibles d’être » par « si au moins 10% de sa masse totale pourraient être» ET « au plus de 10 microns » par « de 10 microns ou moins »</w:t>
      </w:r>
    </w:p>
    <w:p w14:paraId="127C2862" w14:textId="00839425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3.3, DS 291 - remplacer « exclure le risque d’éclatement ou de fissuration » par « empêcher l’éclatement ou la fissuration »</w:t>
      </w:r>
    </w:p>
    <w:p w14:paraId="4025F5CB" w14:textId="1F9A4BE6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P200, z, par.5 - remplacer « tout risque de » par « toutes »</w:t>
      </w:r>
    </w:p>
    <w:p w14:paraId="0B533D73" w14:textId="2A6CC2B3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TP 32, a) - remplacer « tout risque de confinement » par « toute possibilité de confinement »</w:t>
      </w:r>
    </w:p>
    <w:p w14:paraId="136909F2" w14:textId="3364F3D7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6.2.1.1.8.3 - remplacer « il existe un risque de contact avec l’oxygène de l’air ou avec un fluide enrichi en oxygène » par « un contact avec l’oxygène de l’air ou avec un fluide enrichi en oxygène est possible »</w:t>
      </w:r>
    </w:p>
    <w:p w14:paraId="3FAF3FFD" w14:textId="590DD59A" w:rsidR="002F7349" w:rsidRDefault="002F7349" w:rsidP="00340531">
      <w:pPr>
        <w:pStyle w:val="SingleTxtG"/>
        <w:suppressAutoHyphens w:val="0"/>
        <w:spacing w:line="240" w:lineRule="auto"/>
        <w:ind w:left="2835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>
        <w:rPr>
          <w:lang w:val="fr-FR"/>
        </w:rPr>
        <w:t>7.1.5.2 - remplacer « tels qu’il en résulte un risque d’explosion » par « tels qu’il en résulte une possibilité d’explosion »</w:t>
      </w:r>
    </w:p>
    <w:p w14:paraId="413693CB" w14:textId="77777777" w:rsidR="002F7349" w:rsidRDefault="002F7349" w:rsidP="002F7349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right="1417" w:hanging="567"/>
        <w:rPr>
          <w:b/>
          <w:lang w:val="en-GB"/>
        </w:rPr>
      </w:pPr>
      <w:hyperlink r:id="rId11" w:history="1">
        <w:proofErr w:type="spellStart"/>
        <w:r>
          <w:rPr>
            <w:rStyle w:val="Hyperlink"/>
            <w:b/>
          </w:rPr>
          <w:t>Canada_TDG</w:t>
        </w:r>
        <w:proofErr w:type="spellEnd"/>
      </w:hyperlink>
    </w:p>
    <w:p w14:paraId="65D0A624" w14:textId="77777777" w:rsidR="002F7349" w:rsidRDefault="002F7349" w:rsidP="00340531">
      <w:pPr>
        <w:pStyle w:val="SingleTxtG"/>
        <w:ind w:left="1701"/>
      </w:pPr>
      <w:r>
        <w:lastRenderedPageBreak/>
        <w:t xml:space="preserve">Canada has </w:t>
      </w:r>
      <w:proofErr w:type="spellStart"/>
      <w:r>
        <w:t>identified</w:t>
      </w:r>
      <w:proofErr w:type="spellEnd"/>
      <w:r>
        <w:t xml:space="preserve"> 2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changes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by the Expert </w:t>
      </w:r>
      <w:proofErr w:type="spellStart"/>
      <w:r>
        <w:t>from</w:t>
      </w:r>
      <w:proofErr w:type="spellEnd"/>
      <w:r>
        <w:t xml:space="preserve"> Romania:</w:t>
      </w:r>
    </w:p>
    <w:p w14:paraId="1082934A" w14:textId="67050E27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PP52 and PP76 – the </w:t>
      </w:r>
      <w:proofErr w:type="spellStart"/>
      <w:r>
        <w:t>word</w:t>
      </w:r>
      <w:proofErr w:type="spellEnd"/>
      <w:r>
        <w:t xml:space="preserve"> “</w:t>
      </w:r>
      <w:proofErr w:type="spellStart"/>
      <w:r>
        <w:t>risk</w:t>
      </w:r>
      <w:proofErr w:type="spellEnd"/>
      <w:r>
        <w:t xml:space="preserve">”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packages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probability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the </w:t>
      </w:r>
      <w:proofErr w:type="spellStart"/>
      <w:r>
        <w:t>consequence</w:t>
      </w:r>
      <w:proofErr w:type="spellEnd"/>
      <w:r>
        <w:t xml:space="preserve"> of the initiation</w:t>
      </w:r>
      <w:r w:rsidR="00340531">
        <w:t> ;</w:t>
      </w:r>
    </w:p>
    <w:p w14:paraId="7C593A0C" w14:textId="456533A5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4.1.5.2, c)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r>
        <w:rPr>
          <w:u w:val="single"/>
        </w:rPr>
        <w:t>option 1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wording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by Canada in the 55</w:t>
      </w:r>
      <w:r>
        <w:rPr>
          <w:vertAlign w:val="superscript"/>
        </w:rPr>
        <w:t>th</w:t>
      </w:r>
      <w:r>
        <w:t> session.</w:t>
      </w:r>
    </w:p>
    <w:p w14:paraId="0614D919" w14:textId="77777777" w:rsidR="002F7349" w:rsidRDefault="002F7349" w:rsidP="002F7349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right="1417" w:hanging="567"/>
        <w:rPr>
          <w:b/>
        </w:rPr>
      </w:pPr>
      <w:hyperlink r:id="rId12" w:history="1">
        <w:proofErr w:type="spellStart"/>
        <w:r>
          <w:rPr>
            <w:rStyle w:val="Hyperlink"/>
            <w:b/>
          </w:rPr>
          <w:t>Netherlands_TDG</w:t>
        </w:r>
        <w:proofErr w:type="spellEnd"/>
      </w:hyperlink>
    </w:p>
    <w:p w14:paraId="68D93593" w14:textId="77777777" w:rsidR="002F7349" w:rsidRDefault="002F7349" w:rsidP="00340531">
      <w:pPr>
        <w:pStyle w:val="SingleTxtG"/>
        <w:ind w:left="1701"/>
      </w:pPr>
      <w:proofErr w:type="spellStart"/>
      <w:r>
        <w:t>We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Romania for </w:t>
      </w:r>
      <w:proofErr w:type="spellStart"/>
      <w:r>
        <w:t>this</w:t>
      </w:r>
      <w:proofErr w:type="spellEnd"/>
      <w:r>
        <w:t xml:space="preserve"> document.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participated</w:t>
      </w:r>
      <w:proofErr w:type="spellEnd"/>
      <w:r>
        <w:t xml:space="preserve"> in the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and </w:t>
      </w:r>
      <w:proofErr w:type="spellStart"/>
      <w:r>
        <w:t>we</w:t>
      </w:r>
      <w:proofErr w:type="spellEnd"/>
      <w:r>
        <w:t xml:space="preserve"> support the </w:t>
      </w:r>
      <w:proofErr w:type="spellStart"/>
      <w:r>
        <w:t>proposal</w:t>
      </w:r>
      <w:proofErr w:type="spellEnd"/>
      <w:r>
        <w:t>.</w:t>
      </w:r>
    </w:p>
    <w:p w14:paraId="6FE929A8" w14:textId="5574A590" w:rsidR="002F7349" w:rsidRDefault="002F7349" w:rsidP="002F7349">
      <w:pPr>
        <w:pStyle w:val="SingleTxtG"/>
      </w:pPr>
      <w:r>
        <w:t>3.</w:t>
      </w:r>
      <w:r w:rsidR="00340531"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a comment on the platform, as </w:t>
      </w:r>
      <w:proofErr w:type="spellStart"/>
      <w:r>
        <w:t>follows</w:t>
      </w:r>
      <w:proofErr w:type="spellEnd"/>
      <w:r>
        <w:t>:</w:t>
      </w:r>
    </w:p>
    <w:p w14:paraId="5EF00964" w14:textId="77777777" w:rsidR="002F7349" w:rsidRDefault="002F7349" w:rsidP="002F7349">
      <w:pPr>
        <w:pStyle w:val="SingleTxtG"/>
        <w:numPr>
          <w:ilvl w:val="1"/>
          <w:numId w:val="19"/>
        </w:numPr>
        <w:tabs>
          <w:tab w:val="clear" w:pos="1440"/>
        </w:tabs>
        <w:suppressAutoHyphens w:val="0"/>
        <w:spacing w:line="240" w:lineRule="auto"/>
        <w:ind w:left="2268" w:right="1417" w:hanging="567"/>
        <w:rPr>
          <w:b/>
        </w:rPr>
      </w:pPr>
      <w:hyperlink r:id="rId13" w:history="1">
        <w:proofErr w:type="spellStart"/>
        <w:r>
          <w:rPr>
            <w:rStyle w:val="Hyperlink"/>
            <w:b/>
          </w:rPr>
          <w:t>Romania_TDG</w:t>
        </w:r>
        <w:proofErr w:type="spellEnd"/>
      </w:hyperlink>
    </w:p>
    <w:p w14:paraId="39A528CE" w14:textId="77777777" w:rsidR="002F7349" w:rsidRDefault="002F7349" w:rsidP="00340531">
      <w:pPr>
        <w:pStyle w:val="SingleTxtG"/>
        <w:ind w:left="1701"/>
      </w:pPr>
      <w:proofErr w:type="spellStart"/>
      <w:r>
        <w:t>We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[…] for the </w:t>
      </w:r>
      <w:proofErr w:type="spellStart"/>
      <w:r>
        <w:t>comments</w:t>
      </w:r>
      <w:proofErr w:type="spellEnd"/>
      <w:r>
        <w:t xml:space="preserve"> and the new options/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wordings</w:t>
      </w:r>
      <w:proofErr w:type="spellEnd"/>
      <w:r>
        <w:t xml:space="preserve">. The </w:t>
      </w:r>
      <w:proofErr w:type="spellStart"/>
      <w:r>
        <w:t>September</w:t>
      </w:r>
      <w:proofErr w:type="spellEnd"/>
      <w:r>
        <w:t xml:space="preserve"> 2020 session of the Joint meeting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good moment to analyse </w:t>
      </w:r>
      <w:proofErr w:type="spellStart"/>
      <w:r>
        <w:t>also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options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14:paraId="101B3AC2" w14:textId="77777777" w:rsidR="002F7349" w:rsidRDefault="002F7349" w:rsidP="00340531">
      <w:pPr>
        <w:pStyle w:val="SingleTxtG"/>
        <w:ind w:left="1701" w:right="1417"/>
      </w:pPr>
      <w:proofErr w:type="spellStart"/>
      <w:r>
        <w:t>We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stress the attention of experts on 2 (</w:t>
      </w:r>
      <w:proofErr w:type="spellStart"/>
      <w:r>
        <w:t>two</w:t>
      </w:r>
      <w:proofErr w:type="spellEnd"/>
      <w:r>
        <w:t xml:space="preserve">) issues </w:t>
      </w:r>
      <w:proofErr w:type="spellStart"/>
      <w:r>
        <w:t>highlighted</w:t>
      </w:r>
      <w:proofErr w:type="spellEnd"/>
      <w:r>
        <w:t xml:space="preserve"> in the document, as </w:t>
      </w:r>
      <w:proofErr w:type="spellStart"/>
      <w:r>
        <w:t>follows</w:t>
      </w:r>
      <w:proofErr w:type="spellEnd"/>
      <w:r>
        <w:t>:</w:t>
      </w:r>
    </w:p>
    <w:p w14:paraId="7FA9E8BC" w14:textId="49F60ADA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First, for the IAEA </w:t>
      </w:r>
      <w:proofErr w:type="spellStart"/>
      <w:r>
        <w:t>regulations</w:t>
      </w:r>
      <w:proofErr w:type="spellEnd"/>
      <w:r>
        <w:t xml:space="preserve"> - The relation of UNMR and GHS </w:t>
      </w:r>
      <w:proofErr w:type="spellStart"/>
      <w:r>
        <w:t>with</w:t>
      </w:r>
      <w:proofErr w:type="spellEnd"/>
      <w:r>
        <w:t xml:space="preserve"> IAEA </w:t>
      </w:r>
      <w:proofErr w:type="spellStart"/>
      <w:r>
        <w:t>Regulations</w:t>
      </w:r>
      <w:proofErr w:type="spellEnd"/>
      <w:r>
        <w:t xml:space="preserve"> (2018 </w:t>
      </w:r>
      <w:proofErr w:type="spellStart"/>
      <w:r>
        <w:t>edition</w:t>
      </w:r>
      <w:proofErr w:type="spellEnd"/>
      <w:r>
        <w:t xml:space="preserve">) - the </w:t>
      </w:r>
      <w:proofErr w:type="spellStart"/>
      <w:r>
        <w:t>proposal</w:t>
      </w:r>
      <w:proofErr w:type="spellEnd"/>
      <w:r>
        <w:t xml:space="preserve"> for the end of the last phrase of the </w:t>
      </w:r>
      <w:proofErr w:type="spellStart"/>
      <w:r>
        <w:t>paragraph</w:t>
      </w:r>
      <w:proofErr w:type="spellEnd"/>
      <w:r>
        <w:t xml:space="preserve"> 1.5.1.1 -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experts [of IAEA] to analyse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the </w:t>
      </w:r>
      <w:proofErr w:type="spellStart"/>
      <w:r>
        <w:t>terminology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all (</w:t>
      </w:r>
      <w:proofErr w:type="spellStart"/>
      <w:r>
        <w:t>hazard</w:t>
      </w:r>
      <w:proofErr w:type="spellEnd"/>
      <w:r>
        <w:t xml:space="preserve">) classes -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are in INF. 19 (</w:t>
      </w:r>
      <w:proofErr w:type="spellStart"/>
      <w:r>
        <w:t>march</w:t>
      </w:r>
      <w:proofErr w:type="spellEnd"/>
      <w:r>
        <w:t xml:space="preserve"> 2020 session of Joint meeting), the </w:t>
      </w:r>
      <w:proofErr w:type="spellStart"/>
      <w:r>
        <w:t>paragraph</w:t>
      </w:r>
      <w:proofErr w:type="spellEnd"/>
      <w:r>
        <w:t xml:space="preserve"> 7 c) and document 2020/44 (</w:t>
      </w:r>
      <w:proofErr w:type="spellStart"/>
      <w:r>
        <w:t>September</w:t>
      </w:r>
      <w:proofErr w:type="spellEnd"/>
      <w:r>
        <w:t xml:space="preserve"> 2020 session of the Joint meeting) – to replace </w:t>
      </w:r>
      <w:r>
        <w:rPr>
          <w:i/>
          <w:iCs/>
          <w:u w:val="single"/>
        </w:rPr>
        <w:t xml:space="preserve">radiation </w:t>
      </w:r>
      <w:proofErr w:type="spellStart"/>
      <w:r>
        <w:rPr>
          <w:i/>
          <w:iCs/>
          <w:u w:val="single"/>
        </w:rPr>
        <w:t>risk</w:t>
      </w:r>
      <w:proofErr w:type="spellEnd"/>
      <w:r>
        <w:t> by </w:t>
      </w:r>
      <w:r>
        <w:rPr>
          <w:i/>
          <w:iCs/>
          <w:u w:val="single"/>
        </w:rPr>
        <w:t xml:space="preserve">radiation </w:t>
      </w:r>
      <w:proofErr w:type="spellStart"/>
      <w:r>
        <w:rPr>
          <w:i/>
          <w:iCs/>
          <w:u w:val="single"/>
        </w:rPr>
        <w:t>hazard</w:t>
      </w:r>
      <w:proofErr w:type="spellEnd"/>
      <w:r>
        <w:t>&gt;</w:t>
      </w:r>
      <w:r w:rsidR="00340531">
        <w:t> ;</w:t>
      </w:r>
      <w:bookmarkStart w:id="0" w:name="_GoBack"/>
      <w:bookmarkEnd w:id="0"/>
    </w:p>
    <w:p w14:paraId="34526058" w14:textId="640792DE" w:rsidR="002F7349" w:rsidRDefault="002F7349" w:rsidP="00340531">
      <w:pPr>
        <w:pStyle w:val="SingleTxtG"/>
        <w:suppressAutoHyphens w:val="0"/>
        <w:spacing w:line="240" w:lineRule="auto"/>
        <w:ind w:left="2835" w:hanging="567"/>
      </w:pPr>
      <w:r>
        <w:t>-</w:t>
      </w:r>
      <w:r>
        <w:tab/>
      </w:r>
      <w:r>
        <w:t xml:space="preserve">Second, for the Explosives </w:t>
      </w:r>
      <w:proofErr w:type="spellStart"/>
      <w:r>
        <w:t>Working</w:t>
      </w:r>
      <w:proofErr w:type="spellEnd"/>
      <w:r>
        <w:t xml:space="preserve"> Group issues – </w:t>
      </w:r>
      <w:proofErr w:type="spellStart"/>
      <w:r>
        <w:t>there</w:t>
      </w:r>
      <w:proofErr w:type="spellEnd"/>
      <w:r>
        <w:t xml:space="preserve"> are 2 </w:t>
      </w:r>
      <w:proofErr w:type="spellStart"/>
      <w:r>
        <w:t>sub-paragraphs</w:t>
      </w:r>
      <w:proofErr w:type="spellEnd"/>
      <w:r>
        <w:t xml:space="preserve"> in INF.19 (7 e) – on items 36 and 37 of the table – for PP52 and PP76) and 7 g) on item 46 of the table – for </w:t>
      </w:r>
      <w:proofErr w:type="spellStart"/>
      <w:r>
        <w:t>paragraph</w:t>
      </w:r>
      <w:proofErr w:type="spellEnd"/>
      <w:r>
        <w:t xml:space="preserve"> 4.1.5.2 c)). The Hague Group </w:t>
      </w:r>
      <w:proofErr w:type="spellStart"/>
      <w:r>
        <w:t>developed</w:t>
      </w:r>
      <w:proofErr w:type="spellEnd"/>
      <w:r>
        <w:t xml:space="preserve"> 2 options on </w:t>
      </w:r>
      <w:proofErr w:type="spellStart"/>
      <w:r>
        <w:t>each</w:t>
      </w:r>
      <w:proofErr w:type="spellEnd"/>
      <w:r>
        <w:t xml:space="preserve"> case.</w:t>
      </w:r>
    </w:p>
    <w:p w14:paraId="5746E71C" w14:textId="77777777" w:rsidR="002F7349" w:rsidRPr="00340531" w:rsidRDefault="002F7349" w:rsidP="00340531">
      <w:pPr>
        <w:pStyle w:val="SingleTxtG"/>
      </w:pPr>
      <w:r w:rsidRPr="00340531">
        <w:t>4.</w:t>
      </w:r>
      <w:r w:rsidRPr="00340531">
        <w:tab/>
      </w:r>
      <w:proofErr w:type="spellStart"/>
      <w:r w:rsidRPr="00340531">
        <w:t>Please</w:t>
      </w:r>
      <w:proofErr w:type="spellEnd"/>
      <w:r w:rsidRPr="00340531">
        <w:t xml:space="preserve"> note </w:t>
      </w:r>
      <w:proofErr w:type="spellStart"/>
      <w:r w:rsidRPr="00340531">
        <w:t>that</w:t>
      </w:r>
      <w:proofErr w:type="spellEnd"/>
      <w:r w:rsidRPr="00340531">
        <w:t xml:space="preserve"> </w:t>
      </w:r>
      <w:proofErr w:type="spellStart"/>
      <w:r w:rsidRPr="00340531">
        <w:t>informal</w:t>
      </w:r>
      <w:proofErr w:type="spellEnd"/>
      <w:r w:rsidRPr="00340531">
        <w:t xml:space="preserve"> document INF.19 </w:t>
      </w:r>
      <w:proofErr w:type="spellStart"/>
      <w:r w:rsidRPr="00340531">
        <w:t>presents</w:t>
      </w:r>
      <w:proofErr w:type="spellEnd"/>
      <w:r w:rsidRPr="00340531">
        <w:t xml:space="preserve"> the </w:t>
      </w:r>
      <w:proofErr w:type="spellStart"/>
      <w:r w:rsidRPr="00340531">
        <w:t>proposals</w:t>
      </w:r>
      <w:proofErr w:type="spellEnd"/>
      <w:r w:rsidRPr="00340531">
        <w:t xml:space="preserve"> in a more expressive and </w:t>
      </w:r>
      <w:proofErr w:type="spellStart"/>
      <w:r w:rsidRPr="00340531">
        <w:t>colourful</w:t>
      </w:r>
      <w:proofErr w:type="spellEnd"/>
      <w:r w:rsidRPr="00340531">
        <w:t xml:space="preserve"> </w:t>
      </w:r>
      <w:proofErr w:type="spellStart"/>
      <w:r w:rsidRPr="00340531">
        <w:t>way</w:t>
      </w:r>
      <w:proofErr w:type="spellEnd"/>
      <w:r w:rsidRPr="00340531">
        <w:t xml:space="preserve">, </w:t>
      </w:r>
      <w:proofErr w:type="spellStart"/>
      <w:r w:rsidRPr="00340531">
        <w:t>which</w:t>
      </w:r>
      <w:proofErr w:type="spellEnd"/>
      <w:r w:rsidRPr="00340531">
        <w:t xml:space="preserve"> can </w:t>
      </w:r>
      <w:proofErr w:type="spellStart"/>
      <w:r w:rsidRPr="00340531">
        <w:t>be</w:t>
      </w:r>
      <w:proofErr w:type="spellEnd"/>
      <w:r w:rsidRPr="00340531">
        <w:t xml:space="preserve"> </w:t>
      </w:r>
      <w:proofErr w:type="spellStart"/>
      <w:r w:rsidRPr="00340531">
        <w:t>helpful</w:t>
      </w:r>
      <w:proofErr w:type="spellEnd"/>
      <w:r w:rsidRPr="00340531">
        <w:t xml:space="preserve"> but </w:t>
      </w:r>
      <w:proofErr w:type="spellStart"/>
      <w:r w:rsidRPr="00340531">
        <w:t>without</w:t>
      </w:r>
      <w:proofErr w:type="spellEnd"/>
      <w:r w:rsidRPr="00340531">
        <w:t xml:space="preserve"> the </w:t>
      </w:r>
      <w:proofErr w:type="spellStart"/>
      <w:r w:rsidRPr="00340531">
        <w:t>above</w:t>
      </w:r>
      <w:proofErr w:type="spellEnd"/>
      <w:r w:rsidRPr="00340531">
        <w:t xml:space="preserve"> </w:t>
      </w:r>
      <w:proofErr w:type="spellStart"/>
      <w:r w:rsidRPr="00340531">
        <w:t>comments</w:t>
      </w:r>
      <w:proofErr w:type="spellEnd"/>
      <w:r w:rsidRPr="00340531">
        <w:t>!</w:t>
      </w:r>
    </w:p>
    <w:p w14:paraId="561D0087" w14:textId="77777777" w:rsidR="002F7349" w:rsidRPr="00340531" w:rsidRDefault="002F7349" w:rsidP="00340531">
      <w:pPr>
        <w:pStyle w:val="SingleTxtG"/>
      </w:pPr>
      <w:r w:rsidRPr="00340531">
        <w:t>5.</w:t>
      </w:r>
      <w:r w:rsidRPr="00340531">
        <w:tab/>
        <w:t xml:space="preserve">New </w:t>
      </w:r>
      <w:proofErr w:type="spellStart"/>
      <w:r w:rsidRPr="00340531">
        <w:t>comments</w:t>
      </w:r>
      <w:proofErr w:type="spellEnd"/>
      <w:r w:rsidRPr="00340531">
        <w:t xml:space="preserve"> are </w:t>
      </w:r>
      <w:proofErr w:type="spellStart"/>
      <w:r w:rsidRPr="00340531">
        <w:t>welcome</w:t>
      </w:r>
      <w:proofErr w:type="spellEnd"/>
      <w:r w:rsidRPr="00340531">
        <w:t xml:space="preserve"> on </w:t>
      </w:r>
      <w:proofErr w:type="spellStart"/>
      <w:r w:rsidRPr="00340531">
        <w:t>paragraphs</w:t>
      </w:r>
      <w:proofErr w:type="spellEnd"/>
      <w:r w:rsidRPr="00340531">
        <w:t xml:space="preserve"> </w:t>
      </w:r>
      <w:proofErr w:type="spellStart"/>
      <w:r w:rsidRPr="00340531">
        <w:t>that</w:t>
      </w:r>
      <w:proofErr w:type="spellEnd"/>
      <w:r w:rsidRPr="00340531">
        <w:t xml:space="preserve"> have more options (</w:t>
      </w:r>
      <w:proofErr w:type="spellStart"/>
      <w:r w:rsidRPr="00340531">
        <w:t>proposal</w:t>
      </w:r>
      <w:proofErr w:type="spellEnd"/>
      <w:r w:rsidRPr="00340531">
        <w:t xml:space="preserve"> in French) or </w:t>
      </w:r>
      <w:proofErr w:type="spellStart"/>
      <w:r w:rsidRPr="00340531">
        <w:t>where</w:t>
      </w:r>
      <w:proofErr w:type="spellEnd"/>
      <w:r w:rsidRPr="00340531">
        <w:t xml:space="preserve"> "</w:t>
      </w:r>
      <w:proofErr w:type="spellStart"/>
      <w:r w:rsidRPr="00340531">
        <w:t>See</w:t>
      </w:r>
      <w:proofErr w:type="spellEnd"/>
      <w:r w:rsidRPr="00340531">
        <w:t xml:space="preserve"> </w:t>
      </w:r>
      <w:proofErr w:type="spellStart"/>
      <w:r w:rsidRPr="00340531">
        <w:t>also</w:t>
      </w:r>
      <w:proofErr w:type="spellEnd"/>
      <w:r w:rsidRPr="00340531">
        <w:t xml:space="preserve"> </w:t>
      </w:r>
      <w:proofErr w:type="spellStart"/>
      <w:r w:rsidRPr="00340531">
        <w:t>paragraph</w:t>
      </w:r>
      <w:proofErr w:type="spellEnd"/>
      <w:r w:rsidRPr="00340531">
        <w:t xml:space="preserve"> 7 (c </w:t>
      </w:r>
      <w:proofErr w:type="spellStart"/>
      <w:r w:rsidRPr="00340531">
        <w:t>or</w:t>
      </w:r>
      <w:proofErr w:type="spellEnd"/>
      <w:r w:rsidRPr="00340531">
        <w:t xml:space="preserve"> </w:t>
      </w:r>
      <w:proofErr w:type="spellStart"/>
      <w:r w:rsidRPr="00340531">
        <w:t>d or</w:t>
      </w:r>
      <w:proofErr w:type="spellEnd"/>
      <w:r w:rsidRPr="00340531">
        <w:t xml:space="preserve"> .... h) of INF.19 </w:t>
      </w:r>
      <w:proofErr w:type="spellStart"/>
      <w:r w:rsidRPr="00340531">
        <w:t>mentioned</w:t>
      </w:r>
      <w:proofErr w:type="spellEnd"/>
      <w:r w:rsidRPr="00340531">
        <w:t xml:space="preserve"> </w:t>
      </w:r>
      <w:proofErr w:type="spellStart"/>
      <w:r w:rsidRPr="00340531">
        <w:t>above</w:t>
      </w:r>
      <w:proofErr w:type="spellEnd"/>
      <w:r w:rsidRPr="00340531">
        <w:t xml:space="preserve">" or "Voir le paragraphe 7 (a ... i) de l'INF.19 mentionné ci-dessus" </w:t>
      </w:r>
      <w:proofErr w:type="spellStart"/>
      <w:r w:rsidRPr="00340531">
        <w:t>appears</w:t>
      </w:r>
      <w:proofErr w:type="spellEnd"/>
      <w:r w:rsidRPr="00340531">
        <w:t xml:space="preserve">. </w:t>
      </w:r>
    </w:p>
    <w:p w14:paraId="31AA0F57" w14:textId="77777777" w:rsidR="002F7349" w:rsidRDefault="002F7349" w:rsidP="00340531">
      <w:pPr>
        <w:pStyle w:val="SingleTxtG"/>
      </w:pPr>
      <w:r w:rsidRPr="00340531">
        <w:t>6.</w:t>
      </w:r>
      <w:r w:rsidRPr="00340531">
        <w:tab/>
        <w:t xml:space="preserve">Our intention </w:t>
      </w:r>
      <w:proofErr w:type="spellStart"/>
      <w:r w:rsidRPr="00340531">
        <w:t>is</w:t>
      </w:r>
      <w:proofErr w:type="spellEnd"/>
      <w:r w:rsidRPr="00340531">
        <w:t xml:space="preserve"> to </w:t>
      </w:r>
      <w:proofErr w:type="spellStart"/>
      <w:r w:rsidRPr="00340531">
        <w:t>prepare</w:t>
      </w:r>
      <w:proofErr w:type="spellEnd"/>
      <w:r w:rsidRPr="00340531">
        <w:t xml:space="preserve">, by the end of </w:t>
      </w:r>
      <w:proofErr w:type="spellStart"/>
      <w:r w:rsidRPr="00340531">
        <w:t>September</w:t>
      </w:r>
      <w:proofErr w:type="spellEnd"/>
      <w:r w:rsidRPr="00340531">
        <w:t xml:space="preserve">, an </w:t>
      </w:r>
      <w:proofErr w:type="spellStart"/>
      <w:r w:rsidRPr="00340531">
        <w:t>informal</w:t>
      </w:r>
      <w:proofErr w:type="spellEnd"/>
      <w:r w:rsidRPr="00340531">
        <w:t xml:space="preserve"> document </w:t>
      </w:r>
      <w:proofErr w:type="spellStart"/>
      <w:r w:rsidRPr="00340531">
        <w:t>with</w:t>
      </w:r>
      <w:proofErr w:type="spellEnd"/>
      <w:r w:rsidRPr="00340531">
        <w:t xml:space="preserve"> the optimal </w:t>
      </w:r>
      <w:proofErr w:type="spellStart"/>
      <w:r w:rsidRPr="00340531">
        <w:t>proposals</w:t>
      </w:r>
      <w:proofErr w:type="spellEnd"/>
      <w:r w:rsidRPr="00340531">
        <w:t xml:space="preserve"> for the </w:t>
      </w:r>
      <w:proofErr w:type="spellStart"/>
      <w:r w:rsidRPr="00340531">
        <w:t>December</w:t>
      </w:r>
      <w:proofErr w:type="spellEnd"/>
      <w:r w:rsidRPr="00340531">
        <w:t xml:space="preserve"> session of UNSCETDG, </w:t>
      </w:r>
      <w:proofErr w:type="spellStart"/>
      <w:r w:rsidRPr="00340531">
        <w:t>which</w:t>
      </w:r>
      <w:proofErr w:type="spellEnd"/>
      <w:r w:rsidRPr="00340531">
        <w:t xml:space="preserve"> </w:t>
      </w:r>
      <w:proofErr w:type="spellStart"/>
      <w:r w:rsidRPr="00340531">
        <w:t>is</w:t>
      </w:r>
      <w:proofErr w:type="spellEnd"/>
      <w:r w:rsidRPr="00340531">
        <w:t xml:space="preserve"> </w:t>
      </w:r>
      <w:proofErr w:type="spellStart"/>
      <w:r w:rsidRPr="00340531">
        <w:t>why</w:t>
      </w:r>
      <w:proofErr w:type="spellEnd"/>
      <w:r w:rsidRPr="00340531">
        <w:t xml:space="preserve"> </w:t>
      </w:r>
      <w:proofErr w:type="spellStart"/>
      <w:r w:rsidRPr="00340531">
        <w:t>we</w:t>
      </w:r>
      <w:proofErr w:type="spellEnd"/>
      <w:r w:rsidRPr="00340531">
        <w:t xml:space="preserve"> </w:t>
      </w:r>
      <w:proofErr w:type="spellStart"/>
      <w:r w:rsidRPr="00340531">
        <w:t>consider</w:t>
      </w:r>
      <w:proofErr w:type="spellEnd"/>
      <w:r w:rsidRPr="00340531">
        <w:t xml:space="preserve"> the contribution of</w:t>
      </w:r>
      <w:r>
        <w:t xml:space="preserve"> the Joint Meeting </w:t>
      </w:r>
      <w:proofErr w:type="spellStart"/>
      <w:r>
        <w:t>very</w:t>
      </w:r>
      <w:proofErr w:type="spellEnd"/>
      <w:r>
        <w:t xml:space="preserve"> important!</w:t>
      </w:r>
    </w:p>
    <w:p w14:paraId="27C5D4C7" w14:textId="679966F2" w:rsidR="00C464E7" w:rsidRPr="00C464E7" w:rsidRDefault="002F7349" w:rsidP="003405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C464E7">
        <w:rPr>
          <w:u w:val="single"/>
        </w:rPr>
        <w:tab/>
      </w:r>
      <w:r w:rsidR="00C464E7">
        <w:rPr>
          <w:u w:val="single"/>
        </w:rPr>
        <w:tab/>
      </w:r>
      <w:r w:rsidR="00C464E7">
        <w:rPr>
          <w:u w:val="single"/>
        </w:rPr>
        <w:tab/>
      </w:r>
    </w:p>
    <w:sectPr w:rsidR="00C464E7" w:rsidRPr="00C464E7" w:rsidSect="00465E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63B" w14:textId="77777777" w:rsidR="00CF4AA4" w:rsidRDefault="00CF4AA4"/>
  </w:endnote>
  <w:endnote w:type="continuationSeparator" w:id="0">
    <w:p w14:paraId="0CE0336B" w14:textId="77777777" w:rsidR="00CF4AA4" w:rsidRDefault="00CF4AA4"/>
  </w:endnote>
  <w:endnote w:type="continuationNotice" w:id="1">
    <w:p w14:paraId="6857F109" w14:textId="77777777"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2991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F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201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0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15AB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92AF" w14:textId="77777777"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D629E" w14:textId="77777777"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D9255" w14:textId="77777777"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A3D" w14:textId="6984A98A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D46E84">
      <w:rPr>
        <w:sz w:val="24"/>
        <w:szCs w:val="24"/>
      </w:rPr>
      <w:t>3</w:t>
    </w:r>
    <w:r w:rsidR="002F7349">
      <w:rPr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44C" w14:textId="7B27115C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46E84">
      <w:rPr>
        <w:sz w:val="24"/>
        <w:szCs w:val="24"/>
      </w:rPr>
      <w:t>3</w:t>
    </w:r>
    <w:r w:rsidR="00597238">
      <w:rPr>
        <w:sz w:val="24"/>
        <w:szCs w:val="24"/>
      </w:rPr>
      <w:t>9</w:t>
    </w:r>
  </w:p>
  <w:p w14:paraId="1BC8FC9F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189" w14:textId="77777777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14:paraId="4F4B5037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91C0C"/>
    <w:multiLevelType w:val="hybridMultilevel"/>
    <w:tmpl w:val="78D61A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E9702D"/>
    <w:multiLevelType w:val="multilevel"/>
    <w:tmpl w:val="BD3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)"/>
      <w:lvlJc w:val="left"/>
      <w:pPr>
        <w:ind w:left="3945" w:hanging="705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6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543C72"/>
    <w:multiLevelType w:val="hybridMultilevel"/>
    <w:tmpl w:val="D9A8A95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4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6"/>
  </w:num>
  <w:num w:numId="12">
    <w:abstractNumId w:val="20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8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1401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2F7349"/>
    <w:rsid w:val="003007E7"/>
    <w:rsid w:val="00301764"/>
    <w:rsid w:val="00302B3E"/>
    <w:rsid w:val="003174A5"/>
    <w:rsid w:val="003203DD"/>
    <w:rsid w:val="0032115C"/>
    <w:rsid w:val="003229D8"/>
    <w:rsid w:val="00323AD2"/>
    <w:rsid w:val="00334442"/>
    <w:rsid w:val="00336C97"/>
    <w:rsid w:val="00337D65"/>
    <w:rsid w:val="00337F88"/>
    <w:rsid w:val="00340531"/>
    <w:rsid w:val="00342432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50F6"/>
    <w:rsid w:val="00586B0A"/>
    <w:rsid w:val="00590E8A"/>
    <w:rsid w:val="00595520"/>
    <w:rsid w:val="00597238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5EC"/>
    <w:rsid w:val="008B389E"/>
    <w:rsid w:val="008B3CEB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A43B9"/>
    <w:rsid w:val="00FC03CD"/>
    <w:rsid w:val="00FC0646"/>
    <w:rsid w:val="00FC0826"/>
    <w:rsid w:val="00FC68B7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349DA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uiPriority w:val="99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~dgd_belgium_tdg-ghs" TargetMode="External"/><Relationship Id="rId13" Type="http://schemas.openxmlformats.org/officeDocument/2006/relationships/hyperlink" Target="https://wiki.unece.org/display/~dgd_romania_td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iki.unece.org/display/~dgd_netherlands_td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nece.org/display/~dgd_canada_t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iki.unece.org/display/~dgd_canada_td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~dgd_spain_t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A5E4-53B5-4876-BF32-20E34D2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4</cp:revision>
  <cp:lastPrinted>2014-06-18T09:27:00Z</cp:lastPrinted>
  <dcterms:created xsi:type="dcterms:W3CDTF">2020-06-03T12:23:00Z</dcterms:created>
  <dcterms:modified xsi:type="dcterms:W3CDTF">2020-07-02T10:37:00Z</dcterms:modified>
</cp:coreProperties>
</file>