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C12A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BBE209B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37F5A490" w14:textId="32112857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797219">
        <w:rPr>
          <w:b/>
        </w:rPr>
        <w:t>1</w:t>
      </w:r>
      <w:r w:rsidR="00D33E29">
        <w:rPr>
          <w:b/>
        </w:rPr>
        <w:t>5</w:t>
      </w:r>
      <w:r w:rsidR="00C03A88">
        <w:rPr>
          <w:b/>
        </w:rPr>
        <w:t xml:space="preserve"> </w:t>
      </w:r>
      <w:r w:rsidR="00813D9B">
        <w:rPr>
          <w:b/>
        </w:rPr>
        <w:t>September</w:t>
      </w:r>
      <w:r w:rsidR="00FA3269">
        <w:rPr>
          <w:b/>
        </w:rPr>
        <w:t xml:space="preserve"> 20</w:t>
      </w:r>
      <w:r w:rsidR="00813D9B">
        <w:rPr>
          <w:b/>
        </w:rPr>
        <w:t>20</w:t>
      </w:r>
    </w:p>
    <w:p w14:paraId="65B70260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38E30374" w14:textId="31C20767" w:rsidR="006643C6" w:rsidRPr="00AD79E9" w:rsidRDefault="00813D9B" w:rsidP="00186269">
      <w:pPr>
        <w:rPr>
          <w:b/>
          <w:bCs/>
        </w:rPr>
      </w:pPr>
      <w:r>
        <w:t>Bern, 10–11 September and Geneva, 14–18 September 2020</w:t>
      </w:r>
      <w:r w:rsidR="00215A1B" w:rsidRPr="00560572">
        <w:br/>
      </w:r>
      <w:r w:rsidR="00186269">
        <w:t>Item 5 (b) of the provisional agenda</w:t>
      </w:r>
      <w:r w:rsidR="00186269">
        <w:br/>
      </w:r>
      <w:r w:rsidR="00186269">
        <w:rPr>
          <w:b/>
          <w:bCs/>
        </w:rPr>
        <w:t xml:space="preserve">Proposals for amendments to RID/ADR/ADN: </w:t>
      </w:r>
      <w:r w:rsidR="00186269">
        <w:rPr>
          <w:b/>
          <w:bCs/>
        </w:rPr>
        <w:br/>
      </w:r>
      <w:r w:rsidR="000057C0">
        <w:rPr>
          <w:b/>
          <w:bCs/>
        </w:rPr>
        <w:t>n</w:t>
      </w:r>
      <w:bookmarkStart w:id="0" w:name="_GoBack"/>
      <w:bookmarkEnd w:id="0"/>
      <w:r w:rsidR="00186269">
        <w:rPr>
          <w:b/>
          <w:bCs/>
        </w:rPr>
        <w:t>ew proposals</w:t>
      </w:r>
    </w:p>
    <w:p w14:paraId="14AA0281" w14:textId="66407D4C" w:rsidR="00186269" w:rsidRDefault="000057C0" w:rsidP="000057C0">
      <w:pPr>
        <w:pStyle w:val="HChG"/>
      </w:pPr>
      <w:r>
        <w:tab/>
      </w:r>
      <w:r>
        <w:tab/>
      </w:r>
      <w:r w:rsidR="00573D38" w:rsidRPr="004A40EB">
        <w:t>Orange-coloured plate marking of wagons and vehicles carrying small bulk containers</w:t>
      </w:r>
      <w:r w:rsidR="00573D38">
        <w:t xml:space="preserve">, </w:t>
      </w:r>
      <w:r w:rsidR="00573D38" w:rsidRPr="004A40EB">
        <w:t xml:space="preserve">tanks or </w:t>
      </w:r>
      <w:r w:rsidR="00573D38">
        <w:t>MEGC</w:t>
      </w:r>
    </w:p>
    <w:p w14:paraId="6FB0C551" w14:textId="35F643A7" w:rsidR="00797219" w:rsidRPr="002E0A2B" w:rsidRDefault="000057C0" w:rsidP="000057C0">
      <w:pPr>
        <w:pStyle w:val="H1G"/>
        <w:rPr>
          <w:lang w:val="en-US"/>
        </w:rPr>
      </w:pPr>
      <w:r>
        <w:tab/>
      </w:r>
      <w:r>
        <w:tab/>
      </w:r>
      <w:r w:rsidR="00186269" w:rsidRPr="002E0A2B">
        <w:t>Revised p</w:t>
      </w:r>
      <w:r w:rsidR="00186269" w:rsidRPr="002E0A2B">
        <w:rPr>
          <w:szCs w:val="28"/>
        </w:rPr>
        <w:t>roposal</w:t>
      </w:r>
      <w:r w:rsidR="00186269" w:rsidRPr="002E0A2B">
        <w:t xml:space="preserve"> of d</w:t>
      </w:r>
      <w:r w:rsidR="00D33E29" w:rsidRPr="002E0A2B">
        <w:rPr>
          <w:szCs w:val="28"/>
        </w:rPr>
        <w:t xml:space="preserve">ocument </w:t>
      </w:r>
      <w:r w:rsidR="00D33E29" w:rsidRPr="002E0A2B">
        <w:t>ECE/TRANS/WP.15/AC.1/2020/64</w:t>
      </w:r>
    </w:p>
    <w:p w14:paraId="4DCCCECB" w14:textId="433BF928" w:rsidR="00D03EBA" w:rsidRDefault="000057C0" w:rsidP="000057C0">
      <w:pPr>
        <w:pStyle w:val="H1G"/>
      </w:pPr>
      <w:r>
        <w:tab/>
      </w:r>
      <w:r>
        <w:tab/>
      </w:r>
      <w:r w:rsidR="00186269" w:rsidRPr="00186269">
        <w:t xml:space="preserve">Transmitted by the Government of </w:t>
      </w:r>
      <w:r w:rsidR="00186269">
        <w:t>Switzerland</w:t>
      </w:r>
    </w:p>
    <w:p w14:paraId="4EADFDA7" w14:textId="7FDE3029" w:rsidR="007A6660" w:rsidRDefault="008604B2" w:rsidP="000057C0">
      <w:pPr>
        <w:pStyle w:val="SingleTxtG"/>
      </w:pPr>
      <w:r>
        <w:t xml:space="preserve">Amend the note in </w:t>
      </w:r>
      <w:r w:rsidR="00697EAA">
        <w:t>5.3.2.1.</w:t>
      </w:r>
      <w:r w:rsidR="001900CF">
        <w:t>5</w:t>
      </w:r>
      <w:r w:rsidR="00697EAA">
        <w:t xml:space="preserve"> </w:t>
      </w:r>
      <w:r>
        <w:t>to read as follows (new text in bold, underlined and deleted text in bold, strikethrough):</w:t>
      </w:r>
    </w:p>
    <w:p w14:paraId="46F51FA3" w14:textId="6ED2437A" w:rsidR="007A6660" w:rsidRPr="007A6660" w:rsidRDefault="000057C0" w:rsidP="007A6660">
      <w:pPr>
        <w:pStyle w:val="SingleTxtG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A6660" w:rsidRPr="007A6660">
        <w:rPr>
          <w:b/>
          <w:sz w:val="24"/>
          <w:szCs w:val="24"/>
        </w:rPr>
        <w:t>English</w:t>
      </w:r>
    </w:p>
    <w:p w14:paraId="5152D8E6" w14:textId="13739842" w:rsidR="00697EAA" w:rsidRPr="00697EAA" w:rsidRDefault="000057C0" w:rsidP="007A6660">
      <w:pPr>
        <w:pStyle w:val="SingleTxtG"/>
        <w:ind w:left="567"/>
        <w:rPr>
          <w:b/>
        </w:rPr>
      </w:pPr>
      <w:r>
        <w:rPr>
          <w:b/>
        </w:rPr>
        <w:tab/>
      </w:r>
      <w:r w:rsidR="00697EAA" w:rsidRPr="00697EAA">
        <w:rPr>
          <w:b/>
        </w:rPr>
        <w:t>RID</w:t>
      </w:r>
    </w:p>
    <w:p w14:paraId="097C1A84" w14:textId="59C8AFBD" w:rsidR="00697EAA" w:rsidRDefault="00FF1211" w:rsidP="000057C0">
      <w:pPr>
        <w:pStyle w:val="SingleTxtG"/>
      </w:pPr>
      <w:r>
        <w:t>5.3.2.1.5</w:t>
      </w:r>
      <w:r>
        <w:tab/>
      </w:r>
      <w:r w:rsidR="00697EAA" w:rsidRPr="00697EAA">
        <w:t>If the orange-coloured plates prescribed in 5.3.2.1.1 affixed to the containers, bulk containers, tank-</w:t>
      </w:r>
      <w:r w:rsidR="00F56778">
        <w:t>contain</w:t>
      </w:r>
      <w:r w:rsidR="00697EAA" w:rsidRPr="00697EAA">
        <w:t xml:space="preserve">ers, MEGCs or portable tanks are not clearly visible from outside the carrying wagon, the same plates shall also be affixed to both sides of the wagon. </w:t>
      </w:r>
    </w:p>
    <w:p w14:paraId="33C64202" w14:textId="332B43BF" w:rsidR="008604B2" w:rsidRDefault="008604B2" w:rsidP="000057C0">
      <w:pPr>
        <w:pStyle w:val="SingleTxtG"/>
      </w:pPr>
      <w:r>
        <w:t>“</w:t>
      </w:r>
      <w:r>
        <w:rPr>
          <w:b/>
          <w:bCs/>
        </w:rPr>
        <w:t>NOTE:</w:t>
      </w:r>
      <w:r>
        <w:t xml:space="preserve"> This paragraph need not be applied to </w:t>
      </w:r>
      <w:r w:rsidR="00F56778" w:rsidRPr="00F56778">
        <w:rPr>
          <w:b/>
          <w:u w:val="single"/>
        </w:rPr>
        <w:t xml:space="preserve">the </w:t>
      </w:r>
      <w:r w:rsidR="001900CF">
        <w:rPr>
          <w:b/>
          <w:u w:val="single"/>
        </w:rPr>
        <w:t>carriage in</w:t>
      </w:r>
      <w:r w:rsidR="00F56778" w:rsidRPr="00F56778">
        <w:rPr>
          <w:b/>
          <w:u w:val="single"/>
        </w:rPr>
        <w:t xml:space="preserve"> bulk containers, tanks and MEGCs </w:t>
      </w:r>
      <w:r w:rsidRPr="001900CF">
        <w:rPr>
          <w:b/>
          <w:strike/>
        </w:rPr>
        <w:t xml:space="preserve">the marking with orange coloured plates of </w:t>
      </w:r>
      <w:r w:rsidRPr="001900CF">
        <w:rPr>
          <w:b/>
          <w:bCs/>
          <w:strike/>
        </w:rPr>
        <w:t>closed and sheeted</w:t>
      </w:r>
      <w:r w:rsidR="00697EAA" w:rsidRPr="001900CF">
        <w:rPr>
          <w:b/>
          <w:strike/>
        </w:rPr>
        <w:t xml:space="preserve"> wagons,</w:t>
      </w:r>
      <w:r w:rsidRPr="001900CF">
        <w:rPr>
          <w:b/>
          <w:strike/>
        </w:rPr>
        <w:t xml:space="preserve"> carrying tanks</w:t>
      </w:r>
      <w:r>
        <w:t xml:space="preserve"> with a maximum capacity of 3,000 litres.”</w:t>
      </w:r>
    </w:p>
    <w:p w14:paraId="720CBFCE" w14:textId="6E5D8833" w:rsidR="00697EAA" w:rsidRPr="00697EAA" w:rsidRDefault="00697EAA" w:rsidP="000057C0">
      <w:pPr>
        <w:pStyle w:val="SingleTxtG"/>
        <w:rPr>
          <w:b/>
        </w:rPr>
      </w:pPr>
      <w:r w:rsidRPr="00697EAA">
        <w:rPr>
          <w:b/>
        </w:rPr>
        <w:t>ADR</w:t>
      </w:r>
    </w:p>
    <w:p w14:paraId="12045880" w14:textId="50C2C7C1" w:rsidR="00F56778" w:rsidRDefault="00F56778" w:rsidP="000057C0">
      <w:pPr>
        <w:pStyle w:val="SingleTxtG"/>
      </w:pPr>
      <w:r>
        <w:t>5.3.2.1.5</w:t>
      </w:r>
      <w:r w:rsidR="00FF1211">
        <w:tab/>
      </w:r>
      <w:r w:rsidRPr="00E536CD">
        <w:t>If the orange-coloured plates prescribed in 5.3.2.1.2 and 5.3.2.1.4 affixed to the containers,</w:t>
      </w:r>
      <w:r>
        <w:t xml:space="preserve"> bulk containers,</w:t>
      </w:r>
      <w:r w:rsidRPr="00E536CD">
        <w:t xml:space="preserve"> tank</w:t>
      </w:r>
      <w:r w:rsidRPr="00E536CD">
        <w:noBreakHyphen/>
        <w:t>containers, MEGCs or portable tanks are not clearly visible from outside the carrying vehicle, the same plates shall also be affixed to both sides of the vehicle.</w:t>
      </w:r>
    </w:p>
    <w:p w14:paraId="153EFD13" w14:textId="51A5F83B" w:rsidR="00697EAA" w:rsidRPr="001900CF" w:rsidRDefault="00697EAA" w:rsidP="000057C0">
      <w:pPr>
        <w:pStyle w:val="SingleTxtG"/>
      </w:pPr>
      <w:r w:rsidRPr="001900CF">
        <w:rPr>
          <w:b/>
          <w:bCs/>
        </w:rPr>
        <w:t>NOTE:</w:t>
      </w:r>
      <w:r w:rsidRPr="001900CF">
        <w:t xml:space="preserve"> </w:t>
      </w:r>
      <w:r w:rsidR="00F56778" w:rsidRPr="001900CF">
        <w:rPr>
          <w:bCs/>
          <w:iCs/>
        </w:rPr>
        <w:t>This paragraph need not be applied</w:t>
      </w:r>
      <w:r w:rsidR="007A6660">
        <w:rPr>
          <w:bCs/>
          <w:iCs/>
        </w:rPr>
        <w:t xml:space="preserve"> </w:t>
      </w:r>
      <w:r w:rsidR="007A6660">
        <w:t>to</w:t>
      </w:r>
      <w:r w:rsidR="00F56778" w:rsidRPr="001900CF">
        <w:rPr>
          <w:bCs/>
          <w:iCs/>
        </w:rPr>
        <w:t xml:space="preserve"> </w:t>
      </w:r>
      <w:r w:rsidR="001900CF" w:rsidRPr="00F56778">
        <w:rPr>
          <w:b/>
          <w:u w:val="single"/>
        </w:rPr>
        <w:t xml:space="preserve">the </w:t>
      </w:r>
      <w:r w:rsidR="001900CF">
        <w:rPr>
          <w:b/>
          <w:u w:val="single"/>
        </w:rPr>
        <w:t>carriage in</w:t>
      </w:r>
      <w:r w:rsidR="001900CF" w:rsidRPr="00F56778">
        <w:rPr>
          <w:b/>
          <w:u w:val="single"/>
        </w:rPr>
        <w:t xml:space="preserve"> bulk containers, tanks and MEGCs </w:t>
      </w:r>
      <w:r w:rsidR="00F56778" w:rsidRPr="001900CF">
        <w:rPr>
          <w:b/>
          <w:bCs/>
          <w:iCs/>
          <w:strike/>
        </w:rPr>
        <w:t>the marking with orange coloured plates of closed and sheeted vehicles, carrying tanks</w:t>
      </w:r>
      <w:r w:rsidR="00F56778" w:rsidRPr="001900CF">
        <w:rPr>
          <w:bCs/>
          <w:iCs/>
        </w:rPr>
        <w:t xml:space="preserve"> with a maximum capacity of 3 000 litres.</w:t>
      </w:r>
    </w:p>
    <w:p w14:paraId="6F11A31A" w14:textId="087AA09C" w:rsidR="00FF1211" w:rsidRPr="00697EAA" w:rsidRDefault="00FF1211" w:rsidP="000057C0">
      <w:pPr>
        <w:pStyle w:val="SingleTxtG"/>
        <w:rPr>
          <w:b/>
        </w:rPr>
      </w:pPr>
      <w:r>
        <w:rPr>
          <w:b/>
        </w:rPr>
        <w:t>ADN</w:t>
      </w:r>
    </w:p>
    <w:p w14:paraId="55C8BA85" w14:textId="027AF9F7" w:rsidR="007A6660" w:rsidRDefault="00FF1211" w:rsidP="000057C0">
      <w:pPr>
        <w:pStyle w:val="SingleTxtG"/>
      </w:pPr>
      <w:r>
        <w:t>5.3.2.1.5</w:t>
      </w:r>
      <w:r w:rsidR="007A6660">
        <w:tab/>
      </w:r>
      <w:r w:rsidR="007A6660" w:rsidRPr="00E536CD">
        <w:t>If the orange-coloured plates prescribed in 5.3.2.1.2 and 5.3.2.1.4 affixed to the containers,</w:t>
      </w:r>
      <w:r w:rsidR="007A6660">
        <w:t xml:space="preserve"> bulk containers,</w:t>
      </w:r>
      <w:r w:rsidR="007A6660" w:rsidRPr="00E536CD">
        <w:t xml:space="preserve"> tank</w:t>
      </w:r>
      <w:r w:rsidR="007A6660" w:rsidRPr="00E536CD">
        <w:noBreakHyphen/>
        <w:t>containers, MEGCs or portable tanks are not clearly visible from outside the carrying vehicle</w:t>
      </w:r>
      <w:r w:rsidR="007A6660">
        <w:t xml:space="preserve"> or wagon</w:t>
      </w:r>
      <w:r w:rsidR="007A6660" w:rsidRPr="00E536CD">
        <w:t>, the same plates shall also be affix</w:t>
      </w:r>
      <w:r w:rsidR="007A6660">
        <w:t>ed to both sides of the vehicle or wagon.</w:t>
      </w:r>
    </w:p>
    <w:p w14:paraId="21370095" w14:textId="1E865DB8" w:rsidR="003C3BB9" w:rsidRPr="003C3BB9" w:rsidRDefault="007A6660" w:rsidP="000057C0">
      <w:pPr>
        <w:pStyle w:val="SingleTxtG"/>
      </w:pPr>
      <w:r w:rsidRPr="001900CF">
        <w:rPr>
          <w:b/>
          <w:bCs/>
        </w:rPr>
        <w:t>NOTE:</w:t>
      </w:r>
      <w:r w:rsidRPr="001900CF">
        <w:t xml:space="preserve"> </w:t>
      </w:r>
      <w:r w:rsidRPr="001900CF">
        <w:rPr>
          <w:bCs/>
          <w:iCs/>
        </w:rPr>
        <w:t xml:space="preserve">This paragraph need not be applied </w:t>
      </w:r>
      <w:r>
        <w:t>to</w:t>
      </w:r>
      <w:r w:rsidRPr="00F56778">
        <w:rPr>
          <w:b/>
          <w:u w:val="single"/>
        </w:rPr>
        <w:t xml:space="preserve"> </w:t>
      </w:r>
      <w:r w:rsidRPr="002E0A2B">
        <w:rPr>
          <w:b/>
          <w:u w:val="single"/>
        </w:rPr>
        <w:t xml:space="preserve">the carriage in bulk containers, tanks and MEGCs </w:t>
      </w:r>
      <w:r w:rsidRPr="002E0A2B">
        <w:rPr>
          <w:b/>
          <w:bCs/>
          <w:iCs/>
          <w:strike/>
        </w:rPr>
        <w:t xml:space="preserve">the marking with orange coloured plates of closed and sheeted </w:t>
      </w:r>
      <w:r w:rsidR="002E0A2B" w:rsidRPr="002E0A2B">
        <w:rPr>
          <w:b/>
          <w:bCs/>
          <w:iCs/>
          <w:strike/>
        </w:rPr>
        <w:t xml:space="preserve">wagons or </w:t>
      </w:r>
      <w:r w:rsidRPr="002E0A2B">
        <w:rPr>
          <w:b/>
          <w:bCs/>
          <w:iCs/>
          <w:strike/>
        </w:rPr>
        <w:t>vehicles, carrying tanks</w:t>
      </w:r>
      <w:r w:rsidRPr="002E0A2B">
        <w:rPr>
          <w:bCs/>
          <w:iCs/>
        </w:rPr>
        <w:t xml:space="preserve"> with a maximum capacity of 3 000 litres.</w:t>
      </w:r>
    </w:p>
    <w:p w14:paraId="7C8667E4" w14:textId="77777777" w:rsidR="003C3BB9" w:rsidRDefault="003C3BB9" w:rsidP="00824E05">
      <w:pPr>
        <w:pStyle w:val="SingleTxtG"/>
        <w:ind w:left="567"/>
        <w:rPr>
          <w:b/>
          <w:sz w:val="24"/>
          <w:szCs w:val="24"/>
        </w:rPr>
      </w:pPr>
    </w:p>
    <w:p w14:paraId="13B87A7A" w14:textId="18D69E5F" w:rsidR="00D03EBA" w:rsidRPr="003C3BB9" w:rsidRDefault="00824E05" w:rsidP="000057C0">
      <w:pPr>
        <w:pStyle w:val="SingleTxtG"/>
        <w:keepNext/>
        <w:keepLines/>
        <w:rPr>
          <w:b/>
          <w:sz w:val="24"/>
          <w:szCs w:val="24"/>
        </w:rPr>
      </w:pPr>
      <w:r w:rsidRPr="003C3BB9">
        <w:rPr>
          <w:b/>
          <w:sz w:val="24"/>
          <w:szCs w:val="24"/>
        </w:rPr>
        <w:lastRenderedPageBreak/>
        <w:t>Français</w:t>
      </w:r>
    </w:p>
    <w:p w14:paraId="2B3FCAAB" w14:textId="77777777" w:rsidR="00824E05" w:rsidRDefault="00824E05" w:rsidP="000057C0">
      <w:pPr>
        <w:pStyle w:val="SingleTxtG"/>
        <w:keepNext/>
        <w:keepLines/>
        <w:rPr>
          <w:b/>
          <w:lang w:val="fr-CH"/>
        </w:rPr>
      </w:pPr>
      <w:r w:rsidRPr="00824E05">
        <w:rPr>
          <w:b/>
          <w:lang w:val="fr-CH"/>
        </w:rPr>
        <w:t>RID</w:t>
      </w:r>
    </w:p>
    <w:p w14:paraId="159E8794" w14:textId="31E7A3AB" w:rsidR="00824E05" w:rsidRPr="00824E05" w:rsidRDefault="00824E05" w:rsidP="000057C0">
      <w:pPr>
        <w:pStyle w:val="SingleTxtG"/>
        <w:keepNext/>
        <w:keepLines/>
        <w:rPr>
          <w:lang w:val="fr-CH"/>
        </w:rPr>
      </w:pPr>
      <w:r w:rsidRPr="00824E05">
        <w:rPr>
          <w:lang w:val="fr-CH"/>
        </w:rPr>
        <w:t>5.3.2.1.5</w:t>
      </w:r>
      <w:r>
        <w:rPr>
          <w:lang w:val="fr-CH"/>
        </w:rPr>
        <w:tab/>
      </w:r>
      <w:r w:rsidRPr="00824E05">
        <w:rPr>
          <w:lang w:val="fr-CH"/>
        </w:rPr>
        <w:t>Si les panneaux orange prescrits au 5.3.2.1.1 apposés sur les conteneu</w:t>
      </w:r>
      <w:r>
        <w:rPr>
          <w:lang w:val="fr-CH"/>
        </w:rPr>
        <w:t>rs, conteneurs pour vrac, conte</w:t>
      </w:r>
      <w:r w:rsidRPr="00824E05">
        <w:rPr>
          <w:lang w:val="fr-CH"/>
        </w:rPr>
        <w:t>neurs-citernes, CGEM ou citernes mobiles ne sont pas bien visibles de l'extérieur du wagon porteur, les mêmes panneaux doivent être apposés en outre sur les deux côtés latéraux du wagon.</w:t>
      </w:r>
    </w:p>
    <w:p w14:paraId="70226077" w14:textId="77777777" w:rsidR="003C3BB9" w:rsidRDefault="00824E05" w:rsidP="000057C0">
      <w:pPr>
        <w:pStyle w:val="SingleTxtG"/>
        <w:rPr>
          <w:lang w:val="fr-CH"/>
        </w:rPr>
      </w:pPr>
      <w:r w:rsidRPr="00824E05">
        <w:rPr>
          <w:b/>
          <w:lang w:val="fr-CH"/>
        </w:rPr>
        <w:t>NOTA</w:t>
      </w:r>
      <w:r w:rsidRPr="00824E05">
        <w:rPr>
          <w:lang w:val="fr-CH"/>
        </w:rPr>
        <w:t xml:space="preserve">. Il n'est pas nécessaire d'appliquer ce paragraphe au </w:t>
      </w:r>
      <w:r w:rsidRPr="00824E05">
        <w:rPr>
          <w:b/>
          <w:u w:val="single"/>
          <w:lang w:val="fr-CH"/>
        </w:rPr>
        <w:t xml:space="preserve">transport dans des conteneurs pour vrac, citernes ou CGEM </w:t>
      </w:r>
      <w:r w:rsidRPr="00824E05">
        <w:rPr>
          <w:b/>
          <w:strike/>
          <w:lang w:val="fr-CH"/>
        </w:rPr>
        <w:t>marquage avec des panneaux orange de wagons couverts ou bâchés, transportant des citernes</w:t>
      </w:r>
      <w:r w:rsidRPr="00824E05">
        <w:rPr>
          <w:lang w:val="fr-CH"/>
        </w:rPr>
        <w:t xml:space="preserve"> d'une capacité maximale de 3 000 litres.</w:t>
      </w:r>
    </w:p>
    <w:p w14:paraId="25F7FCDF" w14:textId="77777777" w:rsidR="003C3BB9" w:rsidRPr="003C3BB9" w:rsidRDefault="003C3BB9" w:rsidP="000057C0">
      <w:pPr>
        <w:pStyle w:val="SingleTxtG"/>
        <w:rPr>
          <w:b/>
          <w:lang w:val="fr-CH"/>
        </w:rPr>
      </w:pPr>
      <w:r w:rsidRPr="003C3BB9">
        <w:rPr>
          <w:b/>
          <w:lang w:val="fr-CH"/>
        </w:rPr>
        <w:t>ADR</w:t>
      </w:r>
    </w:p>
    <w:p w14:paraId="162034BF" w14:textId="4393B3BE" w:rsidR="003C3BB9" w:rsidRPr="003C3BB9" w:rsidRDefault="003C3BB9" w:rsidP="000057C0">
      <w:pPr>
        <w:pStyle w:val="SingleTxtG"/>
        <w:rPr>
          <w:lang w:val="fr-CH"/>
        </w:rPr>
      </w:pPr>
      <w:r w:rsidRPr="003C3BB9">
        <w:rPr>
          <w:lang w:val="fr-CH"/>
        </w:rPr>
        <w:t>5.3.2.1.5</w:t>
      </w:r>
      <w:r>
        <w:rPr>
          <w:lang w:val="fr-CH"/>
        </w:rPr>
        <w:tab/>
      </w:r>
      <w:r w:rsidRPr="003C3BB9">
        <w:rPr>
          <w:lang w:val="fr-CH"/>
        </w:rPr>
        <w:t>Si les panneaux orange prescrits au</w:t>
      </w:r>
      <w:r>
        <w:rPr>
          <w:lang w:val="fr-CH"/>
        </w:rPr>
        <w:t>x</w:t>
      </w:r>
      <w:r w:rsidRPr="003C3BB9">
        <w:rPr>
          <w:lang w:val="fr-CH"/>
        </w:rPr>
        <w:t xml:space="preserve"> 5.3.2.1.2 </w:t>
      </w:r>
      <w:r>
        <w:rPr>
          <w:lang w:val="fr-CH"/>
        </w:rPr>
        <w:t>et 5.3.2.1.4</w:t>
      </w:r>
      <w:r w:rsidRPr="003C3BB9">
        <w:rPr>
          <w:lang w:val="fr-CH"/>
        </w:rPr>
        <w:t xml:space="preserve"> apposés sur les conteneu</w:t>
      </w:r>
      <w:r>
        <w:rPr>
          <w:lang w:val="fr-CH"/>
        </w:rPr>
        <w:t>rs, conteneurs pour vrac, conte</w:t>
      </w:r>
      <w:r w:rsidRPr="003C3BB9">
        <w:rPr>
          <w:lang w:val="fr-CH"/>
        </w:rPr>
        <w:t xml:space="preserve">neurs-citernes, CGEM ou citernes mobiles ne sont pas bien visibles de l'extérieur du </w:t>
      </w:r>
      <w:r>
        <w:rPr>
          <w:lang w:val="fr-CH"/>
        </w:rPr>
        <w:t>véhicule</w:t>
      </w:r>
      <w:r w:rsidRPr="003C3BB9">
        <w:rPr>
          <w:lang w:val="fr-CH"/>
        </w:rPr>
        <w:t xml:space="preserve"> </w:t>
      </w:r>
      <w:r>
        <w:rPr>
          <w:lang w:val="fr-CH"/>
        </w:rPr>
        <w:t>transporteur</w:t>
      </w:r>
      <w:r w:rsidRPr="003C3BB9">
        <w:rPr>
          <w:lang w:val="fr-CH"/>
        </w:rPr>
        <w:t xml:space="preserve">, les mêmes panneaux doivent être apposés en outre sur les deux côtés latéraux du </w:t>
      </w:r>
      <w:r>
        <w:rPr>
          <w:lang w:val="fr-CH"/>
        </w:rPr>
        <w:t>véhicule</w:t>
      </w:r>
      <w:r w:rsidRPr="003C3BB9">
        <w:rPr>
          <w:lang w:val="fr-CH"/>
        </w:rPr>
        <w:t>.</w:t>
      </w:r>
    </w:p>
    <w:p w14:paraId="273F45A1" w14:textId="065C47F9" w:rsidR="00D33E29" w:rsidRDefault="003C3BB9" w:rsidP="000057C0">
      <w:pPr>
        <w:pStyle w:val="SingleTxtG"/>
        <w:rPr>
          <w:lang w:val="fr-CH"/>
        </w:rPr>
      </w:pPr>
      <w:r w:rsidRPr="003C3BB9">
        <w:rPr>
          <w:b/>
          <w:lang w:val="fr-CH"/>
        </w:rPr>
        <w:t>NOTA</w:t>
      </w:r>
      <w:r w:rsidRPr="003C3BB9">
        <w:rPr>
          <w:lang w:val="fr-CH"/>
        </w:rPr>
        <w:t xml:space="preserve">. Il n'est pas nécessaire d'appliquer ce paragraphe au </w:t>
      </w:r>
      <w:r w:rsidRPr="00824E05">
        <w:rPr>
          <w:b/>
          <w:u w:val="single"/>
          <w:lang w:val="fr-CH"/>
        </w:rPr>
        <w:t xml:space="preserve">transport dans des conteneurs pour vrac, citernes ou CGEM </w:t>
      </w:r>
      <w:r w:rsidRPr="003C3BB9">
        <w:rPr>
          <w:b/>
          <w:strike/>
          <w:lang w:val="fr-CH"/>
        </w:rPr>
        <w:t>marquage avec des panneaux orange de véhicules couverts ou bâchés, transportant des citernes</w:t>
      </w:r>
      <w:r w:rsidRPr="004A40EB">
        <w:rPr>
          <w:b/>
          <w:lang w:val="fr-CH"/>
        </w:rPr>
        <w:t xml:space="preserve"> </w:t>
      </w:r>
      <w:r>
        <w:rPr>
          <w:lang w:val="fr-CH"/>
        </w:rPr>
        <w:t>d'une capacité maximale de 3 </w:t>
      </w:r>
      <w:r w:rsidRPr="003C3BB9">
        <w:rPr>
          <w:lang w:val="fr-CH"/>
        </w:rPr>
        <w:t>000 litres.</w:t>
      </w:r>
    </w:p>
    <w:p w14:paraId="6F172A42" w14:textId="1FE3267A" w:rsidR="003C3BB9" w:rsidRDefault="003C3BB9" w:rsidP="000057C0">
      <w:pPr>
        <w:pStyle w:val="SingleTxtG"/>
        <w:rPr>
          <w:lang w:val="fr-CH"/>
        </w:rPr>
      </w:pPr>
      <w:r>
        <w:rPr>
          <w:b/>
          <w:lang w:val="fr-CH"/>
        </w:rPr>
        <w:t>ADN</w:t>
      </w:r>
    </w:p>
    <w:p w14:paraId="553AA117" w14:textId="16838F2D" w:rsidR="003C3BB9" w:rsidRPr="003C3BB9" w:rsidRDefault="003C3BB9" w:rsidP="000057C0">
      <w:pPr>
        <w:pStyle w:val="SingleTxtG"/>
        <w:rPr>
          <w:lang w:val="fr-CH"/>
        </w:rPr>
      </w:pPr>
      <w:r w:rsidRPr="003C3BB9">
        <w:rPr>
          <w:lang w:val="fr-CH"/>
        </w:rPr>
        <w:t>5.3.2.1.5</w:t>
      </w:r>
      <w:r>
        <w:rPr>
          <w:lang w:val="fr-CH"/>
        </w:rPr>
        <w:tab/>
      </w:r>
      <w:r w:rsidRPr="003C3BB9">
        <w:rPr>
          <w:lang w:val="fr-CH"/>
        </w:rPr>
        <w:t>Si les panneaux orange prescrits au</w:t>
      </w:r>
      <w:r>
        <w:rPr>
          <w:lang w:val="fr-CH"/>
        </w:rPr>
        <w:t>x</w:t>
      </w:r>
      <w:r w:rsidRPr="003C3BB9">
        <w:rPr>
          <w:lang w:val="fr-CH"/>
        </w:rPr>
        <w:t xml:space="preserve"> 5.3.2.1.2 </w:t>
      </w:r>
      <w:r>
        <w:rPr>
          <w:lang w:val="fr-CH"/>
        </w:rPr>
        <w:t>et 5.3.2.1.4</w:t>
      </w:r>
      <w:r w:rsidRPr="003C3BB9">
        <w:rPr>
          <w:lang w:val="fr-CH"/>
        </w:rPr>
        <w:t xml:space="preserve"> apposés sur les conteneu</w:t>
      </w:r>
      <w:r>
        <w:rPr>
          <w:lang w:val="fr-CH"/>
        </w:rPr>
        <w:t>rs, conteneurs pour vrac, conte</w:t>
      </w:r>
      <w:r w:rsidRPr="003C3BB9">
        <w:rPr>
          <w:lang w:val="fr-CH"/>
        </w:rPr>
        <w:t xml:space="preserve">neurs-citernes, CGEM ou citernes mobiles ne sont pas bien visibles de l'extérieur du </w:t>
      </w:r>
      <w:r>
        <w:rPr>
          <w:lang w:val="fr-CH"/>
        </w:rPr>
        <w:t>véhicule</w:t>
      </w:r>
      <w:r w:rsidRPr="003C3BB9">
        <w:rPr>
          <w:lang w:val="fr-CH"/>
        </w:rPr>
        <w:t xml:space="preserve"> </w:t>
      </w:r>
      <w:r>
        <w:rPr>
          <w:lang w:val="fr-CH"/>
        </w:rPr>
        <w:t xml:space="preserve">transporteur ou </w:t>
      </w:r>
      <w:r w:rsidRPr="00824E05">
        <w:rPr>
          <w:lang w:val="fr-CH"/>
        </w:rPr>
        <w:t>du wagon porteur</w:t>
      </w:r>
      <w:r w:rsidRPr="003C3BB9">
        <w:rPr>
          <w:lang w:val="fr-CH"/>
        </w:rPr>
        <w:t xml:space="preserve">, les mêmes panneaux doivent être apposés en outre sur les deux côtés latéraux du </w:t>
      </w:r>
      <w:r>
        <w:rPr>
          <w:lang w:val="fr-CH"/>
        </w:rPr>
        <w:t>véhicule</w:t>
      </w:r>
      <w:r w:rsidRPr="003C3BB9">
        <w:rPr>
          <w:lang w:val="fr-CH"/>
        </w:rPr>
        <w:t xml:space="preserve"> </w:t>
      </w:r>
      <w:r>
        <w:rPr>
          <w:lang w:val="fr-CH"/>
        </w:rPr>
        <w:t xml:space="preserve">ou </w:t>
      </w:r>
      <w:r w:rsidRPr="00824E05">
        <w:rPr>
          <w:lang w:val="fr-CH"/>
        </w:rPr>
        <w:t>du wagon</w:t>
      </w:r>
      <w:r w:rsidRPr="003C3BB9">
        <w:rPr>
          <w:lang w:val="fr-CH"/>
        </w:rPr>
        <w:t>.</w:t>
      </w:r>
    </w:p>
    <w:p w14:paraId="6D7DD120" w14:textId="62D5AFBD" w:rsidR="00D03EBA" w:rsidRDefault="003C3BB9" w:rsidP="000057C0">
      <w:pPr>
        <w:pStyle w:val="SingleTxtG"/>
        <w:rPr>
          <w:lang w:val="fr-CH"/>
        </w:rPr>
      </w:pPr>
      <w:r w:rsidRPr="003C3BB9">
        <w:rPr>
          <w:b/>
          <w:lang w:val="fr-CH"/>
        </w:rPr>
        <w:t>NOTA</w:t>
      </w:r>
      <w:r w:rsidRPr="003C3BB9">
        <w:rPr>
          <w:lang w:val="fr-CH"/>
        </w:rPr>
        <w:t xml:space="preserve">. Il n'est pas nécessaire d'appliquer ce paragraphe au </w:t>
      </w:r>
      <w:r w:rsidRPr="00824E05">
        <w:rPr>
          <w:b/>
          <w:u w:val="single"/>
          <w:lang w:val="fr-CH"/>
        </w:rPr>
        <w:t>transport dans des conteneurs pour vrac, citernes ou CGEM</w:t>
      </w:r>
      <w:r w:rsidRPr="004A40EB">
        <w:rPr>
          <w:b/>
          <w:lang w:val="fr-CH"/>
        </w:rPr>
        <w:t xml:space="preserve"> </w:t>
      </w:r>
      <w:r w:rsidRPr="003C3BB9">
        <w:rPr>
          <w:b/>
          <w:strike/>
          <w:lang w:val="fr-CH"/>
        </w:rPr>
        <w:t xml:space="preserve">marquage avec des panneaux orange de </w:t>
      </w:r>
      <w:r w:rsidR="002E0A2B">
        <w:rPr>
          <w:b/>
          <w:strike/>
          <w:lang w:val="fr-CH"/>
        </w:rPr>
        <w:t xml:space="preserve">wagons ou </w:t>
      </w:r>
      <w:r w:rsidRPr="003C3BB9">
        <w:rPr>
          <w:b/>
          <w:strike/>
          <w:lang w:val="fr-CH"/>
        </w:rPr>
        <w:t>véhicules couverts ou bâchés, transportant des citernes</w:t>
      </w:r>
      <w:r w:rsidRPr="004A40EB">
        <w:rPr>
          <w:b/>
          <w:lang w:val="fr-CH"/>
        </w:rPr>
        <w:t xml:space="preserve"> </w:t>
      </w:r>
      <w:r>
        <w:rPr>
          <w:lang w:val="fr-CH"/>
        </w:rPr>
        <w:t>d'une capacité maximale de 3 </w:t>
      </w:r>
      <w:r w:rsidRPr="003C3BB9">
        <w:rPr>
          <w:lang w:val="fr-CH"/>
        </w:rPr>
        <w:t>000 litres.</w:t>
      </w:r>
    </w:p>
    <w:p w14:paraId="4DBC95C3" w14:textId="77777777" w:rsidR="00E062DB" w:rsidRPr="002E0A2B" w:rsidRDefault="00E062DB" w:rsidP="000057C0">
      <w:pPr>
        <w:pStyle w:val="SingleTxtG"/>
        <w:rPr>
          <w:b/>
          <w:bCs/>
          <w:sz w:val="24"/>
          <w:szCs w:val="22"/>
          <w:lang w:val="de-CH"/>
        </w:rPr>
      </w:pPr>
      <w:r w:rsidRPr="002E0A2B">
        <w:rPr>
          <w:b/>
          <w:bCs/>
          <w:sz w:val="24"/>
          <w:szCs w:val="22"/>
          <w:lang w:val="de-CH"/>
        </w:rPr>
        <w:t>Deutsch</w:t>
      </w:r>
    </w:p>
    <w:p w14:paraId="00B70946" w14:textId="413730E3" w:rsidR="00E062DB" w:rsidRPr="00E062DB" w:rsidRDefault="002E0A2B" w:rsidP="000057C0">
      <w:pPr>
        <w:pStyle w:val="SingleTxtG"/>
        <w:rPr>
          <w:lang w:val="de-CH"/>
        </w:rPr>
      </w:pPr>
      <w:r>
        <w:rPr>
          <w:lang w:val="de-CH"/>
        </w:rPr>
        <w:t>RID/ADR/ADN</w:t>
      </w:r>
    </w:p>
    <w:p w14:paraId="5CB44065" w14:textId="329BB238" w:rsidR="00E062DB" w:rsidRDefault="00E062DB" w:rsidP="000057C0">
      <w:pPr>
        <w:pStyle w:val="SingleTxtG"/>
        <w:rPr>
          <w:b/>
          <w:bCs/>
          <w:sz w:val="22"/>
          <w:szCs w:val="22"/>
          <w:lang w:val="de-CH"/>
        </w:rPr>
      </w:pPr>
      <w:r w:rsidRPr="00E062DB">
        <w:rPr>
          <w:b/>
          <w:lang w:val="de-CH"/>
        </w:rPr>
        <w:t>Bem</w:t>
      </w:r>
      <w:r w:rsidRPr="00E062DB">
        <w:rPr>
          <w:lang w:val="de-CH"/>
        </w:rPr>
        <w:t xml:space="preserve">. Dieser Absatz muss nicht </w:t>
      </w:r>
      <w:r w:rsidR="002E0A2B" w:rsidRPr="00E062DB">
        <w:rPr>
          <w:b/>
          <w:u w:val="single"/>
          <w:lang w:val="de-CH"/>
        </w:rPr>
        <w:t>angewendet werden</w:t>
      </w:r>
      <w:r w:rsidR="002E0A2B">
        <w:rPr>
          <w:b/>
          <w:u w:val="single"/>
          <w:lang w:val="de-CH"/>
        </w:rPr>
        <w:t xml:space="preserve"> </w:t>
      </w:r>
      <w:r w:rsidRPr="00E062DB">
        <w:rPr>
          <w:lang w:val="de-CH"/>
        </w:rPr>
        <w:t xml:space="preserve">für die </w:t>
      </w:r>
      <w:r w:rsidRPr="00E062DB">
        <w:rPr>
          <w:b/>
          <w:u w:val="single"/>
          <w:lang w:val="de-CH"/>
        </w:rPr>
        <w:t>Beförderung in Schüttgut-Containern, Tanks und MEGC</w:t>
      </w:r>
      <w:r w:rsidRPr="00E062DB">
        <w:rPr>
          <w:lang w:val="de-CH"/>
        </w:rPr>
        <w:t xml:space="preserve"> mit einem höchsten Fassungsraum von 3000 Litern </w:t>
      </w:r>
      <w:r w:rsidR="00B27E48" w:rsidRPr="00B27E48">
        <w:rPr>
          <w:b/>
          <w:strike/>
          <w:lang w:val="de-CH"/>
        </w:rPr>
        <w:t>Kennzeichnung von gedeckten Wagen/Fahrzeugen und Wagen mit Decken/bedeckten Fahrzeugen mit orangefarbenen Tafeln angewendet werden, die Tanks mit einem höchsten Fassungsraum von 3000 Litern befördern</w:t>
      </w:r>
      <w:r>
        <w:rPr>
          <w:lang w:val="de-CH"/>
        </w:rPr>
        <w:t>.</w:t>
      </w:r>
    </w:p>
    <w:p w14:paraId="2F9F679F" w14:textId="180EED73" w:rsidR="00797219" w:rsidRPr="00E062DB" w:rsidRDefault="007B42DE" w:rsidP="00797219">
      <w:pPr>
        <w:spacing w:before="240" w:after="0" w:line="240" w:lineRule="atLeast"/>
        <w:jc w:val="center"/>
        <w:rPr>
          <w:u w:val="single"/>
          <w:lang w:val="de-CH"/>
        </w:rPr>
      </w:pPr>
      <w:r w:rsidRPr="00E062DB">
        <w:rPr>
          <w:u w:val="single"/>
          <w:lang w:val="de-CH"/>
        </w:rPr>
        <w:tab/>
      </w:r>
      <w:r w:rsidR="00797219" w:rsidRPr="00E062DB">
        <w:rPr>
          <w:u w:val="single"/>
          <w:lang w:val="de-CH"/>
        </w:rPr>
        <w:tab/>
      </w:r>
      <w:r w:rsidR="00797219" w:rsidRPr="00E062DB">
        <w:rPr>
          <w:u w:val="single"/>
          <w:lang w:val="de-CH"/>
        </w:rPr>
        <w:tab/>
      </w:r>
    </w:p>
    <w:sectPr w:rsidR="00797219" w:rsidRPr="00E062DB" w:rsidSect="00956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2011" w14:textId="77777777" w:rsidR="00770779" w:rsidRDefault="00770779"/>
  </w:endnote>
  <w:endnote w:type="continuationSeparator" w:id="0">
    <w:p w14:paraId="51B8CD0D" w14:textId="77777777" w:rsidR="00770779" w:rsidRDefault="00770779"/>
  </w:endnote>
  <w:endnote w:type="continuationNotice" w:id="1">
    <w:p w14:paraId="2F8CC7DB" w14:textId="77777777" w:rsidR="00770779" w:rsidRDefault="00770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79F9" w14:textId="31D9534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0A2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2543" w14:textId="22C04058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4D2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563B" w14:textId="77777777" w:rsidR="00770779" w:rsidRPr="000B175B" w:rsidRDefault="007707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F52439" w14:textId="77777777" w:rsidR="00770779" w:rsidRPr="00FC68B7" w:rsidRDefault="007707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8BF6CE" w14:textId="77777777" w:rsidR="00770779" w:rsidRDefault="00770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9B76" w14:textId="44289808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0057C0">
      <w:rPr>
        <w:lang w:val="fr-CH"/>
      </w:rPr>
      <w:t>61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C0D8" w14:textId="5AE8A274" w:rsidR="002B16A1" w:rsidRPr="00073BC9" w:rsidRDefault="002B16A1" w:rsidP="0009455D">
    <w:pPr>
      <w:pStyle w:val="Header"/>
      <w:jc w:val="right"/>
    </w:pPr>
    <w:r>
      <w:t>INF.</w:t>
    </w:r>
    <w:r w:rsidR="004A7235">
      <w:t>59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BCA1" w14:textId="35C255F8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0057C0">
      <w:rPr>
        <w:sz w:val="28"/>
        <w:szCs w:val="28"/>
      </w:rPr>
      <w:t>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de-CH" w:vendorID="64" w:dllVersion="6" w:nlCheck="1" w:checkStyle="0"/>
  <w:activeWritingStyle w:appName="MSWord" w:lang="de-CH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57C0"/>
    <w:rsid w:val="00006790"/>
    <w:rsid w:val="00017C14"/>
    <w:rsid w:val="00027624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85D49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1479"/>
    <w:rsid w:val="000C2A7D"/>
    <w:rsid w:val="000D393F"/>
    <w:rsid w:val="000D5A55"/>
    <w:rsid w:val="000D7422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1037"/>
    <w:rsid w:val="001643DB"/>
    <w:rsid w:val="00166124"/>
    <w:rsid w:val="00167F20"/>
    <w:rsid w:val="0017009E"/>
    <w:rsid w:val="00171FBA"/>
    <w:rsid w:val="00172600"/>
    <w:rsid w:val="001765D7"/>
    <w:rsid w:val="00176739"/>
    <w:rsid w:val="00184DDA"/>
    <w:rsid w:val="00186269"/>
    <w:rsid w:val="001874B4"/>
    <w:rsid w:val="001900CD"/>
    <w:rsid w:val="001900CF"/>
    <w:rsid w:val="00191495"/>
    <w:rsid w:val="00193D85"/>
    <w:rsid w:val="0019444B"/>
    <w:rsid w:val="001A0452"/>
    <w:rsid w:val="001A3481"/>
    <w:rsid w:val="001A4D53"/>
    <w:rsid w:val="001A5F15"/>
    <w:rsid w:val="001B2B27"/>
    <w:rsid w:val="001B4B04"/>
    <w:rsid w:val="001B56E5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589B"/>
    <w:rsid w:val="002565C8"/>
    <w:rsid w:val="002574B9"/>
    <w:rsid w:val="00257CAC"/>
    <w:rsid w:val="00264807"/>
    <w:rsid w:val="0027121B"/>
    <w:rsid w:val="002727C2"/>
    <w:rsid w:val="002815FC"/>
    <w:rsid w:val="00285A8D"/>
    <w:rsid w:val="00295F1A"/>
    <w:rsid w:val="002974E9"/>
    <w:rsid w:val="002A214F"/>
    <w:rsid w:val="002A6D75"/>
    <w:rsid w:val="002A7F94"/>
    <w:rsid w:val="002B109A"/>
    <w:rsid w:val="002B16A1"/>
    <w:rsid w:val="002B400C"/>
    <w:rsid w:val="002B5293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0A2B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3BB9"/>
    <w:rsid w:val="003C7026"/>
    <w:rsid w:val="003D021F"/>
    <w:rsid w:val="003D4B23"/>
    <w:rsid w:val="003D58A1"/>
    <w:rsid w:val="003D6C76"/>
    <w:rsid w:val="003E278A"/>
    <w:rsid w:val="003E3D94"/>
    <w:rsid w:val="003F07CB"/>
    <w:rsid w:val="004019C8"/>
    <w:rsid w:val="004032CF"/>
    <w:rsid w:val="00404738"/>
    <w:rsid w:val="00413520"/>
    <w:rsid w:val="00414F7A"/>
    <w:rsid w:val="00431D4D"/>
    <w:rsid w:val="004325CB"/>
    <w:rsid w:val="00433A82"/>
    <w:rsid w:val="00440A07"/>
    <w:rsid w:val="00456441"/>
    <w:rsid w:val="00462880"/>
    <w:rsid w:val="0046357A"/>
    <w:rsid w:val="0047298C"/>
    <w:rsid w:val="004738F2"/>
    <w:rsid w:val="0047429E"/>
    <w:rsid w:val="00476F24"/>
    <w:rsid w:val="0048402E"/>
    <w:rsid w:val="004909E7"/>
    <w:rsid w:val="0049311D"/>
    <w:rsid w:val="004A40EB"/>
    <w:rsid w:val="004A7235"/>
    <w:rsid w:val="004B2A91"/>
    <w:rsid w:val="004B45B0"/>
    <w:rsid w:val="004B7EA2"/>
    <w:rsid w:val="004C0D68"/>
    <w:rsid w:val="004C55B0"/>
    <w:rsid w:val="004D51F6"/>
    <w:rsid w:val="004D63B1"/>
    <w:rsid w:val="004E4179"/>
    <w:rsid w:val="004E7160"/>
    <w:rsid w:val="004F3F8F"/>
    <w:rsid w:val="004F6BA0"/>
    <w:rsid w:val="00503BEA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2835"/>
    <w:rsid w:val="00573297"/>
    <w:rsid w:val="00573D38"/>
    <w:rsid w:val="00584173"/>
    <w:rsid w:val="005850DE"/>
    <w:rsid w:val="00587C17"/>
    <w:rsid w:val="00595520"/>
    <w:rsid w:val="005A0287"/>
    <w:rsid w:val="005A44B9"/>
    <w:rsid w:val="005A548A"/>
    <w:rsid w:val="005B1BA0"/>
    <w:rsid w:val="005B3DB3"/>
    <w:rsid w:val="005C58F0"/>
    <w:rsid w:val="005C700B"/>
    <w:rsid w:val="005D019B"/>
    <w:rsid w:val="005D15CA"/>
    <w:rsid w:val="005D1867"/>
    <w:rsid w:val="005D2C39"/>
    <w:rsid w:val="005D390C"/>
    <w:rsid w:val="005E49A1"/>
    <w:rsid w:val="005E6AAF"/>
    <w:rsid w:val="005F3066"/>
    <w:rsid w:val="005F31A9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37E5F"/>
    <w:rsid w:val="0064017F"/>
    <w:rsid w:val="00640B26"/>
    <w:rsid w:val="00642312"/>
    <w:rsid w:val="00642502"/>
    <w:rsid w:val="0064748F"/>
    <w:rsid w:val="00651A29"/>
    <w:rsid w:val="006643C6"/>
    <w:rsid w:val="00667D6B"/>
    <w:rsid w:val="00671B0D"/>
    <w:rsid w:val="006770B2"/>
    <w:rsid w:val="00682407"/>
    <w:rsid w:val="006853B3"/>
    <w:rsid w:val="006940E1"/>
    <w:rsid w:val="00697EAA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2F50"/>
    <w:rsid w:val="007358E8"/>
    <w:rsid w:val="00736ECE"/>
    <w:rsid w:val="007408A0"/>
    <w:rsid w:val="0074533B"/>
    <w:rsid w:val="007473C7"/>
    <w:rsid w:val="00753C81"/>
    <w:rsid w:val="00755BB0"/>
    <w:rsid w:val="00762EA6"/>
    <w:rsid w:val="0076432E"/>
    <w:rsid w:val="007643BC"/>
    <w:rsid w:val="00764F01"/>
    <w:rsid w:val="00770779"/>
    <w:rsid w:val="00770846"/>
    <w:rsid w:val="00780AC7"/>
    <w:rsid w:val="007810E1"/>
    <w:rsid w:val="00781D93"/>
    <w:rsid w:val="00790877"/>
    <w:rsid w:val="007942D2"/>
    <w:rsid w:val="0079577B"/>
    <w:rsid w:val="007959FE"/>
    <w:rsid w:val="00795E37"/>
    <w:rsid w:val="00797219"/>
    <w:rsid w:val="007A0CF1"/>
    <w:rsid w:val="007A38B0"/>
    <w:rsid w:val="007A6660"/>
    <w:rsid w:val="007A7CC0"/>
    <w:rsid w:val="007B42DE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10BAC"/>
    <w:rsid w:val="00813D9B"/>
    <w:rsid w:val="008175E9"/>
    <w:rsid w:val="008203B2"/>
    <w:rsid w:val="0082405C"/>
    <w:rsid w:val="008242D7"/>
    <w:rsid w:val="00824E05"/>
    <w:rsid w:val="00825578"/>
    <w:rsid w:val="0082577B"/>
    <w:rsid w:val="00830D15"/>
    <w:rsid w:val="0083344C"/>
    <w:rsid w:val="00834DF7"/>
    <w:rsid w:val="00843148"/>
    <w:rsid w:val="00844DD4"/>
    <w:rsid w:val="008558E7"/>
    <w:rsid w:val="008604B2"/>
    <w:rsid w:val="0086054B"/>
    <w:rsid w:val="00866893"/>
    <w:rsid w:val="00866F02"/>
    <w:rsid w:val="00867D18"/>
    <w:rsid w:val="008707F8"/>
    <w:rsid w:val="00871F9A"/>
    <w:rsid w:val="00871FD5"/>
    <w:rsid w:val="00876B8E"/>
    <w:rsid w:val="00881172"/>
    <w:rsid w:val="0088172E"/>
    <w:rsid w:val="00881EFA"/>
    <w:rsid w:val="00883E28"/>
    <w:rsid w:val="00887A7D"/>
    <w:rsid w:val="0089153A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3A72"/>
    <w:rsid w:val="008B41F4"/>
    <w:rsid w:val="008B59E3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1893"/>
    <w:rsid w:val="00945B24"/>
    <w:rsid w:val="00946D3D"/>
    <w:rsid w:val="00946EAC"/>
    <w:rsid w:val="00947162"/>
    <w:rsid w:val="009479C1"/>
    <w:rsid w:val="00953163"/>
    <w:rsid w:val="00956238"/>
    <w:rsid w:val="009601FF"/>
    <w:rsid w:val="0096068B"/>
    <w:rsid w:val="00960D5D"/>
    <w:rsid w:val="009610D0"/>
    <w:rsid w:val="0096375C"/>
    <w:rsid w:val="009662E6"/>
    <w:rsid w:val="0097095E"/>
    <w:rsid w:val="009711E4"/>
    <w:rsid w:val="00974D24"/>
    <w:rsid w:val="00974F7C"/>
    <w:rsid w:val="00977227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6A08"/>
    <w:rsid w:val="009E0A16"/>
    <w:rsid w:val="009E6919"/>
    <w:rsid w:val="009E7970"/>
    <w:rsid w:val="009F2EAC"/>
    <w:rsid w:val="009F57E3"/>
    <w:rsid w:val="00A00D3D"/>
    <w:rsid w:val="00A07EBB"/>
    <w:rsid w:val="00A10F4F"/>
    <w:rsid w:val="00A11067"/>
    <w:rsid w:val="00A138AB"/>
    <w:rsid w:val="00A16BBD"/>
    <w:rsid w:val="00A1704A"/>
    <w:rsid w:val="00A23E9E"/>
    <w:rsid w:val="00A370D7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B2D13"/>
    <w:rsid w:val="00AC0F2C"/>
    <w:rsid w:val="00AC502A"/>
    <w:rsid w:val="00AC7298"/>
    <w:rsid w:val="00AD543E"/>
    <w:rsid w:val="00AD79E9"/>
    <w:rsid w:val="00AF3A98"/>
    <w:rsid w:val="00AF58C1"/>
    <w:rsid w:val="00B01321"/>
    <w:rsid w:val="00B03E68"/>
    <w:rsid w:val="00B05D2C"/>
    <w:rsid w:val="00B06306"/>
    <w:rsid w:val="00B06643"/>
    <w:rsid w:val="00B1285C"/>
    <w:rsid w:val="00B15055"/>
    <w:rsid w:val="00B17FC5"/>
    <w:rsid w:val="00B2175D"/>
    <w:rsid w:val="00B27044"/>
    <w:rsid w:val="00B27E48"/>
    <w:rsid w:val="00B30179"/>
    <w:rsid w:val="00B37B15"/>
    <w:rsid w:val="00B40FB2"/>
    <w:rsid w:val="00B4482F"/>
    <w:rsid w:val="00B45C02"/>
    <w:rsid w:val="00B4691D"/>
    <w:rsid w:val="00B5751A"/>
    <w:rsid w:val="00B609E7"/>
    <w:rsid w:val="00B628EC"/>
    <w:rsid w:val="00B62EEE"/>
    <w:rsid w:val="00B63F27"/>
    <w:rsid w:val="00B70F5A"/>
    <w:rsid w:val="00B71791"/>
    <w:rsid w:val="00B72A1E"/>
    <w:rsid w:val="00B75E02"/>
    <w:rsid w:val="00B7715A"/>
    <w:rsid w:val="00B80D50"/>
    <w:rsid w:val="00B81E12"/>
    <w:rsid w:val="00B8509D"/>
    <w:rsid w:val="00B8760B"/>
    <w:rsid w:val="00B9110C"/>
    <w:rsid w:val="00BA18EC"/>
    <w:rsid w:val="00BA339B"/>
    <w:rsid w:val="00BB2862"/>
    <w:rsid w:val="00BB3D9E"/>
    <w:rsid w:val="00BC1E7E"/>
    <w:rsid w:val="00BC2E45"/>
    <w:rsid w:val="00BC3E26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50FE"/>
    <w:rsid w:val="00C31A6C"/>
    <w:rsid w:val="00C36878"/>
    <w:rsid w:val="00C408C1"/>
    <w:rsid w:val="00C443B6"/>
    <w:rsid w:val="00C44BB0"/>
    <w:rsid w:val="00C45BBB"/>
    <w:rsid w:val="00C463DD"/>
    <w:rsid w:val="00C50002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A6641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03EBA"/>
    <w:rsid w:val="00D15B04"/>
    <w:rsid w:val="00D2031B"/>
    <w:rsid w:val="00D22806"/>
    <w:rsid w:val="00D231B0"/>
    <w:rsid w:val="00D23EAC"/>
    <w:rsid w:val="00D25EC1"/>
    <w:rsid w:val="00D25FE2"/>
    <w:rsid w:val="00D33E29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2289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18AD"/>
    <w:rsid w:val="00DC36B8"/>
    <w:rsid w:val="00DC584A"/>
    <w:rsid w:val="00DD3FE8"/>
    <w:rsid w:val="00DD7183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62DB"/>
    <w:rsid w:val="00E1773B"/>
    <w:rsid w:val="00E324A0"/>
    <w:rsid w:val="00E32F33"/>
    <w:rsid w:val="00E37495"/>
    <w:rsid w:val="00E423C0"/>
    <w:rsid w:val="00E47010"/>
    <w:rsid w:val="00E50BC6"/>
    <w:rsid w:val="00E53624"/>
    <w:rsid w:val="00E550E7"/>
    <w:rsid w:val="00E5687B"/>
    <w:rsid w:val="00E57974"/>
    <w:rsid w:val="00E62965"/>
    <w:rsid w:val="00E6414C"/>
    <w:rsid w:val="00E672F0"/>
    <w:rsid w:val="00E7260F"/>
    <w:rsid w:val="00E80111"/>
    <w:rsid w:val="00E82C50"/>
    <w:rsid w:val="00E86772"/>
    <w:rsid w:val="00E8702D"/>
    <w:rsid w:val="00E87C7D"/>
    <w:rsid w:val="00E916A9"/>
    <w:rsid w:val="00E916DE"/>
    <w:rsid w:val="00E9388E"/>
    <w:rsid w:val="00E96630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10D"/>
    <w:rsid w:val="00EF4426"/>
    <w:rsid w:val="00F0137E"/>
    <w:rsid w:val="00F0148F"/>
    <w:rsid w:val="00F21786"/>
    <w:rsid w:val="00F237F4"/>
    <w:rsid w:val="00F347BC"/>
    <w:rsid w:val="00F358B8"/>
    <w:rsid w:val="00F3742B"/>
    <w:rsid w:val="00F40CCF"/>
    <w:rsid w:val="00F41FDB"/>
    <w:rsid w:val="00F5337D"/>
    <w:rsid w:val="00F5390C"/>
    <w:rsid w:val="00F56778"/>
    <w:rsid w:val="00F56D63"/>
    <w:rsid w:val="00F609A9"/>
    <w:rsid w:val="00F6280E"/>
    <w:rsid w:val="00F7472D"/>
    <w:rsid w:val="00F752C6"/>
    <w:rsid w:val="00F7681E"/>
    <w:rsid w:val="00F80C99"/>
    <w:rsid w:val="00F867EC"/>
    <w:rsid w:val="00F91B2B"/>
    <w:rsid w:val="00FA28CC"/>
    <w:rsid w:val="00FA3135"/>
    <w:rsid w:val="00FA3269"/>
    <w:rsid w:val="00FA4457"/>
    <w:rsid w:val="00FB468B"/>
    <w:rsid w:val="00FB62BA"/>
    <w:rsid w:val="00FC03CD"/>
    <w:rsid w:val="00FC0646"/>
    <w:rsid w:val="00FC0826"/>
    <w:rsid w:val="00FC161F"/>
    <w:rsid w:val="00FC2FC6"/>
    <w:rsid w:val="00FC55A7"/>
    <w:rsid w:val="00FC68B7"/>
    <w:rsid w:val="00FD0A90"/>
    <w:rsid w:val="00FD6E23"/>
    <w:rsid w:val="00FE58E6"/>
    <w:rsid w:val="00FE6985"/>
    <w:rsid w:val="00FF1211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3F0F63AA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customStyle="1" w:styleId="Normaltext">
    <w:name w:val="Normaltext"/>
    <w:basedOn w:val="Normal"/>
    <w:qFormat/>
    <w:rsid w:val="00797219"/>
    <w:pPr>
      <w:spacing w:before="180" w:after="0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paragraph" w:customStyle="1" w:styleId="Retraitdecorpsdetexte">
    <w:name w:val="Retrait de corps de texte"/>
    <w:basedOn w:val="Normal"/>
    <w:rsid w:val="00797219"/>
    <w:pPr>
      <w:tabs>
        <w:tab w:val="left" w:pos="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/>
      <w:ind w:left="709"/>
      <w:jc w:val="both"/>
    </w:pPr>
    <w:rPr>
      <w:rFonts w:ascii="Arial" w:hAnsi="Arial" w:cs="Arial"/>
      <w:color w:val="00000A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97219"/>
    <w:pPr>
      <w:spacing w:after="0"/>
      <w:ind w:left="720"/>
      <w:contextualSpacing/>
    </w:pPr>
    <w:rPr>
      <w:rFonts w:ascii="Arial" w:hAnsi="Arial" w:cs="Arial"/>
      <w:color w:val="00000A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D811-8932-451C-99EE-7B71122F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3</cp:revision>
  <cp:lastPrinted>2020-09-15T13:39:00Z</cp:lastPrinted>
  <dcterms:created xsi:type="dcterms:W3CDTF">2020-09-15T15:06:00Z</dcterms:created>
  <dcterms:modified xsi:type="dcterms:W3CDTF">2020-09-15T15:08:00Z</dcterms:modified>
</cp:coreProperties>
</file>