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61EEC1E" w14:textId="77777777" w:rsidTr="00C97039">
        <w:trPr>
          <w:trHeight w:hRule="exact" w:val="851"/>
        </w:trPr>
        <w:tc>
          <w:tcPr>
            <w:tcW w:w="1276" w:type="dxa"/>
            <w:tcBorders>
              <w:bottom w:val="single" w:sz="4" w:space="0" w:color="auto"/>
            </w:tcBorders>
          </w:tcPr>
          <w:p w14:paraId="17E7A37F" w14:textId="77777777" w:rsidR="00F35BAF" w:rsidRPr="00DB58B5" w:rsidRDefault="00F35BAF" w:rsidP="00297FD1">
            <w:bookmarkStart w:id="0" w:name="_GoBack"/>
            <w:bookmarkEnd w:id="0"/>
          </w:p>
        </w:tc>
        <w:tc>
          <w:tcPr>
            <w:tcW w:w="2268" w:type="dxa"/>
            <w:tcBorders>
              <w:bottom w:val="single" w:sz="4" w:space="0" w:color="auto"/>
            </w:tcBorders>
            <w:vAlign w:val="bottom"/>
          </w:tcPr>
          <w:p w14:paraId="2C77FFA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976C35" w14:textId="77777777" w:rsidR="00F35BAF" w:rsidRPr="00DB58B5" w:rsidRDefault="00297FD1" w:rsidP="00297FD1">
            <w:pPr>
              <w:jc w:val="right"/>
            </w:pPr>
            <w:r w:rsidRPr="00297FD1">
              <w:rPr>
                <w:sz w:val="40"/>
              </w:rPr>
              <w:t>ECE</w:t>
            </w:r>
            <w:r>
              <w:t>/TRANS/WP.15/AC.1/158/Add.1</w:t>
            </w:r>
          </w:p>
        </w:tc>
      </w:tr>
      <w:tr w:rsidR="00F35BAF" w:rsidRPr="00DB58B5" w14:paraId="5A41D56D" w14:textId="77777777" w:rsidTr="00C97039">
        <w:trPr>
          <w:trHeight w:hRule="exact" w:val="2835"/>
        </w:trPr>
        <w:tc>
          <w:tcPr>
            <w:tcW w:w="1276" w:type="dxa"/>
            <w:tcBorders>
              <w:top w:val="single" w:sz="4" w:space="0" w:color="auto"/>
              <w:bottom w:val="single" w:sz="12" w:space="0" w:color="auto"/>
            </w:tcBorders>
          </w:tcPr>
          <w:p w14:paraId="7B5523F2" w14:textId="77777777" w:rsidR="00F35BAF" w:rsidRPr="00DB58B5" w:rsidRDefault="00F35BAF" w:rsidP="00C97039">
            <w:pPr>
              <w:spacing w:before="120"/>
              <w:jc w:val="center"/>
            </w:pPr>
            <w:r>
              <w:rPr>
                <w:noProof/>
                <w:lang w:eastAsia="fr-CH"/>
              </w:rPr>
              <w:drawing>
                <wp:inline distT="0" distB="0" distL="0" distR="0" wp14:anchorId="2F65C9B0" wp14:editId="6EF730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50EE1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CA5627" w14:textId="77777777" w:rsidR="00F35BAF" w:rsidRDefault="00297FD1" w:rsidP="00C97039">
            <w:pPr>
              <w:spacing w:before="240"/>
            </w:pPr>
            <w:r>
              <w:t>Distr. générale</w:t>
            </w:r>
          </w:p>
          <w:p w14:paraId="4857C453" w14:textId="77777777" w:rsidR="00297FD1" w:rsidRDefault="00297FD1" w:rsidP="00297FD1">
            <w:pPr>
              <w:spacing w:line="240" w:lineRule="exact"/>
            </w:pPr>
            <w:r>
              <w:t>13 octobre 2020</w:t>
            </w:r>
          </w:p>
          <w:p w14:paraId="6A1379CB" w14:textId="77777777" w:rsidR="00297FD1" w:rsidRDefault="00297FD1" w:rsidP="00297FD1">
            <w:pPr>
              <w:spacing w:line="240" w:lineRule="exact"/>
            </w:pPr>
            <w:r>
              <w:t>Français</w:t>
            </w:r>
          </w:p>
          <w:p w14:paraId="08345231" w14:textId="77777777" w:rsidR="00297FD1" w:rsidRPr="00DB58B5" w:rsidRDefault="00297FD1" w:rsidP="00297FD1">
            <w:pPr>
              <w:spacing w:line="240" w:lineRule="exact"/>
            </w:pPr>
            <w:r>
              <w:t>Original</w:t>
            </w:r>
            <w:r w:rsidR="0032072F">
              <w:t> :</w:t>
            </w:r>
            <w:r>
              <w:t xml:space="preserve"> anglais</w:t>
            </w:r>
          </w:p>
        </w:tc>
      </w:tr>
    </w:tbl>
    <w:p w14:paraId="2AA59635" w14:textId="77777777" w:rsidR="007F20FA" w:rsidRPr="000312C0" w:rsidRDefault="007F20FA" w:rsidP="007F20FA">
      <w:pPr>
        <w:spacing w:before="120"/>
        <w:rPr>
          <w:b/>
          <w:sz w:val="28"/>
          <w:szCs w:val="28"/>
        </w:rPr>
      </w:pPr>
      <w:r w:rsidRPr="000312C0">
        <w:rPr>
          <w:b/>
          <w:sz w:val="28"/>
          <w:szCs w:val="28"/>
        </w:rPr>
        <w:t>Commission économique pour l’Europe</w:t>
      </w:r>
    </w:p>
    <w:p w14:paraId="2D804067" w14:textId="77777777" w:rsidR="007F20FA" w:rsidRDefault="007F20FA" w:rsidP="007F20FA">
      <w:pPr>
        <w:spacing w:before="120"/>
        <w:rPr>
          <w:sz w:val="28"/>
          <w:szCs w:val="28"/>
        </w:rPr>
      </w:pPr>
      <w:r w:rsidRPr="00685843">
        <w:rPr>
          <w:sz w:val="28"/>
          <w:szCs w:val="28"/>
        </w:rPr>
        <w:t>Comité des transports intérieurs</w:t>
      </w:r>
    </w:p>
    <w:p w14:paraId="2C337E65" w14:textId="77777777" w:rsidR="0032072F" w:rsidRPr="00D853CB" w:rsidRDefault="0032072F" w:rsidP="0032072F">
      <w:pPr>
        <w:spacing w:before="120"/>
        <w:outlineLvl w:val="0"/>
        <w:rPr>
          <w:b/>
          <w:sz w:val="24"/>
          <w:szCs w:val="24"/>
        </w:rPr>
      </w:pPr>
      <w:r w:rsidRPr="00D853CB">
        <w:rPr>
          <w:b/>
          <w:sz w:val="24"/>
          <w:szCs w:val="24"/>
        </w:rPr>
        <w:t xml:space="preserve">Groupe de travail des transports </w:t>
      </w:r>
      <w:r w:rsidR="007915DE">
        <w:rPr>
          <w:b/>
          <w:sz w:val="24"/>
          <w:szCs w:val="24"/>
        </w:rPr>
        <w:br/>
      </w:r>
      <w:r w:rsidRPr="00D853CB">
        <w:rPr>
          <w:b/>
          <w:sz w:val="24"/>
          <w:szCs w:val="24"/>
        </w:rPr>
        <w:t>de marchandises dangereuses</w:t>
      </w:r>
    </w:p>
    <w:p w14:paraId="4E84AD66" w14:textId="77777777" w:rsidR="0032072F" w:rsidRPr="00675366" w:rsidRDefault="0032072F" w:rsidP="0032072F">
      <w:pPr>
        <w:spacing w:before="120"/>
        <w:rPr>
          <w:b/>
        </w:rPr>
      </w:pPr>
      <w:r w:rsidRPr="00D853CB">
        <w:rPr>
          <w:b/>
        </w:rPr>
        <w:t>Réunion commune de la Commission d</w:t>
      </w:r>
      <w:r>
        <w:rPr>
          <w:b/>
        </w:rPr>
        <w:t>’</w:t>
      </w:r>
      <w:r w:rsidRPr="00D853CB">
        <w:rPr>
          <w:b/>
        </w:rPr>
        <w:t xml:space="preserve">experts </w:t>
      </w:r>
      <w:r w:rsidR="007915DE">
        <w:rPr>
          <w:b/>
        </w:rPr>
        <w:br/>
      </w:r>
      <w:r w:rsidRPr="00D853CB">
        <w:rPr>
          <w:b/>
        </w:rPr>
        <w:t>du RID</w:t>
      </w:r>
      <w:r>
        <w:rPr>
          <w:b/>
        </w:rPr>
        <w:t xml:space="preserve"> et du</w:t>
      </w:r>
      <w:r w:rsidR="007915DE">
        <w:rPr>
          <w:b/>
        </w:rPr>
        <w:t xml:space="preserve"> </w:t>
      </w:r>
      <w:r w:rsidRPr="00675366">
        <w:rPr>
          <w:b/>
        </w:rPr>
        <w:t xml:space="preserve">Groupe de travail des transports </w:t>
      </w:r>
      <w:r w:rsidR="007915DE">
        <w:rPr>
          <w:b/>
        </w:rPr>
        <w:br/>
      </w:r>
      <w:r w:rsidRPr="00675366">
        <w:rPr>
          <w:b/>
        </w:rPr>
        <w:t>de marchandises dangereuses</w:t>
      </w:r>
    </w:p>
    <w:p w14:paraId="52FD118C" w14:textId="77777777" w:rsidR="0032072F" w:rsidRPr="00FF732F" w:rsidRDefault="0032072F" w:rsidP="007915DE">
      <w:pPr>
        <w:pStyle w:val="HChG"/>
      </w:pPr>
      <w:r w:rsidRPr="00675366">
        <w:tab/>
      </w:r>
      <w:r w:rsidRPr="00675366">
        <w:tab/>
      </w:r>
      <w:r w:rsidRPr="00FF732F">
        <w:t>Rapport de la Réunion commune de la Commission d</w:t>
      </w:r>
      <w:r>
        <w:t>’</w:t>
      </w:r>
      <w:r w:rsidRPr="00FF732F">
        <w:t>experts</w:t>
      </w:r>
      <w:r w:rsidR="007915DE">
        <w:t> </w:t>
      </w:r>
      <w:r w:rsidRPr="00FF732F">
        <w:t>du RID et du Groupe de travail des transports de</w:t>
      </w:r>
      <w:r w:rsidR="007915DE">
        <w:t> </w:t>
      </w:r>
      <w:r w:rsidRPr="00FF732F">
        <w:t>marchandises dangereuses sur sa session d</w:t>
      </w:r>
      <w:r>
        <w:t>’</w:t>
      </w:r>
      <w:r w:rsidRPr="00FF732F">
        <w:t>automne 2020</w:t>
      </w:r>
      <w:r w:rsidRPr="007915DE">
        <w:rPr>
          <w:rStyle w:val="FootnoteReference"/>
          <w:b w:val="0"/>
          <w:bCs/>
          <w:sz w:val="20"/>
          <w:vertAlign w:val="baseline"/>
        </w:rPr>
        <w:footnoteReference w:customMarkFollows="1" w:id="2"/>
        <w:t>*</w:t>
      </w:r>
    </w:p>
    <w:p w14:paraId="51970C7D" w14:textId="77777777" w:rsidR="0032072F" w:rsidRPr="00D87980" w:rsidRDefault="0032072F" w:rsidP="007915DE">
      <w:pPr>
        <w:pStyle w:val="SingleTxtG"/>
      </w:pPr>
      <w:r w:rsidRPr="00D87980">
        <w:t>Tenue à Berne, les 10 et 11</w:t>
      </w:r>
      <w:r w:rsidR="007915DE">
        <w:t> </w:t>
      </w:r>
      <w:r w:rsidRPr="00D87980">
        <w:t>septembre</w:t>
      </w:r>
      <w:r w:rsidR="007915DE">
        <w:t>,</w:t>
      </w:r>
      <w:r w:rsidRPr="00D87980">
        <w:t xml:space="preserve"> et </w:t>
      </w:r>
      <w:r>
        <w:t xml:space="preserve">à </w:t>
      </w:r>
      <w:r w:rsidRPr="00D87980">
        <w:t>Gen</w:t>
      </w:r>
      <w:r>
        <w:t>ève</w:t>
      </w:r>
      <w:r w:rsidRPr="00D87980">
        <w:t xml:space="preserve">, </w:t>
      </w:r>
      <w:r>
        <w:t xml:space="preserve">du </w:t>
      </w:r>
      <w:r w:rsidRPr="00D87980">
        <w:t>14</w:t>
      </w:r>
      <w:r>
        <w:t xml:space="preserve"> au </w:t>
      </w:r>
      <w:r w:rsidRPr="00D87980">
        <w:t>18</w:t>
      </w:r>
      <w:r w:rsidR="007915DE">
        <w:t> </w:t>
      </w:r>
      <w:r>
        <w:t xml:space="preserve">septembre </w:t>
      </w:r>
      <w:r w:rsidRPr="00D87980">
        <w:t>2020</w:t>
      </w:r>
      <w:r w:rsidR="007915DE">
        <w:t>.</w:t>
      </w:r>
    </w:p>
    <w:p w14:paraId="2AC6EF14" w14:textId="77777777" w:rsidR="0032072F" w:rsidRPr="00D87980" w:rsidRDefault="0032072F" w:rsidP="007915DE">
      <w:pPr>
        <w:pStyle w:val="H23G"/>
      </w:pPr>
      <w:r w:rsidRPr="00D87980">
        <w:tab/>
      </w:r>
      <w:r w:rsidRPr="00D87980">
        <w:tab/>
        <w:t>Additif</w:t>
      </w:r>
      <w:r w:rsidRPr="007915DE">
        <w:rPr>
          <w:rStyle w:val="FootnoteReference"/>
          <w:b w:val="0"/>
          <w:bCs/>
          <w:sz w:val="20"/>
          <w:vertAlign w:val="baseline"/>
        </w:rPr>
        <w:footnoteReference w:customMarkFollows="1" w:id="3"/>
        <w:t>**</w:t>
      </w:r>
    </w:p>
    <w:p w14:paraId="2CCE99AC" w14:textId="77777777" w:rsidR="0032072F" w:rsidRPr="00D87980" w:rsidRDefault="0032072F" w:rsidP="00A56664">
      <w:pPr>
        <w:pStyle w:val="H1G"/>
      </w:pPr>
      <w:r w:rsidRPr="00D87980">
        <w:tab/>
      </w:r>
      <w:r w:rsidRPr="00D87980">
        <w:tab/>
        <w:t>Annexe I</w:t>
      </w:r>
    </w:p>
    <w:p w14:paraId="0CEA394C" w14:textId="77777777" w:rsidR="0032072F" w:rsidRPr="00A662D1" w:rsidRDefault="0032072F" w:rsidP="00A56664">
      <w:pPr>
        <w:pStyle w:val="H1G"/>
      </w:pPr>
      <w:r w:rsidRPr="00D87980">
        <w:tab/>
      </w:r>
      <w:r w:rsidRPr="00D87980">
        <w:tab/>
      </w:r>
      <w:r w:rsidRPr="00A662D1">
        <w:t>Rapport du Groupe de travail des citernes</w:t>
      </w:r>
    </w:p>
    <w:p w14:paraId="10A4DBF9" w14:textId="77777777" w:rsidR="0032072F" w:rsidRPr="00E23B31" w:rsidRDefault="0032072F" w:rsidP="007915DE">
      <w:pPr>
        <w:pStyle w:val="SingleTxtG"/>
      </w:pPr>
      <w:r w:rsidRPr="00E23B31">
        <w:t>1.</w:t>
      </w:r>
      <w:r w:rsidRPr="00E23B31">
        <w:tab/>
        <w:t xml:space="preserve">Le </w:t>
      </w:r>
      <w:bookmarkStart w:id="2" w:name="_Hlk56430541"/>
      <w:r w:rsidRPr="00E23B31">
        <w:t xml:space="preserve">Groupe de travail des citernes </w:t>
      </w:r>
      <w:bookmarkEnd w:id="2"/>
      <w:r w:rsidRPr="00E23B31">
        <w:t>s</w:t>
      </w:r>
      <w:r>
        <w:t>’</w:t>
      </w:r>
      <w:r w:rsidRPr="00E23B31">
        <w:t>est réuni à distance les 10 et 11</w:t>
      </w:r>
      <w:r w:rsidR="007915DE">
        <w:t> </w:t>
      </w:r>
      <w:r w:rsidRPr="00E23B31">
        <w:t>septembre puis du 14 au 18</w:t>
      </w:r>
      <w:r w:rsidR="007915DE">
        <w:t> </w:t>
      </w:r>
      <w:r w:rsidRPr="00E23B31">
        <w:t>septembre 2020 sur mandat de la Réunion commune RID/ADR/ADN, sous la présidence de M.</w:t>
      </w:r>
      <w:r w:rsidR="007915DE">
        <w:t> </w:t>
      </w:r>
      <w:r w:rsidRPr="00E23B31">
        <w:t>Arne Bale (Royaume-Uni), le secrétaire étant M.</w:t>
      </w:r>
      <w:r w:rsidR="007915DE">
        <w:t> </w:t>
      </w:r>
      <w:r w:rsidRPr="00E23B31">
        <w:t>Kees de Putter (Pays</w:t>
      </w:r>
      <w:r w:rsidR="007915DE">
        <w:noBreakHyphen/>
      </w:r>
      <w:r w:rsidRPr="00E23B31">
        <w:t>Bas). Les documents pertinents ont été soumis à la session pléni</w:t>
      </w:r>
      <w:r>
        <w:t>è</w:t>
      </w:r>
      <w:r w:rsidRPr="00E23B31">
        <w:t>re et transféré au Groupe de travail pour examen.</w:t>
      </w:r>
    </w:p>
    <w:p w14:paraId="1F979E40" w14:textId="77777777" w:rsidR="0032072F" w:rsidRPr="00395CDC" w:rsidRDefault="0032072F" w:rsidP="007915DE">
      <w:pPr>
        <w:pStyle w:val="SingleTxtG"/>
      </w:pPr>
      <w:r w:rsidRPr="00395CDC">
        <w:t>2.</w:t>
      </w:r>
      <w:r w:rsidRPr="00395CDC">
        <w:tab/>
        <w:t xml:space="preserve">Quarante-sept experts de </w:t>
      </w:r>
      <w:r w:rsidR="00A56664">
        <w:t>16 </w:t>
      </w:r>
      <w:r w:rsidRPr="00395CDC">
        <w:t xml:space="preserve">pays </w:t>
      </w:r>
      <w:r>
        <w:t xml:space="preserve">et de </w:t>
      </w:r>
      <w:r w:rsidR="00A56664">
        <w:t>5 </w:t>
      </w:r>
      <w:r>
        <w:t xml:space="preserve">organisations non-gouvernementales </w:t>
      </w:r>
      <w:r w:rsidRPr="00395CDC">
        <w:t>s</w:t>
      </w:r>
      <w:r>
        <w:t>’</w:t>
      </w:r>
      <w:r w:rsidRPr="00395CDC">
        <w:t>étaient inscrits pour participer au</w:t>
      </w:r>
      <w:r w:rsidRPr="00395CDC">
        <w:rPr>
          <w:bCs/>
        </w:rPr>
        <w:t xml:space="preserve"> Groupe de travail des citernes</w:t>
      </w:r>
      <w:r>
        <w:rPr>
          <w:bCs/>
        </w:rPr>
        <w:t>. Ils ont abordé les documents officiels et informels suivants :</w:t>
      </w:r>
    </w:p>
    <w:p w14:paraId="169EB8F9" w14:textId="77777777" w:rsidR="007915DE" w:rsidRDefault="0032072F" w:rsidP="007915DE">
      <w:pPr>
        <w:pStyle w:val="SingleTxtG"/>
        <w:ind w:left="3402" w:hanging="2268"/>
        <w:jc w:val="left"/>
      </w:pPr>
      <w:r w:rsidRPr="00D3299A">
        <w:rPr>
          <w:i/>
        </w:rPr>
        <w:t>Documents</w:t>
      </w:r>
      <w:r>
        <w:t> :</w:t>
      </w:r>
      <w:r w:rsidR="007915DE">
        <w:tab/>
      </w:r>
      <w:r w:rsidRPr="00D3299A">
        <w:t>ECE/TRANS/WP.15/AC.1/2020/1 (EIGA)</w:t>
      </w:r>
      <w:r w:rsidR="007915DE">
        <w:br/>
      </w:r>
      <w:r w:rsidRPr="0079541D">
        <w:t>ECE/TRANS/WP.15/AC.1/2020/6 (OTIF)</w:t>
      </w:r>
      <w:r w:rsidR="007915DE">
        <w:br/>
      </w:r>
      <w:r w:rsidRPr="0079541D">
        <w:t>ECE/TRANS/WP.15/AC.1/2020/7 (France)</w:t>
      </w:r>
      <w:r w:rsidR="007915DE">
        <w:br/>
      </w:r>
      <w:r w:rsidRPr="0079541D">
        <w:t>ECE/TRANS/WP.15/AC.1/2020/12 (UIP/UIC)</w:t>
      </w:r>
      <w:r w:rsidR="007915DE">
        <w:br/>
      </w:r>
      <w:r w:rsidRPr="0079541D">
        <w:t>ECE/TRANS/WP.15/AC.1/2020/16 (France)</w:t>
      </w:r>
      <w:r w:rsidR="007915DE">
        <w:br/>
      </w:r>
      <w:r w:rsidRPr="0079541D">
        <w:lastRenderedPageBreak/>
        <w:t>ECE/TRANS/WP.15/AC.1/2020/17 (France)</w:t>
      </w:r>
      <w:r w:rsidR="007915DE">
        <w:br/>
      </w:r>
      <w:r w:rsidRPr="00554C20">
        <w:t>ECE/TRANS/WP.15/AC.1/2020/18 (France)</w:t>
      </w:r>
      <w:r w:rsidR="007915DE">
        <w:br/>
      </w:r>
      <w:r w:rsidRPr="001E5425">
        <w:t>ECE/TRANS/WP.15/AC.1/2020/19 (Royaume-Uni)</w:t>
      </w:r>
      <w:r w:rsidR="007915DE">
        <w:br/>
      </w:r>
      <w:r w:rsidRPr="001E5425">
        <w:t>ECE/TRANS/WP.15/AC.1/2020/20 (Royaume-Uni)</w:t>
      </w:r>
      <w:r w:rsidR="007915DE">
        <w:br/>
      </w:r>
      <w:r w:rsidRPr="001E5425">
        <w:t>ECE/TRANS/WP.15/AC.1/2020/26 (Pologne)</w:t>
      </w:r>
      <w:r w:rsidR="007915DE">
        <w:br/>
      </w:r>
      <w:r w:rsidRPr="00F77468">
        <w:t>ECE/TRANS/WP.15/AC.1/2020/31 (Fédération de Russie)</w:t>
      </w:r>
      <w:r w:rsidR="007915DE">
        <w:br/>
      </w:r>
      <w:r w:rsidRPr="00F77468">
        <w:t>ECE/TRANS/WP.15/AC.1/2020/32 (Fédération de Russie)</w:t>
      </w:r>
      <w:r w:rsidR="007915DE">
        <w:br/>
      </w:r>
      <w:r w:rsidRPr="00F77468">
        <w:t>ECE/TRANS/WP.15/AC.1/2020/33 (Fédération de Russie)</w:t>
      </w:r>
      <w:r w:rsidR="007915DE">
        <w:br/>
      </w:r>
      <w:r w:rsidRPr="00F77468">
        <w:t>ECE/TRANS/WP.15/AC.1/2020/34 (Fédération de Russie)</w:t>
      </w:r>
      <w:r w:rsidR="007915DE">
        <w:br/>
      </w:r>
      <w:r w:rsidRPr="00F77468">
        <w:t>ECE/TRANS/WP.15/AC.1/2020/35 (Fédération de Russie)</w:t>
      </w:r>
      <w:r w:rsidR="007915DE">
        <w:br/>
      </w:r>
      <w:r w:rsidRPr="00732FE5">
        <w:t>ECE/TRANS/WP.15/AC.1/2020/45 (UIP)</w:t>
      </w:r>
      <w:r w:rsidR="007915DE">
        <w:br/>
      </w:r>
      <w:r w:rsidRPr="00554C20">
        <w:t>ECE/TRANS/WP.15/AC.1/2020/47 (Irlande)</w:t>
      </w:r>
      <w:r w:rsidR="007915DE">
        <w:br/>
      </w:r>
      <w:r w:rsidRPr="001E5425">
        <w:t>ECE/TRANS/WP.15/AC.1/2020/48 (Royaume-Uni)</w:t>
      </w:r>
      <w:r w:rsidR="007915DE">
        <w:br/>
      </w:r>
      <w:r w:rsidRPr="001E5425">
        <w:t>ECE/TRANS/WP.15/AC.1/2020/49 (Royaume-Uni)</w:t>
      </w:r>
    </w:p>
    <w:p w14:paraId="622AD304" w14:textId="77777777" w:rsidR="0032072F" w:rsidRPr="00554C20" w:rsidRDefault="0032072F" w:rsidP="00A56664">
      <w:pPr>
        <w:pStyle w:val="SingleTxtG"/>
        <w:ind w:left="3402" w:hanging="2268"/>
        <w:jc w:val="left"/>
      </w:pPr>
      <w:r w:rsidRPr="001E5425">
        <w:rPr>
          <w:i/>
        </w:rPr>
        <w:t>Documents informels</w:t>
      </w:r>
      <w:r w:rsidRPr="007915DE">
        <w:rPr>
          <w:iCs/>
        </w:rPr>
        <w:t> :</w:t>
      </w:r>
      <w:r w:rsidR="007915DE">
        <w:rPr>
          <w:i/>
        </w:rPr>
        <w:tab/>
      </w:r>
      <w:r w:rsidRPr="001E5425">
        <w:t>INF.6 Rev.1 (Royaume-Uni)</w:t>
      </w:r>
      <w:r w:rsidR="007915DE">
        <w:br/>
      </w:r>
      <w:r w:rsidRPr="00554C20">
        <w:t>INF.9 (OTIF Secrétariat)</w:t>
      </w:r>
      <w:r w:rsidR="007915DE">
        <w:br/>
      </w:r>
      <w:r w:rsidRPr="00554C20">
        <w:t>INF.13 (Pays-Bas)</w:t>
      </w:r>
      <w:r w:rsidR="007915DE">
        <w:br/>
      </w:r>
      <w:r w:rsidRPr="00554C20">
        <w:t>INF.15 (</w:t>
      </w:r>
      <w:bookmarkStart w:id="3" w:name="_Hlk56430741"/>
      <w:r w:rsidRPr="00554C20">
        <w:t>Belgique</w:t>
      </w:r>
      <w:bookmarkEnd w:id="3"/>
      <w:r w:rsidRPr="00554C20">
        <w:t>)</w:t>
      </w:r>
      <w:r w:rsidR="007915DE">
        <w:br/>
      </w:r>
      <w:r w:rsidRPr="00554C20">
        <w:t>INF.17 (EIGA)</w:t>
      </w:r>
      <w:r w:rsidR="007915DE">
        <w:br/>
      </w:r>
      <w:r w:rsidRPr="00554C20">
        <w:t>INF.31 (</w:t>
      </w:r>
      <w:bookmarkStart w:id="4" w:name="_Hlk56430773"/>
      <w:r w:rsidRPr="00554C20">
        <w:t>Allemagne</w:t>
      </w:r>
      <w:bookmarkEnd w:id="4"/>
      <w:r w:rsidRPr="00554C20">
        <w:t>)</w:t>
      </w:r>
      <w:r w:rsidR="007915DE">
        <w:br/>
      </w:r>
      <w:r w:rsidRPr="00554C20">
        <w:t>INF.32 (Allemagne)</w:t>
      </w:r>
      <w:r w:rsidR="007915DE">
        <w:br/>
      </w:r>
      <w:r w:rsidRPr="00554C20">
        <w:t>INF.33 (UIP)</w:t>
      </w:r>
      <w:r w:rsidR="007915DE">
        <w:br/>
      </w:r>
      <w:r w:rsidRPr="00554C20">
        <w:t>INF.43 (Belgique)</w:t>
      </w:r>
      <w:r w:rsidR="007915DE">
        <w:br/>
      </w:r>
      <w:r w:rsidRPr="00554C20">
        <w:t>INF.44 (Belgique)</w:t>
      </w:r>
      <w:r w:rsidR="007915DE">
        <w:br/>
      </w:r>
      <w:r w:rsidRPr="00554C20">
        <w:t>INF.45 (ITCO)</w:t>
      </w:r>
      <w:r w:rsidR="007915DE">
        <w:br/>
      </w:r>
      <w:r w:rsidRPr="001E5425">
        <w:t>INF.46 (Allemagne)</w:t>
      </w:r>
      <w:r w:rsidR="007915DE">
        <w:br/>
      </w:r>
      <w:r w:rsidRPr="001E5425">
        <w:t>INF.54 (Royaume-Uni)</w:t>
      </w:r>
      <w:r w:rsidR="007915DE">
        <w:br/>
      </w:r>
      <w:r w:rsidRPr="001E5425">
        <w:t>INF.56 (Pologne)</w:t>
      </w:r>
      <w:r w:rsidR="007915DE">
        <w:br/>
      </w:r>
      <w:r w:rsidRPr="001E5425">
        <w:t>INF.57 (Royaume-Uni)</w:t>
      </w:r>
      <w:r w:rsidR="007915DE">
        <w:br/>
      </w:r>
      <w:r w:rsidRPr="00554C20">
        <w:t>INF.63 (Royaume-Uni</w:t>
      </w:r>
    </w:p>
    <w:p w14:paraId="1FEE20E3" w14:textId="77777777" w:rsidR="0032072F" w:rsidRPr="00F243D2" w:rsidRDefault="007915DE" w:rsidP="007915DE">
      <w:pPr>
        <w:pStyle w:val="HChG"/>
      </w:pPr>
      <w:r>
        <w:tab/>
      </w:r>
      <w:r w:rsidR="0032072F" w:rsidRPr="00554C20">
        <w:t>I.</w:t>
      </w:r>
      <w:r w:rsidR="0032072F" w:rsidRPr="00554C20">
        <w:tab/>
      </w:r>
      <w:r w:rsidR="0032072F" w:rsidRPr="00F243D2">
        <w:t>Section I</w:t>
      </w:r>
      <w:r w:rsidR="0032072F">
        <w:t> :</w:t>
      </w:r>
      <w:r w:rsidR="0032072F" w:rsidRPr="00F243D2">
        <w:t xml:space="preserve"> Résultats des discussions nécessitant l</w:t>
      </w:r>
      <w:r w:rsidR="0032072F">
        <w:t>’</w:t>
      </w:r>
      <w:r w:rsidR="0032072F" w:rsidRPr="00F243D2">
        <w:t>approbation de la Réunion commune</w:t>
      </w:r>
    </w:p>
    <w:p w14:paraId="0D70758A" w14:textId="77777777" w:rsidR="0032072F" w:rsidRPr="0009023F" w:rsidRDefault="007915DE" w:rsidP="007915DE">
      <w:pPr>
        <w:pStyle w:val="H1G"/>
        <w:rPr>
          <w:bCs/>
        </w:rPr>
      </w:pPr>
      <w:r>
        <w:rPr>
          <w:bCs/>
        </w:rPr>
        <w:tab/>
      </w:r>
      <w:r w:rsidR="0032072F" w:rsidRPr="0009023F">
        <w:rPr>
          <w:bCs/>
        </w:rPr>
        <w:t>Point 1</w:t>
      </w:r>
      <w:r w:rsidR="0032072F">
        <w:rPr>
          <w:bCs/>
        </w:rPr>
        <w:t> :</w:t>
      </w:r>
      <w:r w:rsidR="0032072F" w:rsidRPr="0009023F">
        <w:rPr>
          <w:bCs/>
        </w:rPr>
        <w:tab/>
      </w:r>
      <w:r w:rsidR="0032072F">
        <w:rPr>
          <w:bCs/>
        </w:rPr>
        <w:t xml:space="preserve">Documents </w:t>
      </w:r>
      <w:r w:rsidR="0032072F" w:rsidRPr="0009023F">
        <w:t xml:space="preserve">ECE/TRANS/WP.15/AC.1/2020/6 (OTIF) </w:t>
      </w:r>
      <w:r>
        <w:t>−</w:t>
      </w:r>
      <w:r w:rsidR="0032072F" w:rsidRPr="0009023F">
        <w:t xml:space="preserve"> Conteneurs-citernes de très grandes</w:t>
      </w:r>
      <w:r w:rsidR="0032072F" w:rsidRPr="0009023F">
        <w:rPr>
          <w:rFonts w:ascii="Segoe UI" w:hAnsi="Segoe UI" w:cs="Segoe UI"/>
        </w:rPr>
        <w:t xml:space="preserve"> </w:t>
      </w:r>
      <w:r w:rsidR="0032072F" w:rsidRPr="0009023F">
        <w:t>dimensions et INF.45</w:t>
      </w:r>
      <w:r>
        <w:t xml:space="preserve"> </w:t>
      </w:r>
      <w:r w:rsidR="0032072F" w:rsidRPr="0009023F">
        <w:t>(ITCO)</w:t>
      </w:r>
    </w:p>
    <w:p w14:paraId="2E59F724" w14:textId="77777777" w:rsidR="0032072F" w:rsidRDefault="0032072F" w:rsidP="007915DE">
      <w:pPr>
        <w:pStyle w:val="SingleTxtG"/>
      </w:pPr>
      <w:r w:rsidRPr="00A214B6">
        <w:t>3.</w:t>
      </w:r>
      <w:r w:rsidRPr="00A214B6">
        <w:tab/>
        <w:t xml:space="preserve">Ce document soulevait deux questions. </w:t>
      </w:r>
      <w:r>
        <w:t>S’agissant de la f</w:t>
      </w:r>
      <w:r w:rsidRPr="00812662">
        <w:t>ixation de constructions annexes soudées</w:t>
      </w:r>
      <w:r>
        <w:t xml:space="preserve"> au réservoir, un consensus s’est dégagé entre les experts pour considérer que ces dispositions devaient être conceptuelles et ne pas se traduire par des restrictions sur le plan de la conception. Une nouvelle formulation plus générale a été introduite pour pouvoir s’appliquer aussi bien au </w:t>
      </w:r>
      <w:r w:rsidRPr="00B0401C">
        <w:t>conteneur</w:t>
      </w:r>
      <w:r>
        <w:t>s</w:t>
      </w:r>
      <w:r w:rsidRPr="00B0401C">
        <w:t>-citerne</w:t>
      </w:r>
      <w:r>
        <w:t xml:space="preserve">s qu’aux </w:t>
      </w:r>
      <w:r w:rsidRPr="00B0401C">
        <w:t>véhicules-citernes</w:t>
      </w:r>
      <w:r>
        <w:t>. Il a été fait remarquer que le texte de la version française sur les wagons-citernes pouvait être amélioré si on l’alignait sur la version anglaise.</w:t>
      </w:r>
    </w:p>
    <w:p w14:paraId="4C6AE8E8" w14:textId="77777777" w:rsidR="0032072F" w:rsidRPr="00606DEC" w:rsidRDefault="0032072F" w:rsidP="007915DE">
      <w:pPr>
        <w:pStyle w:val="H23G"/>
      </w:pPr>
      <w:r w:rsidRPr="00554C20">
        <w:tab/>
      </w:r>
      <w:r w:rsidRPr="00554C20">
        <w:tab/>
      </w:r>
      <w:r w:rsidRPr="00606DEC">
        <w:t>Proposition 1</w:t>
      </w:r>
      <w:r>
        <w:t> :</w:t>
      </w:r>
      <w:r w:rsidRPr="00606DEC">
        <w:t xml:space="preserve"> Au paragraphe 6.8.2.2.1 du RID</w:t>
      </w:r>
      <w:r>
        <w:t>,</w:t>
      </w:r>
      <w:r w:rsidRPr="00606DEC">
        <w:t xml:space="preserve"> </w:t>
      </w:r>
      <w:bookmarkStart w:id="5" w:name="_Hlk56432008"/>
      <w:r w:rsidRPr="00606DEC">
        <w:t>après la première phrase ajouter à</w:t>
      </w:r>
      <w:r w:rsidR="007915DE">
        <w:t> </w:t>
      </w:r>
      <w:r w:rsidRPr="00606DEC">
        <w:t>droite un nouveau texte</w:t>
      </w:r>
      <w:bookmarkEnd w:id="5"/>
      <w:r w:rsidRPr="00606DEC">
        <w:t xml:space="preserve"> </w:t>
      </w:r>
      <w:r>
        <w:t>ainsi conçu (</w:t>
      </w:r>
      <w:r w:rsidRPr="002321FA">
        <w:rPr>
          <w:i/>
          <w:iCs/>
        </w:rPr>
        <w:t>en italiques</w:t>
      </w:r>
      <w:r w:rsidRPr="00606DEC">
        <w:t>)</w:t>
      </w:r>
      <w:r>
        <w:t> :</w:t>
      </w:r>
    </w:p>
    <w:tbl>
      <w:tblPr>
        <w:tblStyle w:val="TableGrid"/>
        <w:tblW w:w="0" w:type="auto"/>
        <w:tblInd w:w="1134" w:type="dxa"/>
        <w:tblLook w:val="04A0" w:firstRow="1" w:lastRow="0" w:firstColumn="1" w:lastColumn="0" w:noHBand="0" w:noVBand="1"/>
      </w:tblPr>
      <w:tblGrid>
        <w:gridCol w:w="4536"/>
        <w:gridCol w:w="2835"/>
      </w:tblGrid>
      <w:tr w:rsidR="0032072F" w:rsidRPr="00787C3B" w14:paraId="7B899729" w14:textId="77777777" w:rsidTr="0032072F">
        <w:tc>
          <w:tcPr>
            <w:tcW w:w="4536" w:type="dxa"/>
            <w:tcBorders>
              <w:top w:val="nil"/>
              <w:left w:val="nil"/>
              <w:bottom w:val="nil"/>
              <w:right w:val="single" w:sz="4" w:space="0" w:color="auto"/>
            </w:tcBorders>
          </w:tcPr>
          <w:p w14:paraId="3C75FB67" w14:textId="77777777" w:rsidR="0032072F" w:rsidRPr="00F001D2" w:rsidRDefault="0032072F" w:rsidP="00A56664">
            <w:pPr>
              <w:pStyle w:val="SingleTxtG"/>
              <w:spacing w:before="120"/>
              <w:ind w:left="0" w:right="113"/>
              <w:rPr>
                <w:strike/>
              </w:rPr>
            </w:pPr>
            <w:r w:rsidRPr="00182043">
              <w:t>Les fixations de constructions annexes soudées doivent être réalisées de manière à empêcher que le réservoir ne soit éventré en cas de sollicitations dues à un accident. Les mesures suivantes permettent de satisfaire à cette condition</w:t>
            </w:r>
            <w:r>
              <w:t> :</w:t>
            </w:r>
          </w:p>
        </w:tc>
        <w:tc>
          <w:tcPr>
            <w:tcW w:w="2835" w:type="dxa"/>
            <w:tcBorders>
              <w:top w:val="nil"/>
              <w:left w:val="single" w:sz="4" w:space="0" w:color="auto"/>
              <w:bottom w:val="nil"/>
              <w:right w:val="nil"/>
            </w:tcBorders>
          </w:tcPr>
          <w:p w14:paraId="153A6035" w14:textId="77777777" w:rsidR="0032072F" w:rsidRPr="007915DE" w:rsidRDefault="0032072F" w:rsidP="00A56664">
            <w:pPr>
              <w:pStyle w:val="SingleTxtG"/>
              <w:spacing w:before="120"/>
              <w:ind w:left="113" w:right="0"/>
              <w:rPr>
                <w:i/>
                <w:iCs/>
                <w:strike/>
              </w:rPr>
            </w:pPr>
            <w:r w:rsidRPr="007915DE">
              <w:rPr>
                <w:i/>
                <w:iCs/>
              </w:rPr>
              <w:t>Les constructions annexes soudées doivent être fixées au réservoir de manière à empêcher qu’il soit éventré</w:t>
            </w:r>
          </w:p>
        </w:tc>
      </w:tr>
      <w:tr w:rsidR="00526919" w:rsidRPr="00787C3B" w14:paraId="0504FD23" w14:textId="77777777" w:rsidTr="0032072F">
        <w:tc>
          <w:tcPr>
            <w:tcW w:w="4536" w:type="dxa"/>
            <w:tcBorders>
              <w:top w:val="nil"/>
              <w:left w:val="nil"/>
              <w:bottom w:val="nil"/>
              <w:right w:val="single" w:sz="4" w:space="0" w:color="auto"/>
            </w:tcBorders>
          </w:tcPr>
          <w:p w14:paraId="6878EBCA" w14:textId="77777777" w:rsidR="00526919" w:rsidRPr="00182043" w:rsidRDefault="00526919" w:rsidP="00A56664">
            <w:pPr>
              <w:pStyle w:val="Bullet1G"/>
              <w:keepNext/>
              <w:tabs>
                <w:tab w:val="clear" w:pos="1701"/>
              </w:tabs>
              <w:ind w:left="170" w:right="113"/>
            </w:pPr>
            <w:r w:rsidRPr="00182043">
              <w:lastRenderedPageBreak/>
              <w:t>Liaison avec le châssis</w:t>
            </w:r>
            <w:r>
              <w:t> :</w:t>
            </w:r>
            <w:r w:rsidRPr="00182043">
              <w:t xml:space="preserve"> fixation par l</w:t>
            </w:r>
            <w:r>
              <w:t>’</w:t>
            </w:r>
            <w:r w:rsidRPr="00182043">
              <w:t>intermédiaire d</w:t>
            </w:r>
            <w:r>
              <w:t>’</w:t>
            </w:r>
            <w:r w:rsidRPr="00182043">
              <w:t>une selle assurant la répartition des efforts dynamiques</w:t>
            </w:r>
            <w:r>
              <w:t> ;</w:t>
            </w:r>
          </w:p>
        </w:tc>
        <w:tc>
          <w:tcPr>
            <w:tcW w:w="2835" w:type="dxa"/>
            <w:tcBorders>
              <w:top w:val="nil"/>
              <w:left w:val="single" w:sz="4" w:space="0" w:color="auto"/>
              <w:bottom w:val="nil"/>
              <w:right w:val="nil"/>
            </w:tcBorders>
          </w:tcPr>
          <w:p w14:paraId="01FA93CE" w14:textId="77777777" w:rsidR="00526919" w:rsidRPr="007915DE" w:rsidRDefault="00526919" w:rsidP="00A56664">
            <w:pPr>
              <w:pStyle w:val="SingleTxtG"/>
              <w:keepNext/>
              <w:tabs>
                <w:tab w:val="left" w:pos="578"/>
                <w:tab w:val="left" w:pos="863"/>
              </w:tabs>
              <w:ind w:left="113" w:right="0"/>
              <w:rPr>
                <w:i/>
                <w:iCs/>
              </w:rPr>
            </w:pPr>
          </w:p>
        </w:tc>
      </w:tr>
      <w:tr w:rsidR="007915DE" w:rsidRPr="00787C3B" w14:paraId="3AA2B0D4" w14:textId="77777777" w:rsidTr="0032072F">
        <w:tc>
          <w:tcPr>
            <w:tcW w:w="4536" w:type="dxa"/>
            <w:tcBorders>
              <w:top w:val="nil"/>
              <w:left w:val="nil"/>
              <w:bottom w:val="nil"/>
              <w:right w:val="single" w:sz="4" w:space="0" w:color="auto"/>
            </w:tcBorders>
          </w:tcPr>
          <w:p w14:paraId="2B6FDD25" w14:textId="77777777" w:rsidR="007915DE" w:rsidRPr="00182043" w:rsidRDefault="00526919" w:rsidP="00A56664">
            <w:pPr>
              <w:pStyle w:val="Bullet1G"/>
              <w:tabs>
                <w:tab w:val="clear" w:pos="1701"/>
              </w:tabs>
              <w:ind w:left="170" w:right="113"/>
            </w:pPr>
            <w:r w:rsidRPr="00380A01">
              <w:t>Supports de la passerelle supérieure, de l</w:t>
            </w:r>
            <w:r>
              <w:t>’</w:t>
            </w:r>
            <w:r w:rsidRPr="00380A01">
              <w:t>échelle d</w:t>
            </w:r>
            <w:r>
              <w:t>’</w:t>
            </w:r>
            <w:r w:rsidRPr="00380A01">
              <w:t>accès, des tubulures de vidange, de la commande de la soupape et autres consoles de transmission d</w:t>
            </w:r>
            <w:r>
              <w:t>’</w:t>
            </w:r>
            <w:r w:rsidRPr="00380A01">
              <w:t>efforts</w:t>
            </w:r>
            <w:r>
              <w:t> :</w:t>
            </w:r>
            <w:r w:rsidRPr="00380A01">
              <w:t xml:space="preserve"> fixation par l</w:t>
            </w:r>
            <w:r>
              <w:t>’</w:t>
            </w:r>
            <w:r w:rsidRPr="00380A01">
              <w:t>intermédiaire d</w:t>
            </w:r>
            <w:r>
              <w:t>’</w:t>
            </w:r>
            <w:r w:rsidRPr="00380A01">
              <w:t>une plaque de renfort rapportée par soudure</w:t>
            </w:r>
            <w:r>
              <w:t> ;</w:t>
            </w:r>
          </w:p>
        </w:tc>
        <w:tc>
          <w:tcPr>
            <w:tcW w:w="2835" w:type="dxa"/>
            <w:tcBorders>
              <w:top w:val="nil"/>
              <w:left w:val="single" w:sz="4" w:space="0" w:color="auto"/>
              <w:bottom w:val="nil"/>
              <w:right w:val="nil"/>
            </w:tcBorders>
          </w:tcPr>
          <w:p w14:paraId="7D838C1A" w14:textId="77777777" w:rsidR="007915DE" w:rsidRPr="007915DE" w:rsidRDefault="007915DE" w:rsidP="00A56664">
            <w:pPr>
              <w:pStyle w:val="SingleTxtG"/>
              <w:ind w:left="113" w:right="0"/>
              <w:rPr>
                <w:i/>
                <w:iCs/>
              </w:rPr>
            </w:pPr>
          </w:p>
        </w:tc>
      </w:tr>
      <w:tr w:rsidR="007915DE" w:rsidRPr="00787C3B" w14:paraId="0773FD29" w14:textId="77777777" w:rsidTr="0032072F">
        <w:tc>
          <w:tcPr>
            <w:tcW w:w="4536" w:type="dxa"/>
            <w:tcBorders>
              <w:top w:val="nil"/>
              <w:left w:val="nil"/>
              <w:bottom w:val="nil"/>
              <w:right w:val="single" w:sz="4" w:space="0" w:color="auto"/>
            </w:tcBorders>
          </w:tcPr>
          <w:p w14:paraId="0E667C20" w14:textId="77777777" w:rsidR="007915DE" w:rsidRPr="00182043" w:rsidRDefault="00526919" w:rsidP="00A56664">
            <w:pPr>
              <w:pStyle w:val="Bullet1G"/>
              <w:tabs>
                <w:tab w:val="clear" w:pos="1701"/>
              </w:tabs>
              <w:ind w:left="170" w:right="113"/>
            </w:pPr>
            <w:r w:rsidRPr="00F001D2">
              <w:t>Dimensionnement approprié ou autres mesures de protection (par exemple «</w:t>
            </w:r>
            <w:r>
              <w:t> </w:t>
            </w:r>
            <w:r w:rsidRPr="00F001D2">
              <w:t>zone fusible</w:t>
            </w:r>
            <w:r>
              <w:t> </w:t>
            </w:r>
            <w:r w:rsidRPr="00F001D2">
              <w:t>»).).</w:t>
            </w:r>
          </w:p>
        </w:tc>
        <w:tc>
          <w:tcPr>
            <w:tcW w:w="2835" w:type="dxa"/>
            <w:tcBorders>
              <w:top w:val="nil"/>
              <w:left w:val="single" w:sz="4" w:space="0" w:color="auto"/>
              <w:bottom w:val="nil"/>
              <w:right w:val="nil"/>
            </w:tcBorders>
          </w:tcPr>
          <w:p w14:paraId="0CB49991" w14:textId="77777777" w:rsidR="007915DE" w:rsidRPr="007915DE" w:rsidRDefault="007915DE" w:rsidP="00A56664">
            <w:pPr>
              <w:pStyle w:val="SingleTxtG"/>
              <w:ind w:left="113" w:right="0"/>
              <w:rPr>
                <w:i/>
                <w:iCs/>
              </w:rPr>
            </w:pPr>
          </w:p>
        </w:tc>
      </w:tr>
    </w:tbl>
    <w:p w14:paraId="07C3CB31" w14:textId="77777777" w:rsidR="0032072F" w:rsidRPr="007376CD" w:rsidRDefault="0032072F" w:rsidP="0032072F">
      <w:pPr>
        <w:pStyle w:val="H23G"/>
        <w:rPr>
          <w:b w:val="0"/>
          <w:bCs/>
        </w:rPr>
      </w:pPr>
      <w:r w:rsidRPr="007C16FD">
        <w:rPr>
          <w:bCs/>
        </w:rPr>
        <w:tab/>
      </w:r>
      <w:r w:rsidRPr="007C16FD">
        <w:rPr>
          <w:bCs/>
        </w:rPr>
        <w:tab/>
      </w:r>
      <w:r w:rsidRPr="007376CD">
        <w:rPr>
          <w:bCs/>
        </w:rPr>
        <w:t>Proposition 2</w:t>
      </w:r>
      <w:r>
        <w:rPr>
          <w:bCs/>
        </w:rPr>
        <w:t> :</w:t>
      </w:r>
      <w:r w:rsidRPr="007376CD">
        <w:rPr>
          <w:bCs/>
        </w:rPr>
        <w:t xml:space="preserve"> </w:t>
      </w:r>
      <w:r>
        <w:rPr>
          <w:bCs/>
        </w:rPr>
        <w:t>A</w:t>
      </w:r>
      <w:r w:rsidRPr="007376CD">
        <w:rPr>
          <w:bCs/>
        </w:rPr>
        <w:t>u paragraphe 6.8.2.2.1 d</w:t>
      </w:r>
      <w:r>
        <w:rPr>
          <w:bCs/>
        </w:rPr>
        <w:t>e l’</w:t>
      </w:r>
      <w:r w:rsidRPr="007376CD">
        <w:rPr>
          <w:bCs/>
        </w:rPr>
        <w:t xml:space="preserve">ADR </w:t>
      </w:r>
      <w:r>
        <w:rPr>
          <w:bCs/>
        </w:rPr>
        <w:t>a</w:t>
      </w:r>
      <w:r w:rsidRPr="007376CD">
        <w:t xml:space="preserve">jouter </w:t>
      </w:r>
      <w:r w:rsidRPr="007376CD">
        <w:rPr>
          <w:bCs/>
        </w:rPr>
        <w:t xml:space="preserve">après </w:t>
      </w:r>
      <w:r w:rsidRPr="007376CD">
        <w:t>la première phrase</w:t>
      </w:r>
      <w:r w:rsidRPr="007376CD">
        <w:rPr>
          <w:bCs/>
        </w:rPr>
        <w:t xml:space="preserve"> </w:t>
      </w:r>
      <w:r w:rsidRPr="007376CD">
        <w:t>un</w:t>
      </w:r>
      <w:r w:rsidR="00526919">
        <w:t> </w:t>
      </w:r>
      <w:r w:rsidRPr="007376CD">
        <w:t>nouveau texte</w:t>
      </w:r>
      <w:r w:rsidRPr="007376CD">
        <w:rPr>
          <w:bCs/>
        </w:rPr>
        <w:t xml:space="preserve"> </w:t>
      </w:r>
      <w:r>
        <w:t>ainsi conçu (</w:t>
      </w:r>
      <w:r w:rsidRPr="002321FA">
        <w:rPr>
          <w:i/>
          <w:iCs/>
        </w:rPr>
        <w:t>en italiques</w:t>
      </w:r>
      <w:r w:rsidRPr="00606DEC">
        <w:t>)</w:t>
      </w:r>
      <w:r>
        <w:t> :</w:t>
      </w:r>
    </w:p>
    <w:p w14:paraId="7D56BA3D" w14:textId="77777777" w:rsidR="0032072F" w:rsidRPr="001F0140" w:rsidRDefault="00526919" w:rsidP="0032072F">
      <w:pPr>
        <w:pStyle w:val="SingleTxtG"/>
        <w:spacing w:before="120"/>
        <w:rPr>
          <w:i/>
          <w:iCs/>
        </w:rPr>
      </w:pPr>
      <w:r w:rsidRPr="00526919">
        <w:t>« </w:t>
      </w:r>
      <w:r w:rsidR="0032072F" w:rsidRPr="007078B0">
        <w:rPr>
          <w:i/>
          <w:iCs/>
        </w:rPr>
        <w:t>Les constructions annexes soudées doivent être fixées au réservoir de manière à empêcher qu</w:t>
      </w:r>
      <w:r w:rsidR="0032072F">
        <w:rPr>
          <w:i/>
          <w:iCs/>
        </w:rPr>
        <w:t>’</w:t>
      </w:r>
      <w:r w:rsidR="0032072F" w:rsidRPr="007078B0">
        <w:rPr>
          <w:i/>
          <w:iCs/>
        </w:rPr>
        <w:t>il soit éventré</w:t>
      </w:r>
      <w:r w:rsidR="0032072F" w:rsidRPr="001F0140">
        <w:rPr>
          <w:i/>
          <w:iCs/>
        </w:rPr>
        <w:t>.</w:t>
      </w:r>
      <w:r>
        <w:rPr>
          <w:i/>
          <w:iCs/>
        </w:rPr>
        <w:t> </w:t>
      </w:r>
      <w:r w:rsidRPr="00526919">
        <w:t>»</w:t>
      </w:r>
    </w:p>
    <w:p w14:paraId="0333B325" w14:textId="77777777" w:rsidR="0032072F" w:rsidRPr="000718A1" w:rsidRDefault="0032072F" w:rsidP="0032072F">
      <w:pPr>
        <w:pStyle w:val="SingleTxtG"/>
      </w:pPr>
      <w:r w:rsidRPr="00323C00">
        <w:t>4.</w:t>
      </w:r>
      <w:r w:rsidRPr="00323C00">
        <w:tab/>
        <w:t>Pour ce qui est du paragraphe 6.8.2.2.4, au</w:t>
      </w:r>
      <w:r>
        <w:t>c</w:t>
      </w:r>
      <w:r w:rsidRPr="00323C00">
        <w:t>un consensus n</w:t>
      </w:r>
      <w:r>
        <w:t>’</w:t>
      </w:r>
      <w:r w:rsidRPr="00323C00">
        <w:t>a pu être atte</w:t>
      </w:r>
      <w:r>
        <w:t>int sur le fait de rendre obligatoire l’</w:t>
      </w:r>
      <w:r w:rsidRPr="00581632">
        <w:t>installation</w:t>
      </w:r>
      <w:r>
        <w:t xml:space="preserve"> de couvercles ayant </w:t>
      </w:r>
      <w:r w:rsidRPr="00BC3B12">
        <w:t>une pression d</w:t>
      </w:r>
      <w:r>
        <w:t>’</w:t>
      </w:r>
      <w:r w:rsidRPr="00BC3B12">
        <w:t xml:space="preserve">épreuve </w:t>
      </w:r>
      <w:r>
        <w:t xml:space="preserve">de </w:t>
      </w:r>
      <w:r w:rsidRPr="00BC3B12">
        <w:t>4</w:t>
      </w:r>
      <w:r w:rsidR="00526919">
        <w:t> </w:t>
      </w:r>
      <w:r w:rsidRPr="00BC3B12">
        <w:t>bar</w:t>
      </w:r>
      <w:r>
        <w:t xml:space="preserve">s sur les </w:t>
      </w:r>
      <w:bookmarkStart w:id="6" w:name="_Hlk56435533"/>
      <w:r>
        <w:t>conteneurs-citernes</w:t>
      </w:r>
      <w:bookmarkEnd w:id="6"/>
      <w:r>
        <w:t xml:space="preserve">. En particulier, pour les </w:t>
      </w:r>
      <w:r w:rsidRPr="004C7F2D">
        <w:t>conteneurs-citernes</w:t>
      </w:r>
      <w:r>
        <w:t xml:space="preserve"> destinés </w:t>
      </w:r>
      <w:r w:rsidRPr="004E3A1E">
        <w:t xml:space="preserve">au transport de matières pulvérulentes </w:t>
      </w:r>
      <w:r>
        <w:t xml:space="preserve">comportant un </w:t>
      </w:r>
      <w:r w:rsidR="00526919">
        <w:t>« </w:t>
      </w:r>
      <w:r w:rsidRPr="004E3A1E">
        <w:t>G</w:t>
      </w:r>
      <w:r w:rsidR="00526919">
        <w:t> »</w:t>
      </w:r>
      <w:r w:rsidRPr="004E3A1E">
        <w:t xml:space="preserve"> d</w:t>
      </w:r>
      <w:r>
        <w:t xml:space="preserve">ans le code citerne, cela ne serait pas justifié en raison de </w:t>
      </w:r>
      <w:r w:rsidRPr="00177F69">
        <w:t>forces hydrauliques excessives</w:t>
      </w:r>
      <w:r>
        <w:t xml:space="preserve">. La suggestion de limiter la prescription proposée aux </w:t>
      </w:r>
      <w:r w:rsidRPr="005A4EB4">
        <w:t>conteneurs-citernes</w:t>
      </w:r>
      <w:r>
        <w:t xml:space="preserve"> ayant une capacité de plus de </w:t>
      </w:r>
      <w:bookmarkStart w:id="7" w:name="_Hlk56436024"/>
      <w:r w:rsidRPr="005A4EB4">
        <w:t>40</w:t>
      </w:r>
      <w:r w:rsidR="00526919">
        <w:t> </w:t>
      </w:r>
      <w:r w:rsidRPr="005A4EB4">
        <w:t xml:space="preserve">000 litres </w:t>
      </w:r>
      <w:r>
        <w:t xml:space="preserve">n’a pas été retenue. Il a été proposé de réexaminer cette proposition lors de la prochaine réunion du </w:t>
      </w:r>
      <w:r w:rsidRPr="000718A1">
        <w:t>Groupe de travail permanent du RID</w:t>
      </w:r>
      <w:r>
        <w:t xml:space="preserve"> en novembre 2020, en même temps que d’éventuelles mesures transitoires.</w:t>
      </w:r>
    </w:p>
    <w:bookmarkEnd w:id="7"/>
    <w:p w14:paraId="716C4504" w14:textId="77777777" w:rsidR="0032072F" w:rsidRPr="008263C0" w:rsidRDefault="0032072F" w:rsidP="00526919">
      <w:pPr>
        <w:pStyle w:val="H1G"/>
      </w:pPr>
      <w:r>
        <w:tab/>
      </w:r>
      <w:r w:rsidRPr="008263C0">
        <w:t>Point 2</w:t>
      </w:r>
      <w:bookmarkStart w:id="8" w:name="_Hlk50936435"/>
      <w:r>
        <w:t> :</w:t>
      </w:r>
      <w:r w:rsidRPr="008263C0">
        <w:tab/>
        <w:t xml:space="preserve">Document ECE/TRANS/WP.15/AC.1/2020/1 (EIGA) </w:t>
      </w:r>
      <w:bookmarkEnd w:id="8"/>
      <w:r w:rsidR="00526919">
        <w:t>−</w:t>
      </w:r>
      <w:r w:rsidRPr="008263C0">
        <w:t xml:space="preserve"> Contrôles périodiques et intermédiaires des citernes destinées au transport des</w:t>
      </w:r>
      <w:bookmarkStart w:id="9" w:name="_Hlk56436930"/>
      <w:r w:rsidR="00526919">
        <w:t> </w:t>
      </w:r>
      <w:r w:rsidRPr="008263C0">
        <w:t>gaz liquéfiés réfrigérés</w:t>
      </w:r>
      <w:bookmarkEnd w:id="9"/>
      <w:r w:rsidRPr="008263C0">
        <w:t xml:space="preserve">, et </w:t>
      </w:r>
      <w:r>
        <w:t xml:space="preserve">document </w:t>
      </w:r>
      <w:r w:rsidRPr="008263C0">
        <w:t>ECE/TRANS/WP.15/</w:t>
      </w:r>
      <w:r w:rsidR="00526919">
        <w:t xml:space="preserve"> </w:t>
      </w:r>
      <w:r w:rsidRPr="008263C0">
        <w:t>AC.1/2020/7 (France)</w:t>
      </w:r>
    </w:p>
    <w:p w14:paraId="61A09B98" w14:textId="77777777" w:rsidR="0032072F" w:rsidRDefault="0032072F" w:rsidP="0032072F">
      <w:pPr>
        <w:pStyle w:val="SingleTxtG"/>
      </w:pPr>
      <w:r w:rsidRPr="00F33D2B">
        <w:t>5.</w:t>
      </w:r>
      <w:r w:rsidRPr="00F33D2B">
        <w:tab/>
        <w:t>Bien que plusieurs experts aient été d</w:t>
      </w:r>
      <w:r>
        <w:t>’</w:t>
      </w:r>
      <w:r w:rsidRPr="00F33D2B">
        <w:t>avis que le paragraphe 6.8.3.4.6 ne faisait qu</w:t>
      </w:r>
      <w:r>
        <w:t>’</w:t>
      </w:r>
      <w:r w:rsidRPr="00F33D2B">
        <w:t xml:space="preserve">introduire une dérogation </w:t>
      </w:r>
      <w:r>
        <w:t xml:space="preserve">par rapport à la périodicité du contrôle intermédiaire entre les contrôles périodiques et pas entre le contrôle initial et le premier contrôle périodique, il a été considéré que cette interprétation ne valait pas en </w:t>
      </w:r>
      <w:r w:rsidRPr="008C1B09">
        <w:t>pratique. Les gaz liquéfiés</w:t>
      </w:r>
      <w:r w:rsidRPr="007E4398">
        <w:t xml:space="preserve"> réfrigérés</w:t>
      </w:r>
      <w:r>
        <w:t xml:space="preserve"> sont n</w:t>
      </w:r>
      <w:r w:rsidRPr="00824A20">
        <w:t>on corrosif</w:t>
      </w:r>
      <w:r>
        <w:t>s</w:t>
      </w:r>
      <w:r w:rsidRPr="00824A20">
        <w:t xml:space="preserve"> et non toxique</w:t>
      </w:r>
      <w:r>
        <w:t xml:space="preserve">s, ce qui justifierait des intervalles plus longs entre les contrôles. Les experts n’avaient pas connaissance d’effets indésirables ou de situations dangereuses dus au fait qu’un </w:t>
      </w:r>
      <w:r w:rsidRPr="00A2003B">
        <w:t>contrôle intermédiaire</w:t>
      </w:r>
      <w:r>
        <w:t xml:space="preserve"> n’ait pas eu lieu après </w:t>
      </w:r>
      <w:r w:rsidRPr="00A2003B">
        <w:t>le contrôle initial</w:t>
      </w:r>
      <w:r>
        <w:t>.</w:t>
      </w:r>
      <w:r w:rsidRPr="00554C20">
        <w:t xml:space="preserve"> Il s</w:t>
      </w:r>
      <w:r>
        <w:t>’</w:t>
      </w:r>
      <w:r w:rsidRPr="00554C20">
        <w:t>est dégagé un consensus sur le fait que le</w:t>
      </w:r>
      <w:r>
        <w:t>s prescriptions applicables aux citernes devraient être modifiées et que les conteneurs-citernes devraient être traités de la même manière que les wagons-citernes et les véhicules-citernes.</w:t>
      </w:r>
    </w:p>
    <w:p w14:paraId="697E11C6" w14:textId="77777777" w:rsidR="0032072F" w:rsidRPr="00C56CDA" w:rsidRDefault="0032072F" w:rsidP="0032072F">
      <w:pPr>
        <w:pStyle w:val="H23G"/>
      </w:pPr>
      <w:r w:rsidRPr="00787C3B">
        <w:tab/>
      </w:r>
      <w:r w:rsidRPr="00787C3B">
        <w:tab/>
      </w:r>
      <w:r w:rsidRPr="00C56CDA">
        <w:t>Proposition 3</w:t>
      </w:r>
      <w:r>
        <w:t> :</w:t>
      </w:r>
      <w:r w:rsidR="00526919">
        <w:t xml:space="preserve"> </w:t>
      </w:r>
      <w:r w:rsidRPr="00C56CDA">
        <w:t>Modifier le paragraphe 6.8.3.4.6 (RID et ADR) comme suit</w:t>
      </w:r>
      <w:r>
        <w:t> :</w:t>
      </w:r>
    </w:p>
    <w:p w14:paraId="247CC6ED" w14:textId="77777777" w:rsidR="0032072F" w:rsidRPr="00ED5713" w:rsidRDefault="0032072F" w:rsidP="0032072F">
      <w:pPr>
        <w:pStyle w:val="SingleTxtG"/>
      </w:pPr>
      <w:r>
        <w:t>« </w:t>
      </w:r>
      <w:r w:rsidRPr="00ED5713">
        <w:t>6.8.3.4.6</w:t>
      </w:r>
      <w:r w:rsidRPr="00ED5713">
        <w:tab/>
      </w:r>
      <w:r>
        <w:t>P</w:t>
      </w:r>
      <w:r w:rsidRPr="00ED5713">
        <w:t>our les citernes destinées au transport des gaz liquéfiés réfrigérés</w:t>
      </w:r>
      <w:r>
        <w:t> :</w:t>
      </w:r>
    </w:p>
    <w:p w14:paraId="61E83E73" w14:textId="77777777" w:rsidR="0032072F" w:rsidRPr="00733DB5" w:rsidRDefault="0032072F" w:rsidP="0032072F">
      <w:pPr>
        <w:pStyle w:val="SingleTxtG"/>
        <w:spacing w:before="120"/>
        <w:ind w:firstLine="567"/>
      </w:pPr>
      <w:r w:rsidRPr="00733DB5">
        <w:t>a)</w:t>
      </w:r>
      <w:r w:rsidRPr="00733DB5">
        <w:tab/>
        <w:t xml:space="preserve">Par dérogation aux prescriptions du </w:t>
      </w:r>
      <w:r>
        <w:t xml:space="preserve">paragraphe </w:t>
      </w:r>
      <w:r w:rsidRPr="00733DB5">
        <w:t>6.8.2.4.2, les contrôles périodiques doivent avoir lieu au plus tard</w:t>
      </w:r>
      <w:r>
        <w:t> :</w:t>
      </w:r>
      <w:r w:rsidRPr="00733DB5">
        <w:t xml:space="preserve"> </w:t>
      </w:r>
    </w:p>
    <w:tbl>
      <w:tblPr>
        <w:tblW w:w="7370" w:type="dxa"/>
        <w:tblInd w:w="1134" w:type="dxa"/>
        <w:tblCellMar>
          <w:left w:w="0" w:type="dxa"/>
          <w:right w:w="0" w:type="dxa"/>
        </w:tblCellMar>
        <w:tblLook w:val="01E0" w:firstRow="1" w:lastRow="1" w:firstColumn="1" w:lastColumn="1" w:noHBand="0" w:noVBand="0"/>
      </w:tblPr>
      <w:tblGrid>
        <w:gridCol w:w="4678"/>
        <w:gridCol w:w="2692"/>
      </w:tblGrid>
      <w:tr w:rsidR="0032072F" w:rsidRPr="00732FE5" w14:paraId="52706F37" w14:textId="77777777" w:rsidTr="0032072F">
        <w:tc>
          <w:tcPr>
            <w:tcW w:w="4678" w:type="dxa"/>
            <w:tcBorders>
              <w:right w:val="single" w:sz="4" w:space="0" w:color="auto"/>
            </w:tcBorders>
          </w:tcPr>
          <w:p w14:paraId="25B09F24" w14:textId="77777777" w:rsidR="0032072F" w:rsidRDefault="0032072F" w:rsidP="0032072F">
            <w:pPr>
              <w:pStyle w:val="SingleTxtG"/>
              <w:spacing w:before="120"/>
              <w:ind w:left="0" w:right="0"/>
              <w:rPr>
                <w:bCs/>
                <w:iCs/>
              </w:rPr>
            </w:pPr>
            <w:r w:rsidRPr="00F83D5E">
              <w:rPr>
                <w:bCs/>
                <w:iCs/>
              </w:rPr>
              <w:t xml:space="preserve">(RID) </w:t>
            </w:r>
            <w:r>
              <w:rPr>
                <w:bCs/>
                <w:iCs/>
              </w:rPr>
              <w:t xml:space="preserve">après </w:t>
            </w:r>
            <w:r w:rsidRPr="00F83D5E">
              <w:rPr>
                <w:bCs/>
                <w:iCs/>
              </w:rPr>
              <w:t>huit ans</w:t>
            </w:r>
          </w:p>
          <w:p w14:paraId="03D5E7FF" w14:textId="77777777" w:rsidR="0032072F" w:rsidRPr="00F83D5E" w:rsidRDefault="0032072F" w:rsidP="0032072F">
            <w:pPr>
              <w:pStyle w:val="SingleTxtG"/>
              <w:spacing w:before="120"/>
              <w:ind w:left="0" w:right="0"/>
              <w:rPr>
                <w:noProof/>
              </w:rPr>
            </w:pPr>
            <w:r w:rsidRPr="00F83D5E">
              <w:rPr>
                <w:noProof/>
              </w:rPr>
              <w:t xml:space="preserve">(ADR) </w:t>
            </w:r>
            <w:r w:rsidRPr="00EE72CD">
              <w:rPr>
                <w:bCs/>
                <w:iCs/>
                <w:noProof/>
              </w:rPr>
              <w:t xml:space="preserve">après </w:t>
            </w:r>
            <w:r>
              <w:rPr>
                <w:bCs/>
                <w:iCs/>
                <w:noProof/>
              </w:rPr>
              <w:t>six</w:t>
            </w:r>
            <w:r w:rsidRPr="00F83D5E">
              <w:rPr>
                <w:bCs/>
                <w:iCs/>
                <w:noProof/>
              </w:rPr>
              <w:t xml:space="preserve"> ans </w:t>
            </w:r>
          </w:p>
        </w:tc>
        <w:tc>
          <w:tcPr>
            <w:tcW w:w="2692" w:type="dxa"/>
            <w:tcBorders>
              <w:left w:val="single" w:sz="4" w:space="0" w:color="auto"/>
            </w:tcBorders>
          </w:tcPr>
          <w:p w14:paraId="4031D2CA" w14:textId="77777777" w:rsidR="0032072F" w:rsidRPr="00732FE5" w:rsidRDefault="0032072F" w:rsidP="00A56664">
            <w:pPr>
              <w:spacing w:before="120" w:after="120"/>
              <w:ind w:left="113"/>
              <w:jc w:val="both"/>
              <w:rPr>
                <w:rFonts w:eastAsia="SimSun"/>
                <w:lang w:eastAsia="zh-CN"/>
              </w:rPr>
            </w:pPr>
            <w:r>
              <w:rPr>
                <w:rFonts w:eastAsia="SimSun"/>
                <w:bCs/>
                <w:iCs/>
                <w:lang w:eastAsia="zh-CN"/>
              </w:rPr>
              <w:t>a</w:t>
            </w:r>
            <w:r w:rsidRPr="00EE72CD">
              <w:rPr>
                <w:rFonts w:eastAsia="SimSun"/>
                <w:bCs/>
                <w:iCs/>
                <w:lang w:eastAsia="zh-CN"/>
              </w:rPr>
              <w:t xml:space="preserve">près </w:t>
            </w:r>
            <w:r w:rsidRPr="00343582">
              <w:rPr>
                <w:rFonts w:eastAsia="SimSun"/>
                <w:bCs/>
                <w:iCs/>
                <w:lang w:eastAsia="zh-CN"/>
              </w:rPr>
              <w:t xml:space="preserve">huit ans </w:t>
            </w:r>
          </w:p>
        </w:tc>
      </w:tr>
    </w:tbl>
    <w:p w14:paraId="3E677709" w14:textId="77777777" w:rsidR="0032072F" w:rsidRPr="00E477D9" w:rsidRDefault="0032072F" w:rsidP="0032072F">
      <w:pPr>
        <w:pStyle w:val="SingleTxtG"/>
      </w:pPr>
      <w:r w:rsidRPr="00EE72CD">
        <w:t>de service et ensuite, au minimum tous les douze ans</w:t>
      </w:r>
      <w:r w:rsidRPr="00E477D9">
        <w:t>.</w:t>
      </w:r>
    </w:p>
    <w:p w14:paraId="224E56E2" w14:textId="77777777" w:rsidR="0032072F" w:rsidRPr="00165D75" w:rsidRDefault="0032072F" w:rsidP="0032072F">
      <w:pPr>
        <w:pStyle w:val="SingleTxtG"/>
        <w:spacing w:before="120"/>
        <w:ind w:firstLine="567"/>
      </w:pPr>
      <w:r w:rsidRPr="00E477D9">
        <w:t>b)</w:t>
      </w:r>
      <w:r w:rsidRPr="00E477D9">
        <w:tab/>
        <w:t xml:space="preserve">Par dérogation aux prescriptions du </w:t>
      </w:r>
      <w:r>
        <w:t xml:space="preserve">paragraphe </w:t>
      </w:r>
      <w:r w:rsidRPr="00E477D9">
        <w:t>6.8.2.4.</w:t>
      </w:r>
      <w:r>
        <w:t>3, l</w:t>
      </w:r>
      <w:r w:rsidRPr="00030CE4">
        <w:t>es contrôles intermédiaires doivent être effectués au plus tard six ans après chaque contrôle périodique</w:t>
      </w:r>
      <w:r w:rsidRPr="00165D75">
        <w:t>.</w:t>
      </w:r>
      <w:r w:rsidR="00526919">
        <w:t> »</w:t>
      </w:r>
    </w:p>
    <w:p w14:paraId="3267E1F0" w14:textId="77777777" w:rsidR="0032072F" w:rsidRPr="00730E49" w:rsidRDefault="0032072F" w:rsidP="0032072F">
      <w:pPr>
        <w:pStyle w:val="H23G"/>
        <w:rPr>
          <w:sz w:val="22"/>
          <w:szCs w:val="22"/>
        </w:rPr>
      </w:pPr>
      <w:r w:rsidRPr="00165D75">
        <w:tab/>
      </w:r>
      <w:r w:rsidRPr="00165D75">
        <w:tab/>
      </w:r>
      <w:r w:rsidRPr="00730E49">
        <w:t>Proposition 4</w:t>
      </w:r>
      <w:r>
        <w:t> :</w:t>
      </w:r>
      <w:r w:rsidRPr="00730E49">
        <w:t xml:space="preserve"> </w:t>
      </w:r>
      <w:r>
        <w:t>I</w:t>
      </w:r>
      <w:r w:rsidRPr="00730E49">
        <w:t xml:space="preserve">ntroduire au </w:t>
      </w:r>
      <w:r>
        <w:t xml:space="preserve">paragraphe </w:t>
      </w:r>
      <w:r w:rsidRPr="00730E49">
        <w:t xml:space="preserve">1.6.4.xy une nouvelle mesure transitoire </w:t>
      </w:r>
      <w:r>
        <w:t>ainsi conçue :</w:t>
      </w:r>
    </w:p>
    <w:p w14:paraId="565372C0" w14:textId="77777777" w:rsidR="0032072F" w:rsidRPr="004C6B7C" w:rsidRDefault="00526919" w:rsidP="0032072F">
      <w:pPr>
        <w:pStyle w:val="SingleTxtG"/>
        <w:ind w:left="2268" w:hanging="1134"/>
        <w:rPr>
          <w:lang w:eastAsia="nl-NL"/>
        </w:rPr>
      </w:pPr>
      <w:r>
        <w:rPr>
          <w:lang w:eastAsia="nl-NL"/>
        </w:rPr>
        <w:t>« </w:t>
      </w:r>
      <w:r w:rsidR="0032072F" w:rsidRPr="00814AF6">
        <w:rPr>
          <w:lang w:eastAsia="nl-NL"/>
        </w:rPr>
        <w:t>1.6.4.xy</w:t>
      </w:r>
      <w:r w:rsidR="0032072F">
        <w:rPr>
          <w:lang w:eastAsia="nl-NL"/>
        </w:rPr>
        <w:tab/>
      </w:r>
      <w:r w:rsidR="0032072F" w:rsidRPr="004C6B7C">
        <w:rPr>
          <w:lang w:eastAsia="nl-NL"/>
        </w:rPr>
        <w:t xml:space="preserve">Les conteneurs-citernes qui ne sont pas conformes aux prescriptions du </w:t>
      </w:r>
      <w:r w:rsidR="0032072F">
        <w:rPr>
          <w:lang w:eastAsia="nl-NL"/>
        </w:rPr>
        <w:t xml:space="preserve">paragraphe </w:t>
      </w:r>
      <w:r w:rsidR="0032072F" w:rsidRPr="004C6B7C">
        <w:rPr>
          <w:lang w:eastAsia="nl-NL"/>
        </w:rPr>
        <w:t>6.8.3.4.6 applicables à partir du 1</w:t>
      </w:r>
      <w:r w:rsidR="0032072F" w:rsidRPr="004C6B7C">
        <w:rPr>
          <w:vertAlign w:val="superscript"/>
          <w:lang w:eastAsia="nl-NL"/>
        </w:rPr>
        <w:t>er</w:t>
      </w:r>
      <w:r>
        <w:rPr>
          <w:lang w:eastAsia="nl-NL"/>
        </w:rPr>
        <w:t> </w:t>
      </w:r>
      <w:r w:rsidR="0032072F" w:rsidRPr="004C6B7C">
        <w:rPr>
          <w:lang w:eastAsia="nl-NL"/>
        </w:rPr>
        <w:t>janvier 2023 pourront encore être utilisés si un contrôle intermédiaire a lieu au plus tard six ans après chaque contrôle périodique effectué après le 1</w:t>
      </w:r>
      <w:r w:rsidR="0032072F" w:rsidRPr="004C6B7C">
        <w:rPr>
          <w:vertAlign w:val="superscript"/>
          <w:lang w:eastAsia="nl-NL"/>
        </w:rPr>
        <w:t>er</w:t>
      </w:r>
      <w:r>
        <w:rPr>
          <w:lang w:eastAsia="nl-NL"/>
        </w:rPr>
        <w:t> </w:t>
      </w:r>
      <w:r w:rsidR="0032072F" w:rsidRPr="004C6B7C">
        <w:rPr>
          <w:lang w:eastAsia="nl-NL"/>
        </w:rPr>
        <w:t>juillet 2023.</w:t>
      </w:r>
      <w:r>
        <w:rPr>
          <w:lang w:eastAsia="nl-NL"/>
        </w:rPr>
        <w:t> »</w:t>
      </w:r>
    </w:p>
    <w:p w14:paraId="5A66234A" w14:textId="77777777" w:rsidR="0032072F" w:rsidRPr="00B02DAB" w:rsidRDefault="0032072F" w:rsidP="00526919">
      <w:pPr>
        <w:pStyle w:val="H1G"/>
      </w:pPr>
      <w:bookmarkStart w:id="10" w:name="_Hlk51041724"/>
      <w:r>
        <w:tab/>
      </w:r>
      <w:r w:rsidRPr="00B02DAB">
        <w:t>Point 3</w:t>
      </w:r>
      <w:r>
        <w:t> :</w:t>
      </w:r>
      <w:r w:rsidRPr="00B02DAB">
        <w:tab/>
        <w:t xml:space="preserve">Document ECE/TRANS/WP.15/AC.1/2020/26 (Pologne) </w:t>
      </w:r>
      <w:r w:rsidR="00526919">
        <w:t>−</w:t>
      </w:r>
      <w:r w:rsidRPr="00B02DAB">
        <w:t xml:space="preserve"> Proposition d</w:t>
      </w:r>
      <w:r>
        <w:t xml:space="preserve">e modification du </w:t>
      </w:r>
      <w:bookmarkStart w:id="11" w:name="_Hlk56431936"/>
      <w:r w:rsidRPr="00B02DAB">
        <w:t>paragraphe</w:t>
      </w:r>
      <w:bookmarkEnd w:id="11"/>
      <w:r w:rsidRPr="00B02DAB">
        <w:t xml:space="preserve"> 4.3.3.3.2 du RID/ADR</w:t>
      </w:r>
    </w:p>
    <w:bookmarkEnd w:id="10"/>
    <w:p w14:paraId="1B64AB2C" w14:textId="77777777" w:rsidR="0032072F" w:rsidRDefault="0032072F" w:rsidP="0032072F">
      <w:pPr>
        <w:pStyle w:val="SingleTxtG"/>
      </w:pPr>
      <w:r w:rsidRPr="007C30AD">
        <w:t>6.</w:t>
      </w:r>
      <w:r w:rsidRPr="007C30AD">
        <w:tab/>
        <w:t>Comme les informations pertinentes figur</w:t>
      </w:r>
      <w:r>
        <w:t>e</w:t>
      </w:r>
      <w:r w:rsidRPr="007C30AD">
        <w:t>nt déjà dans le</w:t>
      </w:r>
      <w:r>
        <w:t>s</w:t>
      </w:r>
      <w:r w:rsidRPr="007C30AD">
        <w:t xml:space="preserve"> document</w:t>
      </w:r>
      <w:r>
        <w:t>s</w:t>
      </w:r>
      <w:r w:rsidRPr="007C30AD">
        <w:t xml:space="preserve"> de </w:t>
      </w:r>
      <w:r>
        <w:t xml:space="preserve">transport et sur les panneaux orange il a été décidé par consensus de supprimer le paragraphe </w:t>
      </w:r>
      <w:r w:rsidRPr="00233E3C">
        <w:t>4.3.3.3.2 p</w:t>
      </w:r>
      <w:r>
        <w:t>our les véhicules-citernes et les conteneurs-citernes</w:t>
      </w:r>
      <w:r w:rsidRPr="00233E3C">
        <w:t xml:space="preserve">. </w:t>
      </w:r>
      <w:r w:rsidRPr="00E21538">
        <w:t>Des réserves ont toutefois été formulées concernant les panneaux rabattables fixés sur les côtés d</w:t>
      </w:r>
      <w:r>
        <w:t>es</w:t>
      </w:r>
      <w:r w:rsidRPr="00E21538">
        <w:t xml:space="preserve"> wagon</w:t>
      </w:r>
      <w:r>
        <w:t>s</w:t>
      </w:r>
      <w:r w:rsidRPr="00E21538">
        <w:t>-citerne</w:t>
      </w:r>
      <w:r>
        <w:t xml:space="preserve">s couverts par la norme EN </w:t>
      </w:r>
      <w:r w:rsidRPr="008E6227">
        <w:t>5877-1</w:t>
      </w:r>
      <w:r>
        <w:t>:20</w:t>
      </w:r>
      <w:r w:rsidRPr="008E6227">
        <w:t>12 e</w:t>
      </w:r>
      <w:r>
        <w:t xml:space="preserve">t décrits aux paragraphes </w:t>
      </w:r>
      <w:r w:rsidRPr="008E6227">
        <w:t>4.3.3.4.1</w:t>
      </w:r>
      <w:r w:rsidR="00526919">
        <w:t> </w:t>
      </w:r>
      <w:r w:rsidRPr="008E6227">
        <w:t xml:space="preserve">a) </w:t>
      </w:r>
      <w:r>
        <w:t xml:space="preserve">et </w:t>
      </w:r>
      <w:r w:rsidRPr="008E6227">
        <w:t xml:space="preserve">6.8.3.5.7. </w:t>
      </w:r>
      <w:r w:rsidRPr="00F040E3">
        <w:t>Il a été proposé que la suppression s</w:t>
      </w:r>
      <w:r>
        <w:t>’</w:t>
      </w:r>
      <w:r w:rsidRPr="00F040E3">
        <w:t>applique aussi aux wagons-citernes</w:t>
      </w:r>
      <w:r>
        <w:t>,</w:t>
      </w:r>
      <w:r w:rsidRPr="00F040E3">
        <w:t xml:space="preserve"> </w:t>
      </w:r>
      <w:r>
        <w:t>mais que cela reste pour le moment entre crochet</w:t>
      </w:r>
      <w:r w:rsidR="00D45188">
        <w:t>s</w:t>
      </w:r>
      <w:r>
        <w:t xml:space="preserve">, jusqu’à ce que le </w:t>
      </w:r>
      <w:r w:rsidRPr="00187D4F">
        <w:t xml:space="preserve">Groupe de travail permanent du RID </w:t>
      </w:r>
      <w:r>
        <w:t>ait confirmé cette suppression.</w:t>
      </w:r>
    </w:p>
    <w:p w14:paraId="00076FEF" w14:textId="77777777" w:rsidR="0032072F" w:rsidRPr="0000677C" w:rsidRDefault="0032072F" w:rsidP="0032072F">
      <w:pPr>
        <w:pStyle w:val="H23G"/>
      </w:pPr>
      <w:r w:rsidRPr="00016AB2">
        <w:tab/>
      </w:r>
      <w:r w:rsidRPr="00016AB2">
        <w:tab/>
      </w:r>
      <w:r w:rsidRPr="0000677C">
        <w:t>Proposition 5</w:t>
      </w:r>
      <w:r>
        <w:t> :</w:t>
      </w:r>
      <w:r w:rsidRPr="0000677C">
        <w:t xml:space="preserve"> Au paragraphe 4.3.3.3.2 du RID, placer le texte entre crochets dans la</w:t>
      </w:r>
      <w:r w:rsidR="00526919">
        <w:t> </w:t>
      </w:r>
      <w:r w:rsidRPr="0000677C">
        <w:t>colonne de gauche afin qu</w:t>
      </w:r>
      <w:r>
        <w:t>’</w:t>
      </w:r>
      <w:r w:rsidRPr="0000677C">
        <w:t>il ne soit applicable qu</w:t>
      </w:r>
      <w:r>
        <w:t>’</w:t>
      </w:r>
      <w:r w:rsidRPr="0000677C">
        <w:t>aux citernes et aux wagons-batteries (</w:t>
      </w:r>
      <w:r>
        <w:t>les mots nouveaux sont en italique et les mots supprimées sont biffés</w:t>
      </w:r>
      <w:r w:rsidRPr="0000677C">
        <w:t>)</w:t>
      </w:r>
      <w:r>
        <w:t> :</w:t>
      </w:r>
    </w:p>
    <w:tbl>
      <w:tblPr>
        <w:tblStyle w:val="TableGrid"/>
        <w:tblW w:w="7370" w:type="dxa"/>
        <w:tblInd w:w="1134" w:type="dxa"/>
        <w:tblLook w:val="04A0" w:firstRow="1" w:lastRow="0" w:firstColumn="1" w:lastColumn="0" w:noHBand="0" w:noVBand="1"/>
      </w:tblPr>
      <w:tblGrid>
        <w:gridCol w:w="4590"/>
        <w:gridCol w:w="2780"/>
      </w:tblGrid>
      <w:tr w:rsidR="0032072F" w:rsidRPr="00917A29" w14:paraId="59836C58" w14:textId="77777777" w:rsidTr="0032072F">
        <w:trPr>
          <w:trHeight w:val="2092"/>
        </w:trPr>
        <w:tc>
          <w:tcPr>
            <w:tcW w:w="5529" w:type="dxa"/>
            <w:tcBorders>
              <w:top w:val="nil"/>
              <w:left w:val="nil"/>
              <w:bottom w:val="nil"/>
              <w:right w:val="single" w:sz="4" w:space="0" w:color="auto"/>
            </w:tcBorders>
          </w:tcPr>
          <w:p w14:paraId="385DD919" w14:textId="77777777" w:rsidR="0032072F" w:rsidRPr="00665511" w:rsidRDefault="0032072F" w:rsidP="00526919">
            <w:pPr>
              <w:keepNext/>
              <w:keepLines/>
              <w:spacing w:before="120" w:after="120"/>
              <w:ind w:right="113"/>
            </w:pPr>
            <w:r w:rsidRPr="00F140D3">
              <w:t>[Lors de la remise au transport des citernes</w:t>
            </w:r>
            <w:r>
              <w:t xml:space="preserve"> </w:t>
            </w:r>
            <w:r w:rsidRPr="00665511">
              <w:rPr>
                <w:i/>
                <w:iCs/>
              </w:rPr>
              <w:t>ou</w:t>
            </w:r>
            <w:r w:rsidRPr="00F140D3">
              <w:t xml:space="preserve"> </w:t>
            </w:r>
            <w:r>
              <w:t xml:space="preserve">des </w:t>
            </w:r>
            <w:r w:rsidRPr="00F140D3">
              <w:t xml:space="preserve">wagons-batteries </w:t>
            </w:r>
            <w:r w:rsidRPr="00F140D3">
              <w:rPr>
                <w:strike/>
              </w:rPr>
              <w:t>ou CGEM</w:t>
            </w:r>
            <w:r w:rsidRPr="00F140D3">
              <w:t xml:space="preserve">, seules les indications valables selon </w:t>
            </w:r>
            <w:r>
              <w:t xml:space="preserve">le paragraphe </w:t>
            </w:r>
            <w:r w:rsidRPr="00F140D3">
              <w:t>6.8.3.5.6 pour le gaz chargé ou venant d</w:t>
            </w:r>
            <w:r>
              <w:t>’</w:t>
            </w:r>
            <w:r w:rsidRPr="00F140D3">
              <w:t>être déchargé doivent être visibles</w:t>
            </w:r>
            <w:r>
              <w:t> ;</w:t>
            </w:r>
            <w:r w:rsidRPr="00F140D3">
              <w:t xml:space="preserve"> toutes les indications relatives aux autres gaz doivent être masquées (voir norme EN 15877-1</w:t>
            </w:r>
            <w:r>
              <w:t>:20</w:t>
            </w:r>
            <w:r w:rsidRPr="00F140D3">
              <w:t xml:space="preserve">12 Applications ferroviaires </w:t>
            </w:r>
            <w:r w:rsidR="00526919">
              <w:t>−</w:t>
            </w:r>
            <w:r w:rsidRPr="00F140D3">
              <w:t xml:space="preserve"> Inscriptions pour véhicules ferroviaires. </w:t>
            </w:r>
            <w:r w:rsidRPr="00BD5383">
              <w:t>Partie 1</w:t>
            </w:r>
            <w:r>
              <w:t> :</w:t>
            </w:r>
            <w:r w:rsidRPr="00BD5383">
              <w:t xml:space="preserve"> Wagons pour le fret)</w:t>
            </w:r>
            <w:r>
              <w:t>]</w:t>
            </w:r>
            <w:r w:rsidRPr="00BD5383">
              <w:t>.</w:t>
            </w:r>
          </w:p>
        </w:tc>
        <w:tc>
          <w:tcPr>
            <w:tcW w:w="3533" w:type="dxa"/>
            <w:tcBorders>
              <w:top w:val="nil"/>
              <w:left w:val="single" w:sz="4" w:space="0" w:color="auto"/>
              <w:bottom w:val="nil"/>
              <w:right w:val="nil"/>
            </w:tcBorders>
          </w:tcPr>
          <w:p w14:paraId="035E738C" w14:textId="77777777" w:rsidR="0032072F" w:rsidRPr="00665511" w:rsidRDefault="0032072F" w:rsidP="0032072F">
            <w:pPr>
              <w:ind w:left="113"/>
              <w:rPr>
                <w:i/>
                <w:iCs/>
              </w:rPr>
            </w:pPr>
          </w:p>
        </w:tc>
      </w:tr>
    </w:tbl>
    <w:p w14:paraId="21E0456F" w14:textId="77777777" w:rsidR="0032072F" w:rsidRPr="00512D98" w:rsidRDefault="0032072F" w:rsidP="0032072F">
      <w:pPr>
        <w:pStyle w:val="H23G"/>
      </w:pPr>
      <w:r>
        <w:tab/>
      </w:r>
      <w:r w:rsidRPr="00665511">
        <w:tab/>
      </w:r>
      <w:r w:rsidRPr="00512D98">
        <w:t>Proposition 6</w:t>
      </w:r>
      <w:r>
        <w:t> :</w:t>
      </w:r>
      <w:r w:rsidRPr="00512D98">
        <w:t xml:space="preserve"> Au paragraphe 4.3.3.3.2 de l</w:t>
      </w:r>
      <w:r>
        <w:t>’</w:t>
      </w:r>
      <w:r w:rsidRPr="00512D98">
        <w:t>ADR, supprimer le texte actuel et</w:t>
      </w:r>
      <w:r w:rsidR="00526919">
        <w:t> </w:t>
      </w:r>
      <w:r w:rsidRPr="00512D98">
        <w:t>modifier</w:t>
      </w:r>
      <w:r>
        <w:t xml:space="preserve"> comme suit :</w:t>
      </w:r>
    </w:p>
    <w:p w14:paraId="33D48885" w14:textId="77777777" w:rsidR="0032072F" w:rsidRPr="003467FB" w:rsidRDefault="0032072F" w:rsidP="0032072F">
      <w:pPr>
        <w:pStyle w:val="SingleTxtG"/>
        <w:ind w:left="3402" w:hanging="2268"/>
        <w:rPr>
          <w:i/>
          <w:iCs/>
        </w:rPr>
      </w:pPr>
      <w:r w:rsidRPr="0032072F">
        <w:rPr>
          <w:b/>
          <w:bCs/>
        </w:rPr>
        <w:t>4.3.3.3.2</w:t>
      </w:r>
      <w:r>
        <w:rPr>
          <w:i/>
          <w:iCs/>
        </w:rPr>
        <w:tab/>
      </w:r>
      <w:r w:rsidRPr="003467FB">
        <w:rPr>
          <w:i/>
          <w:iCs/>
        </w:rPr>
        <w:t>(Supprimé)</w:t>
      </w:r>
    </w:p>
    <w:p w14:paraId="7B861DF2" w14:textId="77777777" w:rsidR="0032072F" w:rsidRPr="003467FB" w:rsidRDefault="0032072F" w:rsidP="00526919">
      <w:pPr>
        <w:pStyle w:val="H1G"/>
      </w:pPr>
      <w:r>
        <w:tab/>
      </w:r>
      <w:r w:rsidRPr="003467FB">
        <w:t>Point 4</w:t>
      </w:r>
      <w:r>
        <w:t> :</w:t>
      </w:r>
      <w:r w:rsidRPr="003467FB">
        <w:tab/>
      </w:r>
      <w:bookmarkStart w:id="12" w:name="_Hlk56584240"/>
      <w:r w:rsidRPr="003467FB">
        <w:t>Document</w:t>
      </w:r>
      <w:bookmarkEnd w:id="12"/>
      <w:r w:rsidRPr="003467FB">
        <w:t xml:space="preserve"> ECE/TRANS/WP.15/AC.1/2020/31 (Fédération de Russie) </w:t>
      </w:r>
      <w:r w:rsidR="00526919">
        <w:t>−</w:t>
      </w:r>
      <w:r w:rsidRPr="003467FB">
        <w:t xml:space="preserve"> </w:t>
      </w:r>
      <w:r w:rsidRPr="005E02DD">
        <w:t xml:space="preserve">Isolation thermique des citernes </w:t>
      </w:r>
      <w:r w:rsidRPr="003467FB">
        <w:t>(</w:t>
      </w:r>
      <w:r w:rsidRPr="00016AB2">
        <w:t>disposition spéciale TE 14 de la</w:t>
      </w:r>
      <w:r w:rsidR="00526919">
        <w:t> </w:t>
      </w:r>
      <w:r w:rsidRPr="00016AB2">
        <w:t>section 6.8.4</w:t>
      </w:r>
      <w:r w:rsidRPr="003467FB">
        <w:t xml:space="preserve">) </w:t>
      </w:r>
      <w:r>
        <w:t xml:space="preserve">et document </w:t>
      </w:r>
      <w:r w:rsidRPr="003467FB">
        <w:t>INF.9 (OTIF)</w:t>
      </w:r>
    </w:p>
    <w:p w14:paraId="6337BFA1" w14:textId="77777777" w:rsidR="0032072F" w:rsidRPr="0075721C" w:rsidRDefault="0032072F" w:rsidP="0032072F">
      <w:pPr>
        <w:pStyle w:val="SingleTxtG"/>
      </w:pPr>
      <w:r w:rsidRPr="00DD33AF">
        <w:t>7.</w:t>
      </w:r>
      <w:r w:rsidRPr="00DD33AF">
        <w:tab/>
        <w:t>I</w:t>
      </w:r>
      <w:r>
        <w:t>l</w:t>
      </w:r>
      <w:r w:rsidRPr="00DD33AF">
        <w:t xml:space="preserve"> a été expliqué que d</w:t>
      </w:r>
      <w:r>
        <w:t xml:space="preserve">ans certains cas le </w:t>
      </w:r>
      <w:r w:rsidRPr="00AE167D">
        <w:t>système de chauffage</w:t>
      </w:r>
      <w:r>
        <w:t xml:space="preserve"> était fixé sur </w:t>
      </w:r>
      <w:r w:rsidRPr="00907FE2">
        <w:t>l</w:t>
      </w:r>
      <w:r>
        <w:t>’</w:t>
      </w:r>
      <w:r w:rsidRPr="00907FE2">
        <w:t>extérieur d</w:t>
      </w:r>
      <w:r>
        <w:t>u réservoir et que la surface la plus externe de l’élément chauffant devrait alors être isolée avec un matériau approprié</w:t>
      </w:r>
      <w:r w:rsidRPr="0075721C">
        <w:t>.</w:t>
      </w:r>
    </w:p>
    <w:p w14:paraId="6CBF60EC" w14:textId="77777777" w:rsidR="0032072F" w:rsidRDefault="0032072F" w:rsidP="0032072F">
      <w:pPr>
        <w:pStyle w:val="SingleTxtG"/>
      </w:pPr>
      <w:r w:rsidRPr="0075721C">
        <w:t>8.</w:t>
      </w:r>
      <w:r w:rsidRPr="0075721C">
        <w:tab/>
        <w:t>Le Groupe de travail a accepté le principe de la proposition, mais il a</w:t>
      </w:r>
      <w:r>
        <w:t xml:space="preserve"> procédé à quelques modifications rédactionnelles supplémentaires. </w:t>
      </w:r>
      <w:r w:rsidRPr="00A668BC">
        <w:t>L</w:t>
      </w:r>
      <w:r>
        <w:t>’</w:t>
      </w:r>
      <w:r w:rsidRPr="00A668BC">
        <w:t xml:space="preserve">utilisation de la formule </w:t>
      </w:r>
      <w:r w:rsidR="00526919">
        <w:t>« </w:t>
      </w:r>
      <w:r w:rsidRPr="00A668BC">
        <w:t>et/ou</w:t>
      </w:r>
      <w:r w:rsidR="00526919">
        <w:t> »</w:t>
      </w:r>
      <w:r w:rsidRPr="00A668BC">
        <w:t xml:space="preserve"> a en particulier fait </w:t>
      </w:r>
      <w:r>
        <w:t>débat</w:t>
      </w:r>
      <w:r w:rsidRPr="00A668BC">
        <w:t xml:space="preserve">, </w:t>
      </w:r>
      <w:r>
        <w:t xml:space="preserve">car en anglais et en français </w:t>
      </w:r>
      <w:r w:rsidR="00526919">
        <w:t>« </w:t>
      </w:r>
      <w:r w:rsidRPr="00A668BC">
        <w:t>o</w:t>
      </w:r>
      <w:r>
        <w:t>r</w:t>
      </w:r>
      <w:r w:rsidR="00526919">
        <w:t> »</w:t>
      </w:r>
      <w:r w:rsidRPr="00A668BC">
        <w:t>/</w:t>
      </w:r>
      <w:r w:rsidR="00526919">
        <w:t>« </w:t>
      </w:r>
      <w:r w:rsidRPr="00A668BC">
        <w:t>o</w:t>
      </w:r>
      <w:r>
        <w:t>u</w:t>
      </w:r>
      <w:r w:rsidR="00526919">
        <w:t> »</w:t>
      </w:r>
      <w:r w:rsidRPr="00A668BC">
        <w:t xml:space="preserve"> </w:t>
      </w:r>
      <w:r>
        <w:t xml:space="preserve">serait préférable alors qu’en allemand </w:t>
      </w:r>
      <w:r w:rsidR="00526919">
        <w:t>« </w:t>
      </w:r>
      <w:r w:rsidRPr="00A668BC">
        <w:t>o</w:t>
      </w:r>
      <w:r w:rsidR="00526919">
        <w:t>u »</w:t>
      </w:r>
      <w:r w:rsidRPr="00A668BC">
        <w:t xml:space="preserve"> </w:t>
      </w:r>
      <w:r>
        <w:t xml:space="preserve">équivaudrait à </w:t>
      </w:r>
      <w:r w:rsidR="00526919">
        <w:t>« </w:t>
      </w:r>
      <w:r>
        <w:t>l’un ou l’autre</w:t>
      </w:r>
      <w:r w:rsidR="00526919">
        <w:t> »</w:t>
      </w:r>
      <w:r w:rsidRPr="00A668BC">
        <w:t xml:space="preserve">. </w:t>
      </w:r>
      <w:r w:rsidRPr="008F7A5E">
        <w:t xml:space="preserve">Il a finalement été décidé de conserver </w:t>
      </w:r>
      <w:r w:rsidR="00526919">
        <w:t>« et</w:t>
      </w:r>
      <w:r w:rsidRPr="008F7A5E">
        <w:t>/ou</w:t>
      </w:r>
      <w:r w:rsidR="00526919">
        <w:t> »</w:t>
      </w:r>
      <w:r w:rsidRPr="008F7A5E">
        <w:t>, c</w:t>
      </w:r>
      <w:r>
        <w:t>ar cette formule appara</w:t>
      </w:r>
      <w:r w:rsidR="00526919">
        <w:t>î</w:t>
      </w:r>
      <w:r>
        <w:t>t en plusieurs endroits du règlement.</w:t>
      </w:r>
    </w:p>
    <w:p w14:paraId="04F62AFC" w14:textId="77777777" w:rsidR="0032072F" w:rsidRDefault="0032072F" w:rsidP="0032072F">
      <w:pPr>
        <w:pStyle w:val="H23G"/>
      </w:pPr>
      <w:r w:rsidRPr="008F7A5E">
        <w:tab/>
      </w:r>
      <w:r w:rsidRPr="008F7A5E">
        <w:tab/>
      </w:r>
      <w:r w:rsidRPr="001606F3">
        <w:t>Proposition 7</w:t>
      </w:r>
      <w:r>
        <w:t> :</w:t>
      </w:r>
      <w:r w:rsidRPr="001606F3">
        <w:t xml:space="preserve"> modifier comme suit la disposition spéciale TE 14 </w:t>
      </w:r>
      <w:r>
        <w:t xml:space="preserve">de la section </w:t>
      </w:r>
      <w:r w:rsidRPr="001606F3">
        <w:t>6.8.4</w:t>
      </w:r>
      <w:r>
        <w:t> :</w:t>
      </w:r>
    </w:p>
    <w:p w14:paraId="72DBB2BA" w14:textId="77777777" w:rsidR="0032072F" w:rsidRPr="00DD33AF" w:rsidRDefault="00526919" w:rsidP="0032072F">
      <w:pPr>
        <w:pStyle w:val="SingleTxtG"/>
        <w:ind w:left="2268" w:hanging="1134"/>
      </w:pPr>
      <w:r>
        <w:t>« </w:t>
      </w:r>
      <w:r w:rsidR="0032072F" w:rsidRPr="00DD33AF">
        <w:t>TE 14</w:t>
      </w:r>
      <w:r w:rsidR="0032072F" w:rsidRPr="00DD33AF">
        <w:tab/>
        <w:t>Les citernes doivent être munies d</w:t>
      </w:r>
      <w:r w:rsidR="0032072F">
        <w:t>’</w:t>
      </w:r>
      <w:r w:rsidR="0032072F" w:rsidRPr="00DD33AF">
        <w:t>une isolation thermique. L</w:t>
      </w:r>
      <w:r w:rsidR="0032072F">
        <w:t>’</w:t>
      </w:r>
      <w:r w:rsidR="0032072F" w:rsidRPr="00DD33AF">
        <w:t xml:space="preserve">isolation thermique directement en contact avec le réservoir </w:t>
      </w:r>
      <w:r w:rsidR="0032072F" w:rsidRPr="007A53FB">
        <w:t xml:space="preserve">et/ou des membres structuraux du système de chauffage </w:t>
      </w:r>
      <w:r w:rsidR="0032072F" w:rsidRPr="00DD33AF">
        <w:t>doit avoir une température d</w:t>
      </w:r>
      <w:r w:rsidR="0032072F">
        <w:t>’</w:t>
      </w:r>
      <w:r w:rsidR="0032072F" w:rsidRPr="00DD33AF">
        <w:t>inflammation supérieure d</w:t>
      </w:r>
      <w:r w:rsidR="0032072F">
        <w:t>’</w:t>
      </w:r>
      <w:r w:rsidR="0032072F" w:rsidRPr="00DD33AF">
        <w:t>au moins 50</w:t>
      </w:r>
      <w:r>
        <w:t> </w:t>
      </w:r>
      <w:r w:rsidR="0032072F">
        <w:t>°</w:t>
      </w:r>
      <w:r w:rsidR="0032072F" w:rsidRPr="00DD33AF">
        <w:t xml:space="preserve">C à la température maximale pour laquelle la citerne </w:t>
      </w:r>
      <w:r w:rsidR="0032072F">
        <w:t xml:space="preserve">a été </w:t>
      </w:r>
      <w:r w:rsidR="0032072F" w:rsidRPr="00DD33AF">
        <w:t>conçu</w:t>
      </w:r>
      <w:r w:rsidR="0032072F">
        <w:t>e</w:t>
      </w:r>
      <w:r w:rsidR="0032072F" w:rsidRPr="00DD33AF">
        <w:t>.</w:t>
      </w:r>
      <w:r>
        <w:t> »</w:t>
      </w:r>
    </w:p>
    <w:p w14:paraId="716477B6" w14:textId="77777777" w:rsidR="0032072F" w:rsidRPr="00386F16" w:rsidRDefault="0032072F" w:rsidP="00526919">
      <w:pPr>
        <w:pStyle w:val="H1G"/>
      </w:pPr>
      <w:bookmarkStart w:id="13" w:name="_Hlk51042680"/>
      <w:r>
        <w:tab/>
      </w:r>
      <w:r w:rsidRPr="00386F16">
        <w:t>Point 5</w:t>
      </w:r>
      <w:r>
        <w:t> :</w:t>
      </w:r>
      <w:r w:rsidRPr="00386F16">
        <w:tab/>
        <w:t xml:space="preserve">Document ECE/TRANS/WP.15/AC.1/2020/32 (Fédération de Russie) </w:t>
      </w:r>
      <w:bookmarkEnd w:id="13"/>
      <w:r w:rsidR="00526919">
        <w:t>−</w:t>
      </w:r>
      <w:r w:rsidRPr="00386F16">
        <w:t xml:space="preserve"> Méthode de traitement thermique des matériaux pour la construction des réservoirs soudés (par</w:t>
      </w:r>
      <w:r w:rsidR="00D45188">
        <w:t>. </w:t>
      </w:r>
      <w:r w:rsidRPr="00386F16">
        <w:t xml:space="preserve">6.8.2.1.10, 6.8.2.1.11 et 6.8.2.6.1) et </w:t>
      </w:r>
      <w:r>
        <w:t xml:space="preserve">document </w:t>
      </w:r>
      <w:r w:rsidRPr="00386F16">
        <w:t>INF.9 (OTIF)</w:t>
      </w:r>
    </w:p>
    <w:p w14:paraId="365181EB" w14:textId="77777777" w:rsidR="0032072F" w:rsidRDefault="0032072F" w:rsidP="0032072F">
      <w:pPr>
        <w:pStyle w:val="SingleTxtG"/>
      </w:pPr>
      <w:r w:rsidRPr="00415A12">
        <w:t>9.</w:t>
      </w:r>
      <w:r w:rsidRPr="00415A12">
        <w:tab/>
        <w:t>La question s</w:t>
      </w:r>
      <w:r>
        <w:t>’</w:t>
      </w:r>
      <w:r w:rsidRPr="00415A12">
        <w:t>est posée de savoir si de l</w:t>
      </w:r>
      <w:r>
        <w:t>’</w:t>
      </w:r>
      <w:r w:rsidRPr="00415A12">
        <w:t>acier trempé pouvait être utilis</w:t>
      </w:r>
      <w:r>
        <w:t>é</w:t>
      </w:r>
      <w:r w:rsidRPr="00E20712">
        <w:rPr>
          <w:rFonts w:ascii="Segoe UI" w:hAnsi="Segoe UI" w:cs="Segoe UI"/>
        </w:rPr>
        <w:t xml:space="preserve"> </w:t>
      </w:r>
      <w:r w:rsidRPr="00E20712">
        <w:t xml:space="preserve">pour </w:t>
      </w:r>
      <w:r>
        <w:t>fabriquer d</w:t>
      </w:r>
      <w:r w:rsidRPr="00E20712">
        <w:t>es réservoirs soudés en acier</w:t>
      </w:r>
      <w:r>
        <w:t xml:space="preserve">. Cette disposition ne figure qu’au second alinéa du paragraphe </w:t>
      </w:r>
      <w:r w:rsidRPr="00DB13D9">
        <w:t xml:space="preserve">6.8.2.1.10 </w:t>
      </w:r>
      <w:r>
        <w:t xml:space="preserve">du </w:t>
      </w:r>
      <w:r w:rsidRPr="00DB13D9">
        <w:t xml:space="preserve">RID, </w:t>
      </w:r>
      <w:r>
        <w:t>qui s’applique aussi bien aux wagons-citernes qu’aux conteneurs-citernes.</w:t>
      </w:r>
    </w:p>
    <w:p w14:paraId="6FF1F780" w14:textId="77777777" w:rsidR="0032072F" w:rsidRDefault="0032072F" w:rsidP="0032072F">
      <w:pPr>
        <w:pStyle w:val="SingleTxtG"/>
      </w:pPr>
      <w:r w:rsidRPr="008764AF">
        <w:t>10.</w:t>
      </w:r>
      <w:r w:rsidRPr="008764AF">
        <w:tab/>
        <w:t>Il a été convenu que des aciers trempés à l</w:t>
      </w:r>
      <w:r>
        <w:t>’</w:t>
      </w:r>
      <w:r w:rsidRPr="008764AF">
        <w:t>eau pouvaient en pri</w:t>
      </w:r>
      <w:r>
        <w:t xml:space="preserve">ncipe être utilisés s’ils avaient démontré </w:t>
      </w:r>
      <w:r w:rsidRPr="008764AF">
        <w:t>une</w:t>
      </w:r>
      <w:r>
        <w:t xml:space="preserve"> </w:t>
      </w:r>
      <w:r w:rsidRPr="008764AF">
        <w:t xml:space="preserve">ductilité </w:t>
      </w:r>
      <w:r>
        <w:t xml:space="preserve">suffisante et </w:t>
      </w:r>
      <w:r w:rsidRPr="008764AF">
        <w:t>une</w:t>
      </w:r>
      <w:r>
        <w:t xml:space="preserve"> bonne </w:t>
      </w:r>
      <w:r w:rsidRPr="008764AF">
        <w:t>soudabilité.</w:t>
      </w:r>
      <w:r>
        <w:t xml:space="preserve"> Pour garantir cela le </w:t>
      </w:r>
      <w:r w:rsidRPr="00544AFD">
        <w:t xml:space="preserve">rapport Re/Rm </w:t>
      </w:r>
      <w:r>
        <w:t xml:space="preserve">de </w:t>
      </w:r>
      <w:r w:rsidRPr="00544AFD">
        <w:t>0,85</w:t>
      </w:r>
      <w:r>
        <w:t xml:space="preserve"> évoqué dans la première phrase du paragraphe </w:t>
      </w:r>
      <w:r w:rsidRPr="00CE7836">
        <w:t>6.8.2.1.11 e</w:t>
      </w:r>
      <w:r>
        <w:t>st essentiel</w:t>
      </w:r>
      <w:r w:rsidRPr="00CE7836">
        <w:t xml:space="preserve">. </w:t>
      </w:r>
      <w:r>
        <w:t xml:space="preserve">Il n’a pas été possible de déterminer l’origine du rapport </w:t>
      </w:r>
      <w:r w:rsidRPr="002F375E">
        <w:t xml:space="preserve">Re/Rm </w:t>
      </w:r>
      <w:r>
        <w:t>de</w:t>
      </w:r>
      <w:r w:rsidRPr="002F375E">
        <w:rPr>
          <w:rFonts w:ascii="Arial" w:hAnsi="Arial" w:cs="Arial"/>
          <w:color w:val="000000"/>
          <w:sz w:val="18"/>
          <w:szCs w:val="18"/>
        </w:rPr>
        <w:t xml:space="preserve"> </w:t>
      </w:r>
      <w:r w:rsidRPr="002F375E">
        <w:t>0,85</w:t>
      </w:r>
      <w:r>
        <w:t xml:space="preserve">. Il a toutefois été souligné que ce rapport était présent dans tous les </w:t>
      </w:r>
      <w:r w:rsidRPr="000D313E">
        <w:t>codes techniques</w:t>
      </w:r>
      <w:r>
        <w:t xml:space="preserve"> pour le transport des citernes ainsi qu’au chapitre 6.7.</w:t>
      </w:r>
      <w:r w:rsidR="00526919">
        <w:t xml:space="preserve"> </w:t>
      </w:r>
      <w:r>
        <w:t xml:space="preserve">Il a été proposé que cette question soit transmise au </w:t>
      </w:r>
      <w:r w:rsidRPr="00156F47">
        <w:t>Sous-Comité d</w:t>
      </w:r>
      <w:r>
        <w:t>’</w:t>
      </w:r>
      <w:r w:rsidRPr="00156F47">
        <w:t>experts du transport des marchandises dangereuses de l</w:t>
      </w:r>
      <w:r>
        <w:t>’</w:t>
      </w:r>
      <w:r w:rsidRPr="00156F47">
        <w:t>ONU</w:t>
      </w:r>
      <w:r w:rsidRPr="00F445D2">
        <w:t>.</w:t>
      </w:r>
    </w:p>
    <w:p w14:paraId="30B0CF41" w14:textId="77777777" w:rsidR="0032072F" w:rsidRPr="005A65F2" w:rsidRDefault="0032072F" w:rsidP="0032072F">
      <w:pPr>
        <w:pStyle w:val="H23G"/>
      </w:pPr>
      <w:r w:rsidRPr="00F445D2">
        <w:tab/>
      </w:r>
      <w:r w:rsidRPr="00F445D2">
        <w:tab/>
      </w:r>
      <w:r w:rsidRPr="005A65F2">
        <w:t>Proposition 8</w:t>
      </w:r>
      <w:r>
        <w:t> :</w:t>
      </w:r>
      <w:r w:rsidRPr="005A65F2">
        <w:t xml:space="preserve"> Dans le RID seulement, supprimer la première phrase du deuxième alinéa du </w:t>
      </w:r>
      <w:r>
        <w:t xml:space="preserve">paragraphe </w:t>
      </w:r>
      <w:r w:rsidRPr="005A65F2">
        <w:t>6.8.2.1.10 (</w:t>
      </w:r>
      <w:r>
        <w:t>la partie supprimée est biffée</w:t>
      </w:r>
      <w:r w:rsidRPr="005A65F2">
        <w:t>)</w:t>
      </w:r>
      <w:r>
        <w:t> :</w:t>
      </w:r>
    </w:p>
    <w:p w14:paraId="0A0BBDDE" w14:textId="77777777" w:rsidR="0032072F" w:rsidRDefault="00526919" w:rsidP="0032072F">
      <w:pPr>
        <w:pStyle w:val="SingleTxtG"/>
      </w:pPr>
      <w:r w:rsidRPr="00526919">
        <w:t>« </w:t>
      </w:r>
      <w:r w:rsidR="0032072F" w:rsidRPr="005A65F2">
        <w:rPr>
          <w:strike/>
        </w:rPr>
        <w:t>De l</w:t>
      </w:r>
      <w:r w:rsidR="0032072F">
        <w:rPr>
          <w:strike/>
        </w:rPr>
        <w:t>’</w:t>
      </w:r>
      <w:r w:rsidR="0032072F" w:rsidRPr="005A65F2">
        <w:rPr>
          <w:strike/>
        </w:rPr>
        <w:t>acier trempé à l</w:t>
      </w:r>
      <w:r w:rsidR="0032072F">
        <w:rPr>
          <w:strike/>
        </w:rPr>
        <w:t>’</w:t>
      </w:r>
      <w:r w:rsidR="0032072F" w:rsidRPr="005A65F2">
        <w:rPr>
          <w:strike/>
        </w:rPr>
        <w:t>eau ne doit pas être utilisé pour les réservoirs soudés en acier</w:t>
      </w:r>
      <w:r w:rsidR="0032072F" w:rsidRPr="00526919">
        <w:rPr>
          <w:strike/>
        </w:rPr>
        <w:t>.</w:t>
      </w:r>
      <w:r>
        <w:t> »</w:t>
      </w:r>
    </w:p>
    <w:p w14:paraId="7F7FAB89" w14:textId="77777777" w:rsidR="0032072F" w:rsidRPr="007025D1" w:rsidRDefault="0032072F" w:rsidP="00526919">
      <w:pPr>
        <w:pStyle w:val="H1G"/>
      </w:pPr>
      <w:r>
        <w:tab/>
      </w:r>
      <w:r w:rsidRPr="007025D1">
        <w:t>Point 6</w:t>
      </w:r>
      <w:r>
        <w:t> :</w:t>
      </w:r>
      <w:r w:rsidRPr="007025D1">
        <w:tab/>
        <w:t xml:space="preserve">Document ECE/TRANS/WP.15/AC.1/2020/34 (Fédération de Russie) </w:t>
      </w:r>
      <w:r w:rsidR="00526919">
        <w:t>−</w:t>
      </w:r>
      <w:r w:rsidRPr="007025D1">
        <w:t xml:space="preserve"> </w:t>
      </w:r>
      <w:bookmarkStart w:id="14" w:name="_Hlk56595590"/>
      <w:r w:rsidRPr="007025D1">
        <w:t>Matériau des récipients pour le numéro ONU 2031 acide nitrique concentré (contenant plus de 70</w:t>
      </w:r>
      <w:r w:rsidR="00526919">
        <w:t> </w:t>
      </w:r>
      <w:r w:rsidRPr="007025D1">
        <w:t>% d</w:t>
      </w:r>
      <w:r>
        <w:t>’</w:t>
      </w:r>
      <w:r w:rsidRPr="007025D1">
        <w:t xml:space="preserve">acide nitrique) (disposition spéciale TC6 de la section 6.8.4) </w:t>
      </w:r>
      <w:bookmarkEnd w:id="14"/>
      <w:r>
        <w:t xml:space="preserve">et document </w:t>
      </w:r>
      <w:r w:rsidRPr="007025D1">
        <w:t>INF.9 (OTIF)</w:t>
      </w:r>
    </w:p>
    <w:p w14:paraId="5FE4A852" w14:textId="77777777" w:rsidR="0032072F" w:rsidRDefault="0032072F" w:rsidP="00526919">
      <w:pPr>
        <w:pStyle w:val="SingleTxtG"/>
      </w:pPr>
      <w:r w:rsidRPr="00325DE2">
        <w:t>11.</w:t>
      </w:r>
      <w:r w:rsidRPr="00325DE2">
        <w:tab/>
        <w:t>La proposition était d</w:t>
      </w:r>
      <w:r>
        <w:t>’</w:t>
      </w:r>
      <w:r w:rsidRPr="00325DE2">
        <w:t>inclure</w:t>
      </w:r>
      <w:r w:rsidRPr="00325DE2">
        <w:rPr>
          <w:rFonts w:ascii="Segoe UI" w:hAnsi="Segoe UI" w:cs="Segoe UI"/>
        </w:rPr>
        <w:t xml:space="preserve"> </w:t>
      </w:r>
      <w:r>
        <w:rPr>
          <w:rFonts w:ascii="Segoe UI" w:hAnsi="Segoe UI" w:cs="Segoe UI"/>
        </w:rPr>
        <w:t xml:space="preserve">les </w:t>
      </w:r>
      <w:r w:rsidRPr="00325DE2">
        <w:t>alliages d</w:t>
      </w:r>
      <w:r>
        <w:t>’</w:t>
      </w:r>
      <w:r w:rsidRPr="00325DE2">
        <w:t>aluminium</w:t>
      </w:r>
      <w:r>
        <w:t xml:space="preserve"> dans le champ d’application de la disposition spéciale </w:t>
      </w:r>
      <w:r w:rsidRPr="00041395">
        <w:t xml:space="preserve">TC6. </w:t>
      </w:r>
      <w:r w:rsidRPr="00087C34">
        <w:t>Sa justification était notamment l</w:t>
      </w:r>
      <w:r>
        <w:t>’</w:t>
      </w:r>
      <w:r w:rsidRPr="00087C34">
        <w:t>alignement sur l</w:t>
      </w:r>
      <w:r>
        <w:t>’</w:t>
      </w:r>
      <w:r w:rsidRPr="00087C34">
        <w:t>utilisation de ces matériaux</w:t>
      </w:r>
      <w:r>
        <w:t xml:space="preserve"> pour les emballages dont il est fait état au paragraphe </w:t>
      </w:r>
      <w:r w:rsidRPr="00D801A1">
        <w:t xml:space="preserve">6.1.4.2.1. </w:t>
      </w:r>
      <w:r w:rsidRPr="00A24533">
        <w:t>On a souligné qu</w:t>
      </w:r>
      <w:r>
        <w:t xml:space="preserve">e grâce au </w:t>
      </w:r>
      <w:r w:rsidRPr="00A24533">
        <w:t>progr</w:t>
      </w:r>
      <w:r>
        <w:t>è</w:t>
      </w:r>
      <w:r w:rsidRPr="00A24533">
        <w:t>s technique</w:t>
      </w:r>
      <w:r>
        <w:t xml:space="preserve"> </w:t>
      </w:r>
      <w:r w:rsidRPr="00A24533">
        <w:t xml:space="preserve">et </w:t>
      </w:r>
      <w:r>
        <w:t xml:space="preserve">aux </w:t>
      </w:r>
      <w:r w:rsidRPr="00A24533">
        <w:t>essais</w:t>
      </w:r>
      <w:r>
        <w:t xml:space="preserve"> effectués d’autres solutions sont possibles, en plus de l’aluminium pur </w:t>
      </w:r>
      <w:r w:rsidRPr="005003E4">
        <w:t>à 99,5 %</w:t>
      </w:r>
      <w:r>
        <w:t>, ce qui permettrait de réduire le poids des citernes.</w:t>
      </w:r>
    </w:p>
    <w:p w14:paraId="621A2DE0" w14:textId="77777777" w:rsidR="0032072F" w:rsidRDefault="0032072F" w:rsidP="0032072F">
      <w:pPr>
        <w:pStyle w:val="SingleTxtG"/>
      </w:pPr>
      <w:r w:rsidRPr="00BC57D4">
        <w:t>12.</w:t>
      </w:r>
      <w:r w:rsidRPr="00BC57D4">
        <w:tab/>
        <w:t xml:space="preserve">Dans la mesure ou la compatibilité des matériaux des réservoirs est régie par les paragraphes 4.3.2.1.5 et 6.8.2.1.9, il a </w:t>
      </w:r>
      <w:r>
        <w:t xml:space="preserve">été confirmé que la disposition spéciale </w:t>
      </w:r>
      <w:r w:rsidRPr="00BC57D4">
        <w:t xml:space="preserve">TC6 </w:t>
      </w:r>
      <w:r>
        <w:t>contenait essentiellement une exemption concernant la limite d’épaisseur de la paroi fixée à 15</w:t>
      </w:r>
      <w:r w:rsidR="00526919">
        <w:t> </w:t>
      </w:r>
      <w:r>
        <w:t>mm, indépendamment du fait de savoir si la pression et les propriétés des matériaux dans le calcul se traduisaient par une augmentation de l’épaisseur. Puisque les alliages d’aluminium appropriés étaient considérés comme ayant de meilleures propriétés mécaniques que l’aluminium pur, renforçant ainsi la citerne, il n’y avait pas de raison de ne pas accorder la même exemption</w:t>
      </w:r>
      <w:r w:rsidRPr="00670202">
        <w:t>.</w:t>
      </w:r>
    </w:p>
    <w:p w14:paraId="215ECD48" w14:textId="77777777" w:rsidR="0032072F" w:rsidRPr="00670202" w:rsidRDefault="0032072F" w:rsidP="0032072F">
      <w:pPr>
        <w:pStyle w:val="H23G"/>
      </w:pPr>
      <w:r w:rsidRPr="00670202">
        <w:tab/>
      </w:r>
      <w:r w:rsidRPr="00670202">
        <w:tab/>
        <w:t>Proposition 9</w:t>
      </w:r>
      <w:r>
        <w:t> :</w:t>
      </w:r>
      <w:r w:rsidRPr="00670202">
        <w:t xml:space="preserve"> </w:t>
      </w:r>
      <w:r>
        <w:t>M</w:t>
      </w:r>
      <w:r w:rsidRPr="00670202">
        <w:t>odifier la disposition spéciale TC6 d</w:t>
      </w:r>
      <w:r>
        <w:t xml:space="preserve">e la section </w:t>
      </w:r>
      <w:r w:rsidRPr="00670202">
        <w:t xml:space="preserve">6.8.4 </w:t>
      </w:r>
      <w:r>
        <w:t>comme suit :</w:t>
      </w:r>
    </w:p>
    <w:p w14:paraId="4CF61401" w14:textId="77777777" w:rsidR="0032072F" w:rsidRPr="000F5F72" w:rsidRDefault="00526919" w:rsidP="0032072F">
      <w:pPr>
        <w:pStyle w:val="SingleTxtG"/>
        <w:ind w:left="2268" w:hanging="1134"/>
      </w:pPr>
      <w:r>
        <w:t>« </w:t>
      </w:r>
      <w:r w:rsidR="0032072F" w:rsidRPr="000F5F72">
        <w:t>TC6</w:t>
      </w:r>
      <w:r w:rsidR="0032072F" w:rsidRPr="000F5F72">
        <w:tab/>
        <w:t>L</w:t>
      </w:r>
      <w:r w:rsidR="0032072F">
        <w:t>’</w:t>
      </w:r>
      <w:r w:rsidR="0032072F" w:rsidRPr="000F5F72">
        <w:t>épaisseur de la paroi des citernes construites en aluminium d</w:t>
      </w:r>
      <w:r w:rsidR="0032072F">
        <w:t>’</w:t>
      </w:r>
      <w:r w:rsidR="0032072F" w:rsidRPr="000F5F72">
        <w:t>une pureté égale ou supérieure à 99,5 % ou en alliage aluminium n</w:t>
      </w:r>
      <w:r w:rsidR="0032072F">
        <w:t>’</w:t>
      </w:r>
      <w:r w:rsidR="0032072F" w:rsidRPr="000F5F72">
        <w:t>a pas besoin d</w:t>
      </w:r>
      <w:r w:rsidR="0032072F">
        <w:t>’</w:t>
      </w:r>
      <w:r w:rsidR="0032072F" w:rsidRPr="000F5F72">
        <w:t>être supérieure à 15</w:t>
      </w:r>
      <w:r>
        <w:t> </w:t>
      </w:r>
      <w:r w:rsidR="0032072F" w:rsidRPr="000F5F72">
        <w:t xml:space="preserve">mm même lorsque le calcul selon le paragraphe 6.8.2.1.17 donne une valeur </w:t>
      </w:r>
      <w:r w:rsidR="0032072F">
        <w:t>plus élevée</w:t>
      </w:r>
      <w:r w:rsidR="0032072F" w:rsidRPr="000F5F72">
        <w:t>.</w:t>
      </w:r>
      <w:r>
        <w:t> »</w:t>
      </w:r>
    </w:p>
    <w:p w14:paraId="176A43D5" w14:textId="77777777" w:rsidR="0032072F" w:rsidRDefault="0032072F" w:rsidP="0032072F">
      <w:pPr>
        <w:pStyle w:val="HChG"/>
      </w:pPr>
      <w:r>
        <w:tab/>
      </w:r>
      <w:r w:rsidRPr="00787C3B">
        <w:t>II.</w:t>
      </w:r>
      <w:r w:rsidRPr="00787C3B">
        <w:tab/>
      </w:r>
      <w:r w:rsidRPr="004762F8">
        <w:t>Section 2</w:t>
      </w:r>
      <w:r>
        <w:t> :</w:t>
      </w:r>
      <w:r w:rsidRPr="004762F8">
        <w:t xml:space="preserve"> </w:t>
      </w:r>
      <w:r>
        <w:t>G</w:t>
      </w:r>
      <w:r w:rsidRPr="004762F8">
        <w:t>roupe de travail informel du contrôle et de l</w:t>
      </w:r>
      <w:r>
        <w:t>’</w:t>
      </w:r>
      <w:r w:rsidRPr="004762F8">
        <w:t>agrément des citernes (</w:t>
      </w:r>
      <w:r>
        <w:t xml:space="preserve">le </w:t>
      </w:r>
      <w:r w:rsidR="009B0674" w:rsidRPr="00A80BAE">
        <w:t xml:space="preserve">groupe </w:t>
      </w:r>
      <w:r w:rsidRPr="00A80BAE">
        <w:t>de travail de Londres</w:t>
      </w:r>
      <w:r w:rsidRPr="004762F8">
        <w:t>)</w:t>
      </w:r>
    </w:p>
    <w:p w14:paraId="62B8F135" w14:textId="77777777" w:rsidR="0032072F" w:rsidRPr="00994CE6" w:rsidRDefault="0032072F" w:rsidP="00526919">
      <w:pPr>
        <w:pStyle w:val="H1G"/>
      </w:pPr>
      <w:r>
        <w:tab/>
      </w:r>
      <w:r w:rsidRPr="00994CE6">
        <w:t>Point 7</w:t>
      </w:r>
      <w:r>
        <w:t> :</w:t>
      </w:r>
      <w:r w:rsidRPr="00994CE6">
        <w:tab/>
        <w:t>Document</w:t>
      </w:r>
      <w:r>
        <w:t>s</w:t>
      </w:r>
      <w:r w:rsidRPr="00994CE6">
        <w:t xml:space="preserve"> ECE/TRANS/WP.15/AC.1/2020/19 (Royaume-Uni) </w:t>
      </w:r>
      <w:r w:rsidR="00526919">
        <w:t>−</w:t>
      </w:r>
      <w:r w:rsidRPr="00994CE6">
        <w:t xml:space="preserve"> Rapport de la treizième </w:t>
      </w:r>
      <w:r>
        <w:t>session du g</w:t>
      </w:r>
      <w:r w:rsidRPr="00994CE6">
        <w:t>roupe de travail informel du</w:t>
      </w:r>
      <w:r w:rsidR="00526919">
        <w:t> </w:t>
      </w:r>
      <w:r w:rsidRPr="00994CE6">
        <w:t>contrôle et de l</w:t>
      </w:r>
      <w:r>
        <w:t>’</w:t>
      </w:r>
      <w:r w:rsidRPr="00994CE6">
        <w:t>agrément des citernes</w:t>
      </w:r>
      <w:r>
        <w:t>,</w:t>
      </w:r>
      <w:r w:rsidRPr="00994CE6">
        <w:t xml:space="preserve"> ECE/TRANS/WP.15/AC.1/</w:t>
      </w:r>
      <w:r w:rsidR="00526919">
        <w:t xml:space="preserve"> </w:t>
      </w:r>
      <w:r w:rsidRPr="00994CE6">
        <w:t>2020/20 (Royaume-Uni), ECE/TRANS/WP.15/AC.1/2020/47 (Irland</w:t>
      </w:r>
      <w:r>
        <w:t>e</w:t>
      </w:r>
      <w:r w:rsidRPr="00994CE6">
        <w:t>), ECE/TRANS/WP.15/AC.1/2020/49</w:t>
      </w:r>
      <w:r w:rsidR="00526919">
        <w:t xml:space="preserve"> </w:t>
      </w:r>
      <w:r w:rsidRPr="00994CE6">
        <w:t>(Royaume-Uni), INF.6 Rev.1 (Royaume-Uni), INF.15 (Belgi</w:t>
      </w:r>
      <w:r>
        <w:t>q</w:t>
      </w:r>
      <w:r w:rsidRPr="00994CE6">
        <w:t>u</w:t>
      </w:r>
      <w:r>
        <w:t>e</w:t>
      </w:r>
      <w:r w:rsidRPr="00994CE6">
        <w:t>), INF.17 (EIGA),</w:t>
      </w:r>
      <w:r w:rsidR="00526919">
        <w:t xml:space="preserve"> </w:t>
      </w:r>
      <w:r w:rsidRPr="00994CE6">
        <w:t>INF.31 (</w:t>
      </w:r>
      <w:r>
        <w:t>Allemagne</w:t>
      </w:r>
      <w:r w:rsidRPr="00994CE6">
        <w:t>), INF.32 (</w:t>
      </w:r>
      <w:r w:rsidRPr="0031150A">
        <w:t>Allemagne</w:t>
      </w:r>
      <w:r w:rsidRPr="00994CE6">
        <w:t>), INF.33 (UIP), INF.43 (Belgi</w:t>
      </w:r>
      <w:r>
        <w:t>q</w:t>
      </w:r>
      <w:r w:rsidRPr="00994CE6">
        <w:t>u</w:t>
      </w:r>
      <w:r>
        <w:t>e</w:t>
      </w:r>
      <w:r w:rsidRPr="00994CE6">
        <w:t>), INF.44</w:t>
      </w:r>
      <w:r w:rsidR="00526919">
        <w:t xml:space="preserve">, </w:t>
      </w:r>
      <w:r w:rsidRPr="00994CE6">
        <w:t>(Belgi</w:t>
      </w:r>
      <w:r>
        <w:t>q</w:t>
      </w:r>
      <w:r w:rsidRPr="00994CE6">
        <w:t>u</w:t>
      </w:r>
      <w:r>
        <w:t>e</w:t>
      </w:r>
      <w:r w:rsidRPr="00994CE6">
        <w:t>), INF.46 (</w:t>
      </w:r>
      <w:r w:rsidRPr="0031150A">
        <w:t>Allemagne</w:t>
      </w:r>
      <w:r w:rsidRPr="00994CE6">
        <w:t xml:space="preserve">), INF.57 (Royaume-Uni) </w:t>
      </w:r>
      <w:r>
        <w:t>et</w:t>
      </w:r>
      <w:r w:rsidRPr="00994CE6">
        <w:t xml:space="preserve"> INF.63 (</w:t>
      </w:r>
      <w:r w:rsidRPr="0041191C">
        <w:t>Royaume-Uni</w:t>
      </w:r>
      <w:r w:rsidRPr="00994CE6">
        <w:t>)</w:t>
      </w:r>
    </w:p>
    <w:p w14:paraId="6C0A6C3F" w14:textId="77777777" w:rsidR="0032072F" w:rsidRDefault="0032072F" w:rsidP="00526919">
      <w:pPr>
        <w:pStyle w:val="SingleTxtG"/>
        <w:keepNext/>
        <w:rPr>
          <w:lang w:eastAsia="nl-NL"/>
        </w:rPr>
      </w:pPr>
      <w:r w:rsidRPr="00BB50CD">
        <w:rPr>
          <w:lang w:eastAsia="nl-NL"/>
        </w:rPr>
        <w:t>13.</w:t>
      </w:r>
      <w:r w:rsidRPr="00BB50CD">
        <w:rPr>
          <w:lang w:eastAsia="nl-NL"/>
        </w:rPr>
        <w:tab/>
        <w:t>La plénière a chargé le g</w:t>
      </w:r>
      <w:r>
        <w:rPr>
          <w:lang w:eastAsia="nl-NL"/>
        </w:rPr>
        <w:t>roupe de travail des citernes de s’acquitter des trois tâches suivantes à la lumière des observations finales du Président de la Réunion commune :</w:t>
      </w:r>
    </w:p>
    <w:p w14:paraId="66E79F9A" w14:textId="77777777" w:rsidR="0032072F" w:rsidRDefault="0032072F" w:rsidP="0032072F">
      <w:pPr>
        <w:pStyle w:val="SingleTxtG"/>
        <w:ind w:firstLine="567"/>
        <w:rPr>
          <w:lang w:eastAsia="nl-NL"/>
        </w:rPr>
      </w:pPr>
      <w:r w:rsidRPr="008E0448">
        <w:rPr>
          <w:lang w:eastAsia="nl-NL"/>
        </w:rPr>
        <w:t>a)</w:t>
      </w:r>
      <w:r w:rsidRPr="008E0448">
        <w:rPr>
          <w:lang w:eastAsia="nl-NL"/>
        </w:rPr>
        <w:tab/>
      </w:r>
      <w:r>
        <w:rPr>
          <w:lang w:eastAsia="nl-NL"/>
        </w:rPr>
        <w:t>É</w:t>
      </w:r>
      <w:r w:rsidRPr="008E0448">
        <w:rPr>
          <w:lang w:eastAsia="nl-NL"/>
        </w:rPr>
        <w:t xml:space="preserve">laborer </w:t>
      </w:r>
      <w:r w:rsidRPr="00940D92">
        <w:rPr>
          <w:lang w:eastAsia="nl-NL"/>
        </w:rPr>
        <w:t>à l</w:t>
      </w:r>
      <w:r>
        <w:rPr>
          <w:lang w:eastAsia="nl-NL"/>
        </w:rPr>
        <w:t>’</w:t>
      </w:r>
      <w:r w:rsidRPr="00940D92">
        <w:rPr>
          <w:lang w:eastAsia="nl-NL"/>
        </w:rPr>
        <w:t xml:space="preserve">intention des Parties contractantes, une enquête </w:t>
      </w:r>
      <w:r>
        <w:rPr>
          <w:lang w:eastAsia="nl-NL"/>
        </w:rPr>
        <w:t xml:space="preserve">ayant pour </w:t>
      </w:r>
      <w:r w:rsidRPr="00940D92">
        <w:rPr>
          <w:lang w:eastAsia="nl-NL"/>
        </w:rPr>
        <w:t>objectif d</w:t>
      </w:r>
      <w:r>
        <w:rPr>
          <w:lang w:eastAsia="nl-NL"/>
        </w:rPr>
        <w:t>’</w:t>
      </w:r>
      <w:r w:rsidRPr="00940D92">
        <w:rPr>
          <w:lang w:eastAsia="nl-NL"/>
        </w:rPr>
        <w:t>éclairer les travaux portant sur l</w:t>
      </w:r>
      <w:r>
        <w:rPr>
          <w:lang w:eastAsia="nl-NL"/>
        </w:rPr>
        <w:t>’</w:t>
      </w:r>
      <w:r w:rsidRPr="00940D92">
        <w:rPr>
          <w:lang w:eastAsia="nl-NL"/>
        </w:rPr>
        <w:t>application des systèmes nationaux d</w:t>
      </w:r>
      <w:r>
        <w:rPr>
          <w:lang w:eastAsia="nl-NL"/>
        </w:rPr>
        <w:t>’</w:t>
      </w:r>
      <w:r w:rsidRPr="00940D92">
        <w:rPr>
          <w:lang w:eastAsia="nl-NL"/>
        </w:rPr>
        <w:t>agrément des organismes de contrôle.</w:t>
      </w:r>
      <w:r>
        <w:rPr>
          <w:lang w:eastAsia="nl-NL"/>
        </w:rPr>
        <w:t xml:space="preserve"> Le Président du groupe de Londres a proposé d’élaborer pour le groupe de travail des citernes un document informel ébauchant les questions de l’enquête pour examen par la Réunion commune. Au terme d’une brève discussion, le groupe s’est mis d’accord sur une série de cinq scénarios différents, y compris celui qui est proposé dans le document </w:t>
      </w:r>
      <w:r w:rsidRPr="00C513A7">
        <w:rPr>
          <w:lang w:eastAsia="nl-NL"/>
        </w:rPr>
        <w:t xml:space="preserve">INF.6/Rev.1, </w:t>
      </w:r>
      <w:r>
        <w:rPr>
          <w:lang w:eastAsia="nl-NL"/>
        </w:rPr>
        <w:t xml:space="preserve">chaque scénario successif limitant un peu plus les activités des </w:t>
      </w:r>
      <w:r w:rsidRPr="00E62B8B">
        <w:rPr>
          <w:lang w:eastAsia="nl-NL"/>
        </w:rPr>
        <w:t>organismes de contrôle</w:t>
      </w:r>
      <w:r>
        <w:rPr>
          <w:lang w:eastAsia="nl-NL"/>
        </w:rPr>
        <w:t xml:space="preserve"> agréés en vertu d’un système national. </w:t>
      </w:r>
      <w:r w:rsidRPr="009A35D7">
        <w:rPr>
          <w:lang w:eastAsia="nl-NL"/>
        </w:rPr>
        <w:t xml:space="preserve">Les </w:t>
      </w:r>
      <w:r w:rsidR="009B0674" w:rsidRPr="009A35D7">
        <w:rPr>
          <w:lang w:eastAsia="nl-NL"/>
        </w:rPr>
        <w:t xml:space="preserve">Parties </w:t>
      </w:r>
      <w:r w:rsidRPr="009A35D7">
        <w:rPr>
          <w:lang w:eastAsia="nl-NL"/>
        </w:rPr>
        <w:t xml:space="preserve">contractantes au </w:t>
      </w:r>
      <w:r w:rsidRPr="009A35D7">
        <w:t>RID/ADR sont donc invitées à indiquer le sc</w:t>
      </w:r>
      <w:r>
        <w:t>é</w:t>
      </w:r>
      <w:r w:rsidRPr="009A35D7">
        <w:t xml:space="preserve">nario </w:t>
      </w:r>
      <w:r>
        <w:t xml:space="preserve">qu’elles préfèrent pour le </w:t>
      </w:r>
      <w:r w:rsidRPr="009A35D7">
        <w:rPr>
          <w:lang w:eastAsia="nl-NL"/>
        </w:rPr>
        <w:t xml:space="preserve">RID/ADR 2023. </w:t>
      </w:r>
      <w:r w:rsidRPr="008A03C8">
        <w:rPr>
          <w:lang w:eastAsia="nl-NL"/>
        </w:rPr>
        <w:t>Comme il est possible que la Réunion commune ai</w:t>
      </w:r>
      <w:r>
        <w:rPr>
          <w:lang w:eastAsia="nl-NL"/>
        </w:rPr>
        <w:t>t</w:t>
      </w:r>
      <w:r w:rsidRPr="008A03C8">
        <w:rPr>
          <w:lang w:eastAsia="nl-NL"/>
        </w:rPr>
        <w:t xml:space="preserve"> des questions à poser et des éclaircissements à demander </w:t>
      </w:r>
      <w:r>
        <w:rPr>
          <w:lang w:eastAsia="nl-NL"/>
        </w:rPr>
        <w:t>avant de répondre aux questions, on s’attend à ce que l’enquête fasse l’objet de discussions au cours de sa session de printemps en mars 2021</w:t>
      </w:r>
      <w:r w:rsidR="00526919">
        <w:rPr>
          <w:lang w:eastAsia="nl-NL"/>
        </w:rPr>
        <w:t>.</w:t>
      </w:r>
    </w:p>
    <w:p w14:paraId="5EE2B461" w14:textId="77777777" w:rsidR="0032072F" w:rsidRPr="009E28A4" w:rsidRDefault="0032072F" w:rsidP="0032072F">
      <w:pPr>
        <w:pStyle w:val="SingleTxtG"/>
        <w:ind w:firstLine="567"/>
        <w:rPr>
          <w:lang w:eastAsia="nl-NL"/>
        </w:rPr>
      </w:pPr>
      <w:r w:rsidRPr="007D5008">
        <w:rPr>
          <w:lang w:eastAsia="nl-NL"/>
        </w:rPr>
        <w:t>b)</w:t>
      </w:r>
      <w:r w:rsidRPr="007D5008">
        <w:rPr>
          <w:lang w:eastAsia="nl-NL"/>
        </w:rPr>
        <w:tab/>
      </w:r>
      <w:r>
        <w:rPr>
          <w:lang w:eastAsia="nl-NL"/>
        </w:rPr>
        <w:t>C</w:t>
      </w:r>
      <w:r w:rsidRPr="007D5008">
        <w:rPr>
          <w:lang w:eastAsia="nl-NL"/>
        </w:rPr>
        <w:t>onseiller la Réunion commune sur la manière de procéder avec la vérification de mise en service</w:t>
      </w:r>
      <w:r>
        <w:rPr>
          <w:lang w:eastAsia="nl-NL"/>
        </w:rPr>
        <w:t>. Un consensus s’est dégagé au sein du groupe pour considérer que la</w:t>
      </w:r>
      <w:r w:rsidRPr="00F40522">
        <w:rPr>
          <w:lang w:eastAsia="nl-NL"/>
        </w:rPr>
        <w:t xml:space="preserve"> vérification de mise en service</w:t>
      </w:r>
      <w:r>
        <w:rPr>
          <w:lang w:eastAsia="nl-NL"/>
        </w:rPr>
        <w:t xml:space="preserve"> avait vocation à être une activité de surveillance du marché ou dirigée par la connaissance du marché qui est menée de manière occasionnelle plutôt que systématique. Il a donc </w:t>
      </w:r>
      <w:r w:rsidRPr="00434B41">
        <w:rPr>
          <w:lang w:eastAsia="nl-NL"/>
        </w:rPr>
        <w:t>été conclu qu</w:t>
      </w:r>
      <w:r>
        <w:rPr>
          <w:lang w:eastAsia="nl-NL"/>
        </w:rPr>
        <w:t>’</w:t>
      </w:r>
      <w:r w:rsidRPr="00434B41">
        <w:rPr>
          <w:lang w:eastAsia="nl-NL"/>
        </w:rPr>
        <w:t>une formulation plus appropriée devrait être élaborée par le groupe de travail informel</w:t>
      </w:r>
      <w:r w:rsidRPr="00434B41">
        <w:t xml:space="preserve"> </w:t>
      </w:r>
      <w:r w:rsidRPr="00434B41">
        <w:rPr>
          <w:lang w:eastAsia="nl-NL"/>
        </w:rPr>
        <w:t>du contrôle et de l</w:t>
      </w:r>
      <w:r>
        <w:rPr>
          <w:lang w:eastAsia="nl-NL"/>
        </w:rPr>
        <w:t>’</w:t>
      </w:r>
      <w:r w:rsidRPr="00434B41">
        <w:rPr>
          <w:lang w:eastAsia="nl-NL"/>
        </w:rPr>
        <w:t>agrément des citernes</w:t>
      </w:r>
      <w:r>
        <w:rPr>
          <w:lang w:eastAsia="nl-NL"/>
        </w:rPr>
        <w:t xml:space="preserve"> lors de sa session des 16 et 17</w:t>
      </w:r>
      <w:r w:rsidR="00526919">
        <w:rPr>
          <w:lang w:eastAsia="nl-NL"/>
        </w:rPr>
        <w:t> </w:t>
      </w:r>
      <w:r>
        <w:rPr>
          <w:lang w:eastAsia="nl-NL"/>
        </w:rPr>
        <w:t>décembre 2020, en tenant compte des discussions du g</w:t>
      </w:r>
      <w:r w:rsidRPr="009E28A4">
        <w:rPr>
          <w:lang w:eastAsia="nl-NL"/>
        </w:rPr>
        <w:t>roupe de travail permanent du RID</w:t>
      </w:r>
      <w:r>
        <w:rPr>
          <w:lang w:eastAsia="nl-NL"/>
        </w:rPr>
        <w:t>.</w:t>
      </w:r>
    </w:p>
    <w:p w14:paraId="3A2EDA7C" w14:textId="77777777" w:rsidR="0032072F" w:rsidRPr="007A4D01" w:rsidRDefault="0032072F" w:rsidP="0032072F">
      <w:pPr>
        <w:pStyle w:val="SingleTxtG"/>
        <w:ind w:firstLine="567"/>
        <w:rPr>
          <w:lang w:eastAsia="nl-NL"/>
        </w:rPr>
      </w:pPr>
      <w:r w:rsidRPr="009A0B97">
        <w:rPr>
          <w:lang w:eastAsia="nl-NL"/>
        </w:rPr>
        <w:t>c)</w:t>
      </w:r>
      <w:r w:rsidRPr="009A0B97">
        <w:rPr>
          <w:lang w:eastAsia="nl-NL"/>
        </w:rPr>
        <w:tab/>
      </w:r>
      <w:r>
        <w:rPr>
          <w:lang w:eastAsia="nl-NL"/>
        </w:rPr>
        <w:t>P</w:t>
      </w:r>
      <w:r w:rsidRPr="009A0B97">
        <w:rPr>
          <w:lang w:eastAsia="nl-NL"/>
        </w:rPr>
        <w:t xml:space="preserve">rodiguer des conseils </w:t>
      </w:r>
      <w:r>
        <w:rPr>
          <w:lang w:eastAsia="nl-NL"/>
        </w:rPr>
        <w:t>concernant l’utilisation d’</w:t>
      </w:r>
      <w:r w:rsidRPr="009A0B97">
        <w:rPr>
          <w:lang w:eastAsia="nl-NL"/>
        </w:rPr>
        <w:t>organismes de contrôle accrédités de type C</w:t>
      </w:r>
      <w:r>
        <w:rPr>
          <w:lang w:eastAsia="nl-NL"/>
        </w:rPr>
        <w:t xml:space="preserve">. De nombreux membres du groupe de travail ont estimé qu’en dépit de leur accréditation en vertu de la norme </w:t>
      </w:r>
      <w:r w:rsidRPr="00847065">
        <w:rPr>
          <w:lang w:eastAsia="nl-NL"/>
        </w:rPr>
        <w:t xml:space="preserve">ISO/IEC 17020, </w:t>
      </w:r>
      <w:r>
        <w:rPr>
          <w:lang w:eastAsia="nl-NL"/>
        </w:rPr>
        <w:t xml:space="preserve">l’indépendance des </w:t>
      </w:r>
      <w:r w:rsidRPr="00847065">
        <w:rPr>
          <w:lang w:eastAsia="nl-NL"/>
        </w:rPr>
        <w:t>organismes de contrôle de type C</w:t>
      </w:r>
      <w:r>
        <w:rPr>
          <w:lang w:eastAsia="nl-NL"/>
        </w:rPr>
        <w:t xml:space="preserve"> restait sujette à caution. </w:t>
      </w:r>
      <w:r w:rsidRPr="009E021B">
        <w:rPr>
          <w:lang w:eastAsia="nl-NL"/>
        </w:rPr>
        <w:t>Il a été proposé que l</w:t>
      </w:r>
      <w:r>
        <w:rPr>
          <w:lang w:eastAsia="nl-NL"/>
        </w:rPr>
        <w:t>’</w:t>
      </w:r>
      <w:r w:rsidRPr="009E021B">
        <w:rPr>
          <w:lang w:eastAsia="nl-NL"/>
        </w:rPr>
        <w:t xml:space="preserve">Irlande et le </w:t>
      </w:r>
      <w:r w:rsidRPr="009E021B">
        <w:t>Royaume-Uni p</w:t>
      </w:r>
      <w:r>
        <w:t xml:space="preserve">réparent une proposition commune qui reflète la direction déjà donnée par le Président de la Réunion commune. Cette proposition tiendrait compte des commentaires et observations formulés par la Réunion commune et par le Groupe de travail des citernes, eu égard aux limites et contrôles qui s’imposeraient au vu de la non-indépendance des </w:t>
      </w:r>
      <w:r w:rsidRPr="007A4D01">
        <w:t>organismes de contrôle de type C</w:t>
      </w:r>
      <w:r>
        <w:t>.</w:t>
      </w:r>
    </w:p>
    <w:p w14:paraId="32809A71" w14:textId="77777777" w:rsidR="0032072F" w:rsidRDefault="0032072F" w:rsidP="0032072F">
      <w:pPr>
        <w:pStyle w:val="HChG"/>
      </w:pPr>
      <w:r>
        <w:tab/>
      </w:r>
      <w:r w:rsidRPr="00787C3B">
        <w:t>III.</w:t>
      </w:r>
      <w:r w:rsidRPr="00787C3B">
        <w:tab/>
      </w:r>
      <w:r w:rsidRPr="007A4D01">
        <w:t>Section 3</w:t>
      </w:r>
      <w:r>
        <w:t> :</w:t>
      </w:r>
      <w:r w:rsidRPr="007A4D01">
        <w:t xml:space="preserve"> Résultats des discussions portant sur des</w:t>
      </w:r>
      <w:r w:rsidR="00526919">
        <w:t> </w:t>
      </w:r>
      <w:r w:rsidRPr="007A4D01">
        <w:t xml:space="preserve">documents qui </w:t>
      </w:r>
      <w:r>
        <w:t>ne sont pas soumis à approbation</w:t>
      </w:r>
    </w:p>
    <w:p w14:paraId="0AB1C143" w14:textId="77777777" w:rsidR="0032072F" w:rsidRPr="000003BB" w:rsidRDefault="0032072F" w:rsidP="00526919">
      <w:pPr>
        <w:pStyle w:val="H1G"/>
      </w:pPr>
      <w:r>
        <w:tab/>
      </w:r>
      <w:r w:rsidRPr="000003BB">
        <w:t>Point 8</w:t>
      </w:r>
      <w:r>
        <w:t> :</w:t>
      </w:r>
      <w:r w:rsidRPr="000003BB">
        <w:tab/>
        <w:t>Document</w:t>
      </w:r>
      <w:r>
        <w:t>s</w:t>
      </w:r>
      <w:r w:rsidRPr="000003BB">
        <w:t xml:space="preserve"> ECE/TRANS/WP.15/AC.1/2020/12 (UIP/UIC) </w:t>
      </w:r>
      <w:r w:rsidR="00526919">
        <w:t>−</w:t>
      </w:r>
      <w:r w:rsidRPr="000003BB">
        <w:t xml:space="preserve"> Précisions concernant l</w:t>
      </w:r>
      <w:r>
        <w:t>’</w:t>
      </w:r>
      <w:r w:rsidRPr="000003BB">
        <w:t>exploitation de citernes après l</w:t>
      </w:r>
      <w:r>
        <w:t>’</w:t>
      </w:r>
      <w:r w:rsidRPr="000003BB">
        <w:t>expiration du délai fixé pour la prochaine épreuve ou</w:t>
      </w:r>
      <w:r>
        <w:t xml:space="preserve"> </w:t>
      </w:r>
      <w:r w:rsidRPr="000003BB">
        <w:t>le</w:t>
      </w:r>
      <w:r>
        <w:t xml:space="preserve"> </w:t>
      </w:r>
      <w:r w:rsidRPr="000003BB">
        <w:t xml:space="preserve">prochain contrôle </w:t>
      </w:r>
      <w:r>
        <w:t xml:space="preserve">et </w:t>
      </w:r>
      <w:r w:rsidRPr="000003BB">
        <w:t>INF.56 (Pologne)</w:t>
      </w:r>
    </w:p>
    <w:p w14:paraId="604FE381" w14:textId="77777777" w:rsidR="0032072F" w:rsidRPr="002404DA" w:rsidRDefault="0032072F" w:rsidP="0032072F">
      <w:pPr>
        <w:pStyle w:val="SingleTxtG"/>
      </w:pPr>
      <w:r w:rsidRPr="000003BB">
        <w:t>14.</w:t>
      </w:r>
      <w:r w:rsidRPr="000003BB">
        <w:tab/>
        <w:t>L</w:t>
      </w:r>
      <w:r>
        <w:t>e</w:t>
      </w:r>
      <w:r w:rsidRPr="000003BB">
        <w:t xml:space="preserve"> paragraphe 4.3.2.3.7, qui a été introduit dans le RID/ADR 2017, régit l</w:t>
      </w:r>
      <w:r>
        <w:t>’</w:t>
      </w:r>
      <w:r w:rsidRPr="000003BB">
        <w:t>utilisation des citernes</w:t>
      </w:r>
      <w:r w:rsidRPr="00BD0F2B">
        <w:rPr>
          <w:rFonts w:ascii="Arial" w:hAnsi="Arial" w:cs="Arial"/>
          <w:color w:val="000000"/>
          <w:sz w:val="18"/>
          <w:szCs w:val="18"/>
        </w:rPr>
        <w:t xml:space="preserve"> </w:t>
      </w:r>
      <w:r w:rsidRPr="00BD0F2B">
        <w:t>après expiration de la période de validité du contrôle</w:t>
      </w:r>
      <w:r>
        <w:t xml:space="preserve">. </w:t>
      </w:r>
      <w:r w:rsidRPr="00C23E7E">
        <w:t>Toutefois, le paragraphe 4.3.2.3.7 ne s</w:t>
      </w:r>
      <w:r>
        <w:t>’</w:t>
      </w:r>
      <w:r w:rsidRPr="00C23E7E">
        <w:t>applique pas aux contrôles intermédiaires en raison de la souplesse déjà i</w:t>
      </w:r>
      <w:r>
        <w:t>ntroduite au paragraphe</w:t>
      </w:r>
      <w:r w:rsidRPr="00AB483E">
        <w:t xml:space="preserve"> 6.8.2.4.3. Il y est prescrit que </w:t>
      </w:r>
      <w:r>
        <w:t xml:space="preserve">les </w:t>
      </w:r>
      <w:r w:rsidRPr="00AB483E">
        <w:t>contrôles intermédiaires peuvent être effectués dans les trois mois avant ou après la date spécifiée</w:t>
      </w:r>
      <w:r>
        <w:t xml:space="preserve">. Lors de discussions antérieures, cette période de grâce de trois mois avait donné lieu à différentes interprétations quant à savoir si la citerne pouvait être remplie et transportée pendant cette période. La proposition visait à clarifier la situation en limitant l’utilisation de la citerne pendant ces trois mois, ne permettant que de terminer une opération de transport ou de retourner </w:t>
      </w:r>
      <w:r w:rsidRPr="001A0A4B">
        <w:t>des marchandises dangereuses aux fins d</w:t>
      </w:r>
      <w:r>
        <w:t>’</w:t>
      </w:r>
      <w:r w:rsidRPr="001A0A4B">
        <w:t>élimination ou de recyclage</w:t>
      </w:r>
      <w:r>
        <w:t xml:space="preserve">, dans l’esprit de ce que stipule déjà le paragraphe </w:t>
      </w:r>
      <w:r w:rsidRPr="002404DA">
        <w:t>4.3.2.3.7 c</w:t>
      </w:r>
      <w:r>
        <w:t xml:space="preserve">oncernant les contrôles </w:t>
      </w:r>
      <w:r w:rsidRPr="002404DA">
        <w:t>p</w:t>
      </w:r>
      <w:r>
        <w:t>é</w:t>
      </w:r>
      <w:r w:rsidRPr="002404DA">
        <w:t>riodi</w:t>
      </w:r>
      <w:r>
        <w:t>ques</w:t>
      </w:r>
      <w:r w:rsidRPr="002404DA">
        <w:t>.</w:t>
      </w:r>
    </w:p>
    <w:p w14:paraId="73D7C698" w14:textId="77777777" w:rsidR="0032072F" w:rsidRDefault="0032072F" w:rsidP="0032072F">
      <w:pPr>
        <w:pStyle w:val="SingleTxtG"/>
      </w:pPr>
      <w:r w:rsidRPr="00D92095">
        <w:t>15.</w:t>
      </w:r>
      <w:r w:rsidRPr="00D92095">
        <w:tab/>
      </w:r>
      <w:bookmarkStart w:id="15" w:name="_Hlk56610622"/>
      <w:r w:rsidRPr="00D92095">
        <w:t>La plupart des experts q</w:t>
      </w:r>
      <w:r>
        <w:t xml:space="preserve">ui ont pris la parole étaient d’avis que </w:t>
      </w:r>
      <w:bookmarkEnd w:id="15"/>
      <w:r>
        <w:t xml:space="preserve">la formulation du paragraphe </w:t>
      </w:r>
      <w:r w:rsidRPr="00CD555A">
        <w:t>6.8.2.4.3</w:t>
      </w:r>
      <w:r>
        <w:t xml:space="preserve"> laissait entendre que la citerne pouvait être utilisée sans restriction, et même remplie, </w:t>
      </w:r>
      <w:r w:rsidRPr="003313A7">
        <w:t xml:space="preserve">dans les trois mois avant ou après la date </w:t>
      </w:r>
      <w:r>
        <w:t xml:space="preserve">prévue pour le contrôle intermédiaire. Il a été fait remarquer que le dépassement de la date prévue pour le contrôle intermédiaire ne signifiait pas que les citernes deviendraient brusquement dangereuses. </w:t>
      </w:r>
      <w:r w:rsidRPr="00E36F68">
        <w:t>Il a toutefois été relevé que cette utilisation sans restriction était compromise par</w:t>
      </w:r>
      <w:r>
        <w:t xml:space="preserve"> les obligations du remplisseur au </w:t>
      </w:r>
      <w:r w:rsidRPr="009F62FD">
        <w:t>1.4.3.3</w:t>
      </w:r>
      <w:r w:rsidR="009B0674">
        <w:t> </w:t>
      </w:r>
      <w:r w:rsidRPr="009F62FD">
        <w:t xml:space="preserve">b). Puisque la citerne ne pourrait pas être utilisée </w:t>
      </w:r>
      <w:r>
        <w:t xml:space="preserve">sans restriction </w:t>
      </w:r>
      <w:r w:rsidRPr="009F62FD">
        <w:t>pendant l</w:t>
      </w:r>
      <w:r>
        <w:t xml:space="preserve">a période de trois mois, il a été proposé que soient supprimés du paragraphe </w:t>
      </w:r>
      <w:r w:rsidRPr="00EB6E71">
        <w:t>6.8.2.4.3 les trois mois avant ou après la date prévue</w:t>
      </w:r>
      <w:r>
        <w:t xml:space="preserve"> et que s’appliquent les mêmes règles que pour les contrôles périodiques qui figurent au paragraphe </w:t>
      </w:r>
      <w:r w:rsidRPr="000227A3">
        <w:t>4.3.2.3.7, o</w:t>
      </w:r>
      <w:r>
        <w:t>u qu’elles soient appliquées en combinaison avec le nouvel alinéa c) proposé.</w:t>
      </w:r>
    </w:p>
    <w:p w14:paraId="37EAA34A" w14:textId="77777777" w:rsidR="0032072F" w:rsidRPr="00182FF0" w:rsidRDefault="0032072F" w:rsidP="0032072F">
      <w:pPr>
        <w:pStyle w:val="SingleTxtG"/>
      </w:pPr>
      <w:r w:rsidRPr="003F0F97">
        <w:t>16.</w:t>
      </w:r>
      <w:r w:rsidRPr="003F0F97">
        <w:tab/>
        <w:t>Il a été convenu qu</w:t>
      </w:r>
      <w:r>
        <w:t>’</w:t>
      </w:r>
      <w:r w:rsidRPr="003F0F97">
        <w:t xml:space="preserve">une compréhension et une interprétation communes </w:t>
      </w:r>
      <w:r>
        <w:t xml:space="preserve">du texte du paragraphe </w:t>
      </w:r>
      <w:r w:rsidRPr="004A318C">
        <w:t>6.8.2.4.3</w:t>
      </w:r>
      <w:r>
        <w:t xml:space="preserve"> étaient nécessaire</w:t>
      </w:r>
      <w:r w:rsidRPr="004A318C">
        <w:t xml:space="preserve">, </w:t>
      </w:r>
      <w:r>
        <w:t xml:space="preserve">mais la discussion n’a pas permis de parvenir à un </w:t>
      </w:r>
      <w:r w:rsidRPr="004A318C">
        <w:t xml:space="preserve">consensus. </w:t>
      </w:r>
      <w:r w:rsidRPr="00182FF0">
        <w:t>L</w:t>
      </w:r>
      <w:r>
        <w:t>’</w:t>
      </w:r>
      <w:r w:rsidRPr="00182FF0">
        <w:t>UIP a cependant été invitée à soumettre un nouv</w:t>
      </w:r>
      <w:r>
        <w:t xml:space="preserve">eau </w:t>
      </w:r>
      <w:r w:rsidRPr="00182FF0">
        <w:t>document.</w:t>
      </w:r>
    </w:p>
    <w:p w14:paraId="3F872147" w14:textId="77777777" w:rsidR="0032072F" w:rsidRPr="00CD555A" w:rsidRDefault="0032072F" w:rsidP="00526919">
      <w:pPr>
        <w:pStyle w:val="H1G"/>
      </w:pPr>
      <w:r>
        <w:tab/>
      </w:r>
      <w:r w:rsidRPr="00CD555A">
        <w:t>Point 9</w:t>
      </w:r>
      <w:r>
        <w:t> :</w:t>
      </w:r>
      <w:r w:rsidRPr="00CD555A">
        <w:tab/>
        <w:t xml:space="preserve">Document ECE/TRANS/WP.15/AC.1/2020/16 (France) </w:t>
      </w:r>
      <w:r w:rsidR="00526919">
        <w:t>−</w:t>
      </w:r>
      <w:r w:rsidRPr="00CD555A">
        <w:t xml:space="preserve"> Citernes à</w:t>
      </w:r>
      <w:r w:rsidR="00526919">
        <w:t> </w:t>
      </w:r>
      <w:r w:rsidRPr="00CD555A">
        <w:t>double paroi avec vide d</w:t>
      </w:r>
      <w:r>
        <w:t>’</w:t>
      </w:r>
      <w:r w:rsidRPr="00CD555A">
        <w:t>air</w:t>
      </w:r>
    </w:p>
    <w:p w14:paraId="3E148100" w14:textId="77777777" w:rsidR="0032072F" w:rsidRPr="00787C3B" w:rsidRDefault="0032072F" w:rsidP="0032072F">
      <w:pPr>
        <w:pStyle w:val="SingleTxtG"/>
      </w:pPr>
      <w:r w:rsidRPr="00B25464">
        <w:t>17.</w:t>
      </w:r>
      <w:r w:rsidRPr="00B25464">
        <w:tab/>
        <w:t xml:space="preserve">Ce document présenté par la France demandait une </w:t>
      </w:r>
      <w:r>
        <w:t xml:space="preserve">interprétation des prescriptions relatives à la protection de l’arrière des citernes des véhicules-citernes. </w:t>
      </w:r>
      <w:r w:rsidR="009B0674">
        <w:t>À</w:t>
      </w:r>
      <w:r>
        <w:t xml:space="preserve"> la section 9.7.6 de l’ADR, il est question de la distance </w:t>
      </w:r>
      <w:r w:rsidRPr="004354E8">
        <w:t>entre la paroi arrière du pare-chocs</w:t>
      </w:r>
      <w:r>
        <w:t xml:space="preserve"> et</w:t>
      </w:r>
      <w:r w:rsidRPr="004354E8">
        <w:t xml:space="preserve"> la citerne</w:t>
      </w:r>
      <w:r>
        <w:t>. Mais dans certains cas c’est la distance au réservoir qui est utilisée, car il s’agit de la partie qui doit être protégée. En particulier, dans le cas des</w:t>
      </w:r>
      <w:r w:rsidRPr="005C4914">
        <w:t xml:space="preserve"> citernes isolées sous vide</w:t>
      </w:r>
      <w:r>
        <w:t>, l’</w:t>
      </w:r>
      <w:r w:rsidRPr="00877F99">
        <w:t>enveloppe</w:t>
      </w:r>
      <w:r>
        <w:t xml:space="preserve"> </w:t>
      </w:r>
      <w:r w:rsidRPr="00877F99">
        <w:t xml:space="preserve">extérieure </w:t>
      </w:r>
      <w:r>
        <w:t xml:space="preserve">est faite d’un matériau plutôt fin </w:t>
      </w:r>
      <w:r w:rsidRPr="00877F99">
        <w:t>et</w:t>
      </w:r>
      <w:r>
        <w:t xml:space="preserve"> lorsqu’elle est endommagée dans un accident cela peut se traduire par une perte de vide, un échauffement subséquent de la citerne et une perte possible du produit transporté</w:t>
      </w:r>
      <w:r w:rsidR="009B0674">
        <w:t>.</w:t>
      </w:r>
    </w:p>
    <w:p w14:paraId="33A5BF88" w14:textId="77777777" w:rsidR="0032072F" w:rsidRPr="00871DB1" w:rsidRDefault="0032072F" w:rsidP="0032072F">
      <w:pPr>
        <w:pStyle w:val="SingleTxtG"/>
      </w:pPr>
      <w:r w:rsidRPr="007D1EB7">
        <w:t>18.</w:t>
      </w:r>
      <w:r w:rsidRPr="007D1EB7">
        <w:tab/>
        <w:t>Plusieurs experts ont confirmé que si l</w:t>
      </w:r>
      <w:r>
        <w:t>’</w:t>
      </w:r>
      <w:r w:rsidRPr="007D1EB7">
        <w:t xml:space="preserve">interprétation de </w:t>
      </w:r>
      <w:r w:rsidR="00526919">
        <w:t>« </w:t>
      </w:r>
      <w:r w:rsidRPr="007D1EB7">
        <w:t>citerne</w:t>
      </w:r>
      <w:r w:rsidR="00526919">
        <w:t> »</w:t>
      </w:r>
      <w:r w:rsidRPr="007D1EB7">
        <w:t xml:space="preserve"> est précisée,</w:t>
      </w:r>
      <w:r>
        <w:t xml:space="preserve"> la distance à prendre en considération est celle qui sépare l’arrière </w:t>
      </w:r>
      <w:r w:rsidRPr="00AD51FA">
        <w:t>du pare-chocs</w:t>
      </w:r>
      <w:r>
        <w:t xml:space="preserve"> des parties extrêmes du système d’isolation. Il a toutefois été souligné que cette prescription remontait à la version originale de l’ADR et qu’à l’époque</w:t>
      </w:r>
      <w:r w:rsidRPr="007D511F">
        <w:t xml:space="preserve"> </w:t>
      </w:r>
      <w:r w:rsidR="00526919">
        <w:t>« </w:t>
      </w:r>
      <w:r w:rsidRPr="007D511F">
        <w:t>r</w:t>
      </w:r>
      <w:r>
        <w:t>éservoir</w:t>
      </w:r>
      <w:r w:rsidR="00526919">
        <w:t> »</w:t>
      </w:r>
      <w:r w:rsidRPr="007D511F">
        <w:t xml:space="preserve"> </w:t>
      </w:r>
      <w:r>
        <w:t>et</w:t>
      </w:r>
      <w:r w:rsidRPr="007D511F">
        <w:t xml:space="preserve"> </w:t>
      </w:r>
      <w:r w:rsidR="00526919">
        <w:t>« </w:t>
      </w:r>
      <w:r>
        <w:t>citerne</w:t>
      </w:r>
      <w:r w:rsidR="00526919">
        <w:t> »</w:t>
      </w:r>
      <w:r w:rsidRPr="007D511F">
        <w:t xml:space="preserve"> </w:t>
      </w:r>
      <w:r>
        <w:t xml:space="preserve">n’étaient pas définis de manière aussi stricte, ce qui laissait une certaine marge d’interprétation. Il a été dit qu’on ne savait pas très bien à quoi renvoyait </w:t>
      </w:r>
      <w:r w:rsidR="00526919">
        <w:t>« </w:t>
      </w:r>
      <w:r>
        <w:t>l’</w:t>
      </w:r>
      <w:r w:rsidRPr="009D27A9">
        <w:t>arrière du pare-chocs</w:t>
      </w:r>
      <w:r w:rsidR="00526919">
        <w:t> »</w:t>
      </w:r>
      <w:r w:rsidRPr="009D27A9">
        <w:t xml:space="preserve"> </w:t>
      </w:r>
      <w:r>
        <w:t>et que cela devait être précisé.</w:t>
      </w:r>
      <w:r w:rsidRPr="00406B57">
        <w:t xml:space="preserve"> </w:t>
      </w:r>
      <w:r w:rsidRPr="00FE062E">
        <w:t>Il</w:t>
      </w:r>
      <w:r>
        <w:t xml:space="preserve"> </w:t>
      </w:r>
      <w:r w:rsidRPr="00FE062E">
        <w:t>a également été relevé qu</w:t>
      </w:r>
      <w:r>
        <w:t>’</w:t>
      </w:r>
      <w:r w:rsidRPr="00FE062E">
        <w:t>un document sur ce sujet avait aussi été soumis au</w:t>
      </w:r>
      <w:r w:rsidRPr="00FE062E">
        <w:rPr>
          <w:rFonts w:ascii="Segoe UI" w:hAnsi="Segoe UI" w:cs="Segoe UI"/>
        </w:rPr>
        <w:t xml:space="preserve"> </w:t>
      </w:r>
      <w:r w:rsidRPr="00FE062E">
        <w:t>Groupe de travail des transports de marchandises dangereuses</w:t>
      </w:r>
      <w:r w:rsidRPr="00871DB1">
        <w:t xml:space="preserve"> (WP.15).</w:t>
      </w:r>
    </w:p>
    <w:p w14:paraId="78B198C6" w14:textId="77777777" w:rsidR="0032072F" w:rsidRDefault="0032072F" w:rsidP="00526919">
      <w:pPr>
        <w:pStyle w:val="H1G"/>
      </w:pPr>
      <w:r>
        <w:tab/>
      </w:r>
      <w:r w:rsidRPr="00913F49">
        <w:t>Point 10</w:t>
      </w:r>
      <w:r>
        <w:t> :</w:t>
      </w:r>
      <w:r w:rsidRPr="00913F49">
        <w:tab/>
        <w:t xml:space="preserve">Document ECE/TRANS/WP.15/AC.1/2020/17 (France) </w:t>
      </w:r>
      <w:r w:rsidR="00526919">
        <w:t>−</w:t>
      </w:r>
      <w:r w:rsidRPr="00913F49">
        <w:t xml:space="preserve"> Utilisation du</w:t>
      </w:r>
      <w:r w:rsidR="00526919">
        <w:t> </w:t>
      </w:r>
      <w:r w:rsidRPr="00913F49">
        <w:t xml:space="preserve">tableau du </w:t>
      </w:r>
      <w:r>
        <w:t xml:space="preserve">paragraphe </w:t>
      </w:r>
      <w:r w:rsidRPr="00913F49">
        <w:t xml:space="preserve">6.8.2.6.1 citant les normes pour la conception et la construction des citernes </w:t>
      </w:r>
      <w:r>
        <w:t xml:space="preserve">et de leurs </w:t>
      </w:r>
      <w:r w:rsidRPr="00913F49">
        <w:t>équipements</w:t>
      </w:r>
    </w:p>
    <w:p w14:paraId="503ED200" w14:textId="77777777" w:rsidR="0032072F" w:rsidRPr="00D6459D" w:rsidRDefault="0032072F" w:rsidP="0032072F">
      <w:pPr>
        <w:pStyle w:val="SingleTxtG"/>
      </w:pPr>
      <w:r w:rsidRPr="004229E3">
        <w:t>19.</w:t>
      </w:r>
      <w:r w:rsidRPr="004229E3">
        <w:tab/>
        <w:t>Ce document sollicitait l</w:t>
      </w:r>
      <w:r>
        <w:t>’</w:t>
      </w:r>
      <w:r w:rsidRPr="004229E3">
        <w:t>avis d</w:t>
      </w:r>
      <w:r>
        <w:t xml:space="preserve">es experts quant à la question de savoir si les </w:t>
      </w:r>
      <w:r w:rsidRPr="00A14E36">
        <w:t>agrément</w:t>
      </w:r>
      <w:r>
        <w:t>s</w:t>
      </w:r>
      <w:r w:rsidRPr="00A14E36">
        <w:t xml:space="preserve"> de type des citernes</w:t>
      </w:r>
      <w:r>
        <w:t xml:space="preserve"> devaient être mis à jour ou renouvelés lorsque de nouvelles normes relatives aux équipements sont introduites. Faut-il par exemple que l’agrément de type encore valable d’une citerne délivré avant que certaines normes </w:t>
      </w:r>
      <w:r w:rsidRPr="00C50948">
        <w:t>applicables aux soupapes</w:t>
      </w:r>
      <w:r>
        <w:t xml:space="preserve"> soient citées en référence dans le </w:t>
      </w:r>
      <w:r w:rsidRPr="00D6459D">
        <w:t xml:space="preserve">RID/ADR </w:t>
      </w:r>
      <w:r>
        <w:t>soit actualisé après l’introduction de ces normes</w:t>
      </w:r>
      <w:r w:rsidR="00526919">
        <w:t> </w:t>
      </w:r>
      <w:r w:rsidRPr="00D6459D">
        <w:t>?</w:t>
      </w:r>
    </w:p>
    <w:p w14:paraId="150B1D66" w14:textId="77777777" w:rsidR="0032072F" w:rsidRPr="00F16D42" w:rsidRDefault="0032072F" w:rsidP="0032072F">
      <w:pPr>
        <w:pStyle w:val="SingleTxtG"/>
      </w:pPr>
      <w:r w:rsidRPr="007802C8">
        <w:t>20.</w:t>
      </w:r>
      <w:r w:rsidRPr="007802C8">
        <w:tab/>
        <w:t>Les agréments de type do</w:t>
      </w:r>
      <w:r>
        <w:t xml:space="preserve">ivent être vérifiés chaque fois qu’est publiée une nouvelle version du </w:t>
      </w:r>
      <w:r w:rsidRPr="00F31392">
        <w:t>RID/ADR,</w:t>
      </w:r>
      <w:r>
        <w:t xml:space="preserve"> conformément au paragraphe </w:t>
      </w:r>
      <w:r w:rsidRPr="00AC658D">
        <w:t>6.8.2.3.3</w:t>
      </w:r>
      <w:r w:rsidRPr="00EB2AC3">
        <w:t>,</w:t>
      </w:r>
      <w:r>
        <w:t xml:space="preserve"> deuxième alinéa. S’il est fait référence à une nouvelle norme obligatoire, il faut en tenir compte également. </w:t>
      </w:r>
      <w:r w:rsidRPr="00D53CF6">
        <w:t>Il a toutefois été souligné que si une nouvelle version d</w:t>
      </w:r>
      <w:r>
        <w:t>’</w:t>
      </w:r>
      <w:r w:rsidRPr="00D53CF6">
        <w:t>un</w:t>
      </w:r>
      <w:r>
        <w:t>e norme</w:t>
      </w:r>
      <w:r w:rsidRPr="001F7385">
        <w:t xml:space="preserve"> relative à</w:t>
      </w:r>
      <w:r>
        <w:t xml:space="preserve"> un </w:t>
      </w:r>
      <w:r w:rsidRPr="001F7385">
        <w:t>équipement</w:t>
      </w:r>
      <w:r>
        <w:t xml:space="preserve"> était publiée et s’il n’y a pas d’</w:t>
      </w:r>
      <w:r w:rsidRPr="003C2F2F">
        <w:t xml:space="preserve">échéance </w:t>
      </w:r>
      <w:r>
        <w:t xml:space="preserve">dans la colonne 5 il ne serait pas nécessaire de mettre à jour l’agrément de type de la citerne. </w:t>
      </w:r>
      <w:r w:rsidRPr="00CA291B">
        <w:t>D</w:t>
      </w:r>
      <w:r>
        <w:t>’</w:t>
      </w:r>
      <w:r w:rsidRPr="00CA291B">
        <w:t>aucuns ont également estimé que le texte du paragraphe 6.8.2.3.3 ne permettrait pas d</w:t>
      </w:r>
      <w:r>
        <w:t>’actualiser l’agrément de type, car cet agrément doit être retiré par l’autorité compétente ou l’organisme désigné par elle, ce qui entraîne un nouvel agrément de type. Il a été conclu que le détenteur devrait avoir le choix de mettre à jour ou de retirer l’agrément de type.</w:t>
      </w:r>
      <w:r w:rsidRPr="00B4320A">
        <w:t xml:space="preserve"> </w:t>
      </w:r>
      <w:r w:rsidRPr="00F16D42">
        <w:t>La discussion devrait se poursuivre en tenant compte du paragraphe 6.8.2.3.3 e</w:t>
      </w:r>
      <w:r>
        <w:t xml:space="preserve">t de la disposition </w:t>
      </w:r>
      <w:r w:rsidRPr="00F16D42">
        <w:t>équivalent</w:t>
      </w:r>
      <w:r>
        <w:t>e</w:t>
      </w:r>
      <w:r w:rsidRPr="00F16D42">
        <w:t xml:space="preserve"> </w:t>
      </w:r>
      <w:r>
        <w:t xml:space="preserve">à la section </w:t>
      </w:r>
      <w:r w:rsidRPr="00F16D42">
        <w:t>1.8.7.</w:t>
      </w:r>
    </w:p>
    <w:p w14:paraId="66738BE6" w14:textId="77777777" w:rsidR="0032072F" w:rsidRPr="00D13FB4" w:rsidRDefault="0032072F" w:rsidP="00526919">
      <w:pPr>
        <w:pStyle w:val="H1G"/>
      </w:pPr>
      <w:r>
        <w:tab/>
      </w:r>
      <w:r w:rsidRPr="00D13FB4">
        <w:t>Point 11</w:t>
      </w:r>
      <w:r>
        <w:t> :</w:t>
      </w:r>
      <w:bookmarkStart w:id="16" w:name="_Hlk51043974"/>
      <w:r w:rsidRPr="00D13FB4">
        <w:tab/>
        <w:t>Document</w:t>
      </w:r>
      <w:r>
        <w:t>s</w:t>
      </w:r>
      <w:r w:rsidRPr="00D13FB4">
        <w:t xml:space="preserve"> ECE/TRANS/WP.15/AC.1/2020</w:t>
      </w:r>
      <w:bookmarkEnd w:id="16"/>
      <w:r w:rsidRPr="00D13FB4">
        <w:t xml:space="preserve">/18 (France) </w:t>
      </w:r>
      <w:r w:rsidR="00526919">
        <w:t>−</w:t>
      </w:r>
      <w:r w:rsidRPr="00D13FB4">
        <w:t xml:space="preserve"> Contrôle des</w:t>
      </w:r>
      <w:r w:rsidR="00526919">
        <w:t> </w:t>
      </w:r>
      <w:r w:rsidRPr="00D13FB4">
        <w:t>citernes dont la période de validité du contrôle intermédiaire a</w:t>
      </w:r>
      <w:r w:rsidR="00526919">
        <w:t> </w:t>
      </w:r>
      <w:r w:rsidRPr="00D13FB4">
        <w:t xml:space="preserve">expiré, ECE/TRANS/WP.15/AC.1/2020/45 (UIP) </w:t>
      </w:r>
      <w:r>
        <w:t xml:space="preserve">et </w:t>
      </w:r>
      <w:r w:rsidRPr="00D13FB4">
        <w:t>ECE/TRANS/WP.15/AC.1/2020/48 (Royaume-Uni)</w:t>
      </w:r>
    </w:p>
    <w:p w14:paraId="79CAD915" w14:textId="77777777" w:rsidR="0032072F" w:rsidRPr="00526919" w:rsidRDefault="0032072F" w:rsidP="0032072F">
      <w:pPr>
        <w:pStyle w:val="SingleTxtG"/>
        <w:rPr>
          <w:spacing w:val="-1"/>
        </w:rPr>
      </w:pPr>
      <w:r w:rsidRPr="00526919">
        <w:rPr>
          <w:spacing w:val="-1"/>
        </w:rPr>
        <w:t>21.</w:t>
      </w:r>
      <w:r w:rsidRPr="00526919">
        <w:rPr>
          <w:spacing w:val="-1"/>
        </w:rPr>
        <w:tab/>
        <w:t xml:space="preserve">Quand un contrôle intermédiaire est retardé de plus de trois mois, comme le permet le </w:t>
      </w:r>
      <w:bookmarkStart w:id="17" w:name="_Hlk56668757"/>
      <w:r w:rsidRPr="00526919">
        <w:rPr>
          <w:spacing w:val="-1"/>
        </w:rPr>
        <w:t>paragraphe</w:t>
      </w:r>
      <w:bookmarkEnd w:id="17"/>
      <w:r w:rsidRPr="00526919">
        <w:rPr>
          <w:spacing w:val="-1"/>
        </w:rPr>
        <w:t xml:space="preserve"> 6.8.2.4.3, à quel contrôle serait-il approprié de procéder</w:t>
      </w:r>
      <w:r w:rsidR="00526919" w:rsidRPr="00526919">
        <w:rPr>
          <w:spacing w:val="-1"/>
        </w:rPr>
        <w:t> </w:t>
      </w:r>
      <w:r w:rsidRPr="00526919">
        <w:rPr>
          <w:spacing w:val="-1"/>
        </w:rPr>
        <w:t>? Conformément aux récents amendements apportés au chapitre 6.7, le document a proposé que ce soit un contrôle périodique. Dans le document ECE/TRANS/WP.15/AC.1/2020/48, cela a été étendu aux contrôles périodiques en retard et aux citernes qui ont été longtemps hors service.</w:t>
      </w:r>
    </w:p>
    <w:p w14:paraId="75F6F55C" w14:textId="77777777" w:rsidR="0032072F" w:rsidRDefault="0032072F" w:rsidP="0032072F">
      <w:pPr>
        <w:pStyle w:val="SingleTxtG"/>
      </w:pPr>
      <w:r w:rsidRPr="00787C3B">
        <w:t>22.</w:t>
      </w:r>
      <w:r w:rsidRPr="00787C3B">
        <w:tab/>
        <w:t>La plupart des experts qui ont pris la parole étaient d</w:t>
      </w:r>
      <w:r>
        <w:t>’</w:t>
      </w:r>
      <w:r w:rsidRPr="00787C3B">
        <w:t xml:space="preserve">avis que </w:t>
      </w:r>
      <w:r>
        <w:t xml:space="preserve">le contrôle normalement prévu devait se faire et, se fondant sur de nombreuses années d’expérience, ils n’ont vu aucun avantage supplémentaire à effectuer des contrôles plus rigoureux. </w:t>
      </w:r>
      <w:r w:rsidRPr="005F47BB">
        <w:t>Le document ECE/TRANS/WP.15/AC.1/2020/45</w:t>
      </w:r>
      <w:r>
        <w:t xml:space="preserve"> </w:t>
      </w:r>
      <w:r w:rsidRPr="005F47BB">
        <w:t>indiqu</w:t>
      </w:r>
      <w:r>
        <w:t>ait</w:t>
      </w:r>
      <w:r w:rsidRPr="005F47BB">
        <w:t xml:space="preserve"> que l</w:t>
      </w:r>
      <w:r>
        <w:t xml:space="preserve">e nettoyage en vue du contrôle périodique entraînerait des coûts élevés et une </w:t>
      </w:r>
      <w:r w:rsidRPr="00D42166">
        <w:t>pression sur l</w:t>
      </w:r>
      <w:r>
        <w:t>’</w:t>
      </w:r>
      <w:r w:rsidRPr="00D42166">
        <w:t>environnement.</w:t>
      </w:r>
      <w:r>
        <w:t xml:space="preserve"> Davantage d’</w:t>
      </w:r>
      <w:r w:rsidRPr="007774C7">
        <w:t>épreuves de pression hydraulique seraient susceptibles d</w:t>
      </w:r>
      <w:r>
        <w:t>’</w:t>
      </w:r>
      <w:r w:rsidRPr="007774C7">
        <w:t>introduire de l</w:t>
      </w:r>
      <w:r>
        <w:t xml:space="preserve">’humidité dans la citerne et de provoquer de la corrosion. </w:t>
      </w:r>
      <w:r w:rsidRPr="00B77AB0">
        <w:t>L</w:t>
      </w:r>
      <w:r>
        <w:t>’</w:t>
      </w:r>
      <w:r w:rsidRPr="00B77AB0">
        <w:t>obligation faite au remplisseur par le paragraphe 1.4.3.3</w:t>
      </w:r>
      <w:r w:rsidR="00526919">
        <w:t> </w:t>
      </w:r>
      <w:r w:rsidRPr="00B77AB0">
        <w:t xml:space="preserve">b) </w:t>
      </w:r>
      <w:r>
        <w:t xml:space="preserve">de </w:t>
      </w:r>
      <w:r w:rsidRPr="00B77AB0">
        <w:t>s</w:t>
      </w:r>
      <w:r>
        <w:t>’</w:t>
      </w:r>
      <w:r w:rsidRPr="00B77AB0">
        <w:t>assurer que la date</w:t>
      </w:r>
      <w:r>
        <w:t xml:space="preserve"> du prochain contrôle </w:t>
      </w:r>
      <w:r w:rsidRPr="00B77AB0">
        <w:t>n</w:t>
      </w:r>
      <w:r>
        <w:t>’</w:t>
      </w:r>
      <w:r w:rsidRPr="00B77AB0">
        <w:t>est pas dépassée</w:t>
      </w:r>
      <w:r>
        <w:t xml:space="preserve"> empêcherait les citernes concernées d’être remplies.</w:t>
      </w:r>
    </w:p>
    <w:p w14:paraId="1E2FB8A5" w14:textId="77777777" w:rsidR="0032072F" w:rsidRDefault="0032072F" w:rsidP="0032072F">
      <w:pPr>
        <w:pStyle w:val="SingleTxtG"/>
      </w:pPr>
      <w:r w:rsidRPr="008B2E74">
        <w:t>23.</w:t>
      </w:r>
      <w:r w:rsidRPr="008B2E74">
        <w:tab/>
        <w:t xml:space="preserve">Il a été considéré que le règlement ne </w:t>
      </w:r>
      <w:r>
        <w:t>produisait pas assez d’orientations à l’intention des organismes de contrôle quant à la manière de se comporter en cas de contrôles retardés.</w:t>
      </w:r>
    </w:p>
    <w:p w14:paraId="27CB4CE9" w14:textId="77777777" w:rsidR="0032072F" w:rsidRPr="00A553F1" w:rsidRDefault="0032072F" w:rsidP="0032072F">
      <w:pPr>
        <w:pStyle w:val="SingleTxtG"/>
        <w:rPr>
          <w:i/>
          <w:iCs/>
        </w:rPr>
      </w:pPr>
      <w:r w:rsidRPr="00A553F1">
        <w:t>24.</w:t>
      </w:r>
      <w:r w:rsidRPr="00A553F1">
        <w:tab/>
        <w:t>Il a donc été décidé de tenir compte des observations formulées et l</w:t>
      </w:r>
      <w:r>
        <w:t>’</w:t>
      </w:r>
      <w:r w:rsidRPr="00A553F1">
        <w:t>expert d</w:t>
      </w:r>
      <w:r>
        <w:t>e l’</w:t>
      </w:r>
      <w:r w:rsidRPr="00A553F1">
        <w:t xml:space="preserve">UIP </w:t>
      </w:r>
      <w:r w:rsidRPr="00606CAA">
        <w:t>s</w:t>
      </w:r>
      <w:r>
        <w:t>’</w:t>
      </w:r>
      <w:r w:rsidRPr="00606CAA">
        <w:t>est</w:t>
      </w:r>
      <w:r>
        <w:t xml:space="preserve"> </w:t>
      </w:r>
      <w:r w:rsidRPr="00606CAA">
        <w:t>porté</w:t>
      </w:r>
      <w:r>
        <w:t xml:space="preserve"> </w:t>
      </w:r>
      <w:r w:rsidRPr="00606CAA">
        <w:t>volontaire</w:t>
      </w:r>
      <w:r>
        <w:t xml:space="preserve"> </w:t>
      </w:r>
      <w:r w:rsidRPr="00606CAA">
        <w:t>pour</w:t>
      </w:r>
      <w:r>
        <w:t xml:space="preserve"> </w:t>
      </w:r>
      <w:r w:rsidRPr="00606CAA">
        <w:t>présenter une n</w:t>
      </w:r>
      <w:r>
        <w:t xml:space="preserve">ouvelle </w:t>
      </w:r>
      <w:r w:rsidRPr="00606CAA">
        <w:t xml:space="preserve">proposition </w:t>
      </w:r>
      <w:r>
        <w:t>à une prochaine session.</w:t>
      </w:r>
    </w:p>
    <w:p w14:paraId="3D525E9C" w14:textId="77777777" w:rsidR="0032072F" w:rsidRPr="00DC3B43" w:rsidRDefault="0032072F" w:rsidP="00391B70">
      <w:pPr>
        <w:pStyle w:val="H1G"/>
      </w:pPr>
      <w:r>
        <w:tab/>
      </w:r>
      <w:bookmarkStart w:id="18" w:name="_Hlk56695140"/>
      <w:r w:rsidRPr="00DC3B43">
        <w:t>Point 12</w:t>
      </w:r>
      <w:r>
        <w:t> :</w:t>
      </w:r>
      <w:r w:rsidRPr="00DC3B43">
        <w:tab/>
      </w:r>
      <w:r w:rsidRPr="000F3523">
        <w:t>Document</w:t>
      </w:r>
      <w:r w:rsidRPr="00DC3B43">
        <w:t xml:space="preserve"> ECE/TRANS/WP.15/AC.1/2020/33 (Fédération de Russie) </w:t>
      </w:r>
      <w:r w:rsidR="00391B70">
        <w:t>−</w:t>
      </w:r>
      <w:r w:rsidRPr="00DC3B43">
        <w:t xml:space="preserve"> Calcul de l</w:t>
      </w:r>
      <w:r>
        <w:t>’</w:t>
      </w:r>
      <w:r w:rsidRPr="00DC3B43">
        <w:t>épaisseur minimale des parois des réservoirs (par</w:t>
      </w:r>
      <w:r w:rsidR="00391B70">
        <w:t>. </w:t>
      </w:r>
      <w:r w:rsidRPr="00DC3B43">
        <w:t>6.8.2.1.13, 6.8.2.1.1</w:t>
      </w:r>
      <w:r w:rsidR="007A2181">
        <w:t>5</w:t>
      </w:r>
      <w:r w:rsidRPr="00DC3B43">
        <w:t>, 6.8.2.1.16, 6.8.2.1.17 et 6.8.2.4.1)</w:t>
      </w:r>
      <w:bookmarkEnd w:id="18"/>
    </w:p>
    <w:p w14:paraId="1C0469F4" w14:textId="77777777" w:rsidR="0032072F" w:rsidRPr="00855144" w:rsidRDefault="0032072F" w:rsidP="0032072F">
      <w:pPr>
        <w:pStyle w:val="SingleTxtG"/>
      </w:pPr>
      <w:r w:rsidRPr="00375AF2">
        <w:t>25.</w:t>
      </w:r>
      <w:r w:rsidRPr="00375AF2">
        <w:tab/>
        <w:t xml:space="preserve">Ce document interrogeait sur la cohérence entre les paragraphes en </w:t>
      </w:r>
      <w:r>
        <w:t>question du règlement, et en particulier entre les</w:t>
      </w:r>
      <w:r w:rsidRPr="00855144">
        <w:t xml:space="preserve"> paragraphe</w:t>
      </w:r>
      <w:r>
        <w:t>s</w:t>
      </w:r>
      <w:r w:rsidRPr="00855144">
        <w:t xml:space="preserve"> 6.8.2.1.16</w:t>
      </w:r>
      <w:r>
        <w:t xml:space="preserve"> et </w:t>
      </w:r>
      <w:r w:rsidRPr="00855144">
        <w:t>6.8.2.1.13.</w:t>
      </w:r>
    </w:p>
    <w:p w14:paraId="706182F7" w14:textId="77777777" w:rsidR="0032072F" w:rsidRPr="00910C6C" w:rsidRDefault="0032072F" w:rsidP="0032072F">
      <w:pPr>
        <w:pStyle w:val="SingleTxtG"/>
      </w:pPr>
      <w:r w:rsidRPr="00A426FE">
        <w:t>26.</w:t>
      </w:r>
      <w:r w:rsidRPr="00A426FE">
        <w:tab/>
        <w:t>S</w:t>
      </w:r>
      <w:r>
        <w:t>’</w:t>
      </w:r>
      <w:r w:rsidRPr="00A426FE">
        <w:t>agissant du paragraphe 6.8.2.1.16, le document p</w:t>
      </w:r>
      <w:r>
        <w:t xml:space="preserve">ointait une certaine incertitude quant au fait de savoir si les limites relatives à </w:t>
      </w:r>
      <w:r w:rsidRPr="00996B8C">
        <w:t>la contrainte</w:t>
      </w:r>
      <w:r>
        <w:t xml:space="preserve"> admissible </w:t>
      </w:r>
      <w:r w:rsidRPr="00540309">
        <w:t>σ</w:t>
      </w:r>
      <w:r>
        <w:t xml:space="preserve"> étaient liées au calcul de l’épaisseur de la paroi du réservoir basé sur </w:t>
      </w:r>
      <w:bookmarkStart w:id="19" w:name="_Hlk56671879"/>
      <w:r>
        <w:t xml:space="preserve">la </w:t>
      </w:r>
      <w:r w:rsidRPr="00B22D47">
        <w:t>pression d</w:t>
      </w:r>
      <w:r>
        <w:t>’</w:t>
      </w:r>
      <w:r w:rsidRPr="00B22D47">
        <w:t xml:space="preserve">épreuve </w:t>
      </w:r>
      <w:r>
        <w:t xml:space="preserve">seulement ou si elles étaient aussi liées à la </w:t>
      </w:r>
      <w:bookmarkStart w:id="20" w:name="_Hlk56672331"/>
      <w:r w:rsidRPr="005A3DD8">
        <w:t>pression de calcul</w:t>
      </w:r>
      <w:bookmarkEnd w:id="20"/>
      <w:r>
        <w:t>.</w:t>
      </w:r>
      <w:bookmarkEnd w:id="19"/>
      <w:r>
        <w:t xml:space="preserve"> </w:t>
      </w:r>
      <w:r w:rsidRPr="00E0150A">
        <w:t>Comme il ressort clairement de la légende des formules au paragraphe 6.8.2.1.17, les limitations re</w:t>
      </w:r>
      <w:r>
        <w:t xml:space="preserve">latives </w:t>
      </w:r>
      <w:r w:rsidRPr="00E0150A">
        <w:t>à la contrainte admissible σ</w:t>
      </w:r>
      <w:r>
        <w:t xml:space="preserve"> s’appliquent tant à </w:t>
      </w:r>
      <w:r w:rsidRPr="00E0150A">
        <w:t xml:space="preserve">la </w:t>
      </w:r>
      <w:r>
        <w:t xml:space="preserve">détermination de l’épaisseur minimale de la paroi </w:t>
      </w:r>
      <w:r w:rsidRPr="007F0120">
        <w:t xml:space="preserve">du réservoir </w:t>
      </w:r>
      <w:r>
        <w:t xml:space="preserve">à l’aide de la </w:t>
      </w:r>
      <w:r w:rsidRPr="00E0150A">
        <w:t xml:space="preserve">pression de calcul </w:t>
      </w:r>
      <w:r>
        <w:t>qu’</w:t>
      </w:r>
      <w:r w:rsidRPr="00E0150A">
        <w:t xml:space="preserve">à </w:t>
      </w:r>
      <w:r>
        <w:t xml:space="preserve">l’aide de </w:t>
      </w:r>
      <w:r w:rsidRPr="00E0150A">
        <w:t>la pression</w:t>
      </w:r>
      <w:r w:rsidRPr="006920A0">
        <w:t xml:space="preserve"> </w:t>
      </w:r>
      <w:r w:rsidRPr="00E0150A">
        <w:t>d</w:t>
      </w:r>
      <w:r>
        <w:t>’</w:t>
      </w:r>
      <w:r w:rsidRPr="00E0150A">
        <w:t>épreuve.</w:t>
      </w:r>
      <w:r w:rsidR="008F70B5">
        <w:t xml:space="preserve"> </w:t>
      </w:r>
      <w:r>
        <w:t xml:space="preserve">Aucun consensus ne s’est cependant dégagé en faveur de la suppression des mots </w:t>
      </w:r>
      <w:r w:rsidR="008F70B5">
        <w:t>« </w:t>
      </w:r>
      <w:r w:rsidRPr="00587E59">
        <w:t>pression d</w:t>
      </w:r>
      <w:r>
        <w:t>’</w:t>
      </w:r>
      <w:r w:rsidRPr="00587E59">
        <w:t>épreuve</w:t>
      </w:r>
      <w:r w:rsidR="008F70B5">
        <w:t> »</w:t>
      </w:r>
      <w:r w:rsidRPr="00587E59">
        <w:t xml:space="preserve"> d</w:t>
      </w:r>
      <w:r>
        <w:t xml:space="preserve">ans la première phrase du paragraphe </w:t>
      </w:r>
      <w:r w:rsidRPr="00587E59">
        <w:t>6.8.2.1.16 a</w:t>
      </w:r>
      <w:r>
        <w:t xml:space="preserve">fin qu’il s’applique aux deux situations, ni en faveur de l’ajout de </w:t>
      </w:r>
      <w:r w:rsidR="00391B70">
        <w:t>« </w:t>
      </w:r>
      <w:r w:rsidRPr="00205AF8">
        <w:t>pression de calcul</w:t>
      </w:r>
      <w:r w:rsidR="00391B70">
        <w:t> »</w:t>
      </w:r>
      <w:r w:rsidRPr="00205AF8">
        <w:t xml:space="preserve"> </w:t>
      </w:r>
      <w:r>
        <w:t>pour parvenir au même résultat</w:t>
      </w:r>
      <w:r w:rsidRPr="00205AF8">
        <w:t xml:space="preserve">. </w:t>
      </w:r>
      <w:r w:rsidRPr="004530F0">
        <w:t>Il a été décidé que cette question</w:t>
      </w:r>
      <w:r w:rsidRPr="004530F0">
        <w:rPr>
          <w:rFonts w:ascii="Segoe UI" w:hAnsi="Segoe UI" w:cs="Segoe UI"/>
        </w:rPr>
        <w:t xml:space="preserve"> </w:t>
      </w:r>
      <w:r w:rsidRPr="004530F0">
        <w:t>appel</w:t>
      </w:r>
      <w:r>
        <w:t>ait</w:t>
      </w:r>
      <w:r w:rsidRPr="004530F0">
        <w:t xml:space="preserve"> un examen plus approfondi</w:t>
      </w:r>
      <w:r>
        <w:t xml:space="preserve">, car elle </w:t>
      </w:r>
      <w:r w:rsidRPr="00910C6C">
        <w:t>concerne les exigences essentielles applicables</w:t>
      </w:r>
      <w:r w:rsidRPr="002E2F4A">
        <w:t xml:space="preserve"> </w:t>
      </w:r>
      <w:r>
        <w:t>aux citernes</w:t>
      </w:r>
      <w:r w:rsidRPr="00910C6C">
        <w:t>.</w:t>
      </w:r>
    </w:p>
    <w:p w14:paraId="67EA28F3" w14:textId="77777777" w:rsidR="0032072F" w:rsidRDefault="0032072F" w:rsidP="0032072F">
      <w:pPr>
        <w:pStyle w:val="SingleTxtG"/>
      </w:pPr>
      <w:bookmarkStart w:id="21" w:name="_Hlk56695214"/>
      <w:r w:rsidRPr="001C3A22">
        <w:t>27.</w:t>
      </w:r>
      <w:r w:rsidRPr="001C3A22">
        <w:tab/>
        <w:t>S</w:t>
      </w:r>
      <w:r>
        <w:t>’</w:t>
      </w:r>
      <w:r w:rsidRPr="001C3A22">
        <w:t>agissant du paragraphe 6.8.2.1.13, le problème concernait la formulation suivante</w:t>
      </w:r>
      <w:r>
        <w:t> :</w:t>
      </w:r>
      <w:r w:rsidRPr="001C3A22">
        <w:t xml:space="preserve"> </w:t>
      </w:r>
      <w:r w:rsidR="00391B70">
        <w:t>« </w:t>
      </w:r>
      <w:r w:rsidRPr="001C3A22">
        <w:t>Pour déterminer l</w:t>
      </w:r>
      <w:r>
        <w:t>’</w:t>
      </w:r>
      <w:r w:rsidRPr="001C3A22">
        <w:t>épaisseur du réservoir, on doit se baser sur une pression au moins égale à la pression de calcul.</w:t>
      </w:r>
      <w:r w:rsidR="00391B70">
        <w:t> ».</w:t>
      </w:r>
      <w:r w:rsidRPr="001C3A22">
        <w:t xml:space="preserve"> </w:t>
      </w:r>
      <w:r w:rsidRPr="00F40043">
        <w:t>Cela signifie que l</w:t>
      </w:r>
      <w:r>
        <w:t>’</w:t>
      </w:r>
      <w:r w:rsidRPr="00F40043">
        <w:t>épaisseur de la paroi du réservoir b</w:t>
      </w:r>
      <w:r>
        <w:t xml:space="preserve">asée sur la pression de calcul est l’épaisseur minimale, d’autres situations pouvant donner des parois plus épaisses basées sur les paragraphes </w:t>
      </w:r>
      <w:r w:rsidRPr="003C0AAF">
        <w:t>6.8.2.1.4</w:t>
      </w:r>
      <w:r>
        <w:t xml:space="preserve"> ou </w:t>
      </w:r>
      <w:r w:rsidRPr="003C0AAF">
        <w:t xml:space="preserve">6.8.2.1.17 </w:t>
      </w:r>
      <w:r>
        <w:t xml:space="preserve">à </w:t>
      </w:r>
      <w:r w:rsidRPr="003C0AAF">
        <w:t xml:space="preserve">6.8.2.1.21, </w:t>
      </w:r>
      <w:r>
        <w:t>avec des valeurs supérieures, ce qui rend caduque l’épaisseur de la paroi basée sur la pression de calcul. Il n’a pas été jugé que cela nécessitait d’autres modifications.</w:t>
      </w:r>
      <w:bookmarkEnd w:id="21"/>
    </w:p>
    <w:p w14:paraId="1D31EFC9" w14:textId="77777777" w:rsidR="0032072F" w:rsidRPr="008E5D62" w:rsidRDefault="0032072F" w:rsidP="0032072F">
      <w:pPr>
        <w:pStyle w:val="SingleTxtG"/>
      </w:pPr>
      <w:r w:rsidRPr="008E5D62">
        <w:t>28.</w:t>
      </w:r>
      <w:r w:rsidRPr="008E5D62">
        <w:tab/>
        <w:t>Il a été proposé de garder le document p</w:t>
      </w:r>
      <w:r>
        <w:t>our examen à une prochaine session.</w:t>
      </w:r>
    </w:p>
    <w:p w14:paraId="1FC8AF03" w14:textId="77777777" w:rsidR="0032072F" w:rsidRPr="00FC33CB" w:rsidRDefault="0032072F" w:rsidP="00391B70">
      <w:pPr>
        <w:pStyle w:val="H1G"/>
      </w:pPr>
      <w:r>
        <w:tab/>
      </w:r>
      <w:r w:rsidRPr="00FC33CB">
        <w:t>Point 13</w:t>
      </w:r>
      <w:r>
        <w:t> :</w:t>
      </w:r>
      <w:r w:rsidRPr="00FC33CB">
        <w:tab/>
        <w:t xml:space="preserve">Document ECE/TRANS/WP.15/AC.1/2020/35 (Fédération de Russie) </w:t>
      </w:r>
      <w:r w:rsidR="00391B70">
        <w:t>−</w:t>
      </w:r>
      <w:r w:rsidRPr="00FC33CB">
        <w:t xml:space="preserve"> Effet des sollicitations extérieures exercées sur l</w:t>
      </w:r>
      <w:r>
        <w:t>’</w:t>
      </w:r>
      <w:r w:rsidRPr="00FC33CB">
        <w:t>obturateur interne et son siège (par</w:t>
      </w:r>
      <w:r w:rsidR="00391B70">
        <w:t>. </w:t>
      </w:r>
      <w:r w:rsidRPr="00FC33CB">
        <w:t>6.8.2.2.2)</w:t>
      </w:r>
    </w:p>
    <w:p w14:paraId="70EEDA62" w14:textId="77777777" w:rsidR="0032072F" w:rsidRPr="00CC0051" w:rsidRDefault="0032072F" w:rsidP="0032072F">
      <w:pPr>
        <w:pStyle w:val="SingleTxtG"/>
      </w:pPr>
      <w:r w:rsidRPr="009D4FFE">
        <w:t>29.</w:t>
      </w:r>
      <w:r w:rsidRPr="009D4FFE">
        <w:tab/>
        <w:t>Il a été considéré que l</w:t>
      </w:r>
      <w:r>
        <w:t xml:space="preserve">a formulation actuelle ne permettait pas de comprendre les sollicitations qui s’exerceraient sur l’obturateur et son siège. Il a donc été proposé que cette formulation soit modifiée pour préciser ces sollicitations, en particulier celles qui s’exercent dans les </w:t>
      </w:r>
      <w:r w:rsidRPr="005070CA">
        <w:t>situations d</w:t>
      </w:r>
      <w:r>
        <w:t>’</w:t>
      </w:r>
      <w:r w:rsidRPr="005070CA">
        <w:t>urgence</w:t>
      </w:r>
      <w:r>
        <w:t>.</w:t>
      </w:r>
    </w:p>
    <w:p w14:paraId="163CC8B5" w14:textId="77777777" w:rsidR="0032072F" w:rsidRDefault="0032072F" w:rsidP="0032072F">
      <w:pPr>
        <w:pStyle w:val="SingleTxtG"/>
      </w:pPr>
      <w:r w:rsidRPr="009C058B">
        <w:t>30.</w:t>
      </w:r>
      <w:r w:rsidRPr="009C058B">
        <w:tab/>
      </w:r>
      <w:r>
        <w:t xml:space="preserve">Cette </w:t>
      </w:r>
      <w:r w:rsidRPr="009C058B">
        <w:t>proposition n</w:t>
      </w:r>
      <w:r>
        <w:t>’</w:t>
      </w:r>
      <w:r w:rsidRPr="009C058B">
        <w:t xml:space="preserve">a </w:t>
      </w:r>
      <w:r>
        <w:t>t</w:t>
      </w:r>
      <w:r w:rsidRPr="009C058B">
        <w:t>outefois</w:t>
      </w:r>
      <w:r>
        <w:t xml:space="preserve"> </w:t>
      </w:r>
      <w:r w:rsidRPr="009C058B">
        <w:t>pas r</w:t>
      </w:r>
      <w:r>
        <w:t>ecueilli l’assentiment de la majorité du groupe de travail. Elle a estimé que la formulation actuelle était plus générale et couvrait toutes sortes d’incidents, depuis le couple dû au serrage excessif d’un capot jusqu’à l’impact d’un corps étranger tel qu’un véhicule routier, en passant par la sollicitation engendrée par le poids d’un équipement adjacent ou l’oubli de déconnecter un flexible.</w:t>
      </w:r>
    </w:p>
    <w:p w14:paraId="34EC78D5" w14:textId="77777777" w:rsidR="0032072F" w:rsidRPr="00912A13" w:rsidRDefault="0032072F" w:rsidP="0032072F">
      <w:pPr>
        <w:pStyle w:val="SingleTxtG"/>
      </w:pPr>
      <w:r w:rsidRPr="00D0414D">
        <w:t>31.</w:t>
      </w:r>
      <w:r w:rsidRPr="00D0414D">
        <w:tab/>
        <w:t>Il a été fait référence à la norme EN 14433</w:t>
      </w:r>
      <w:r>
        <w:t>:20</w:t>
      </w:r>
      <w:r w:rsidRPr="00D0414D">
        <w:t xml:space="preserve">14, </w:t>
      </w:r>
      <w:r>
        <w:t>qui prévoir une épreuve de rupture</w:t>
      </w:r>
      <w:r w:rsidRPr="00912A13">
        <w:t xml:space="preserve"> (a</w:t>
      </w:r>
      <w:r>
        <w:t xml:space="preserve">u </w:t>
      </w:r>
      <w:r w:rsidRPr="00912A13">
        <w:t>paragraph</w:t>
      </w:r>
      <w:r>
        <w:t>e</w:t>
      </w:r>
      <w:r w:rsidRPr="00912A13">
        <w:t xml:space="preserve"> 7.6) </w:t>
      </w:r>
      <w:r>
        <w:t xml:space="preserve">pour l’enveloppe externe du </w:t>
      </w:r>
      <w:r w:rsidRPr="007D54BF">
        <w:t xml:space="preserve">clapet de fond </w:t>
      </w:r>
      <w:r>
        <w:t>(</w:t>
      </w:r>
      <w:r w:rsidRPr="008D7B9A">
        <w:t>obturateur interne</w:t>
      </w:r>
      <w:r>
        <w:t>) qui doit être passée pour l’agrément de type. Après l’épreuve, l’étanchéité de l’obturateur ne doit pas être affectée.</w:t>
      </w:r>
    </w:p>
    <w:p w14:paraId="6EE45C3E" w14:textId="77777777" w:rsidR="0032072F" w:rsidRPr="00F006A0" w:rsidRDefault="0032072F" w:rsidP="0032072F">
      <w:pPr>
        <w:pStyle w:val="SingleTxtG"/>
      </w:pPr>
      <w:r w:rsidRPr="00F006A0">
        <w:t>32.</w:t>
      </w:r>
      <w:r w:rsidRPr="00F006A0">
        <w:tab/>
        <w:t>La modification propos</w:t>
      </w:r>
      <w:r>
        <w:t>é</w:t>
      </w:r>
      <w:r w:rsidRPr="00F006A0">
        <w:t>e n</w:t>
      </w:r>
      <w:r>
        <w:t>’</w:t>
      </w:r>
      <w:r w:rsidRPr="00F006A0">
        <w:t>a pas été soutenue car il a été estimé que</w:t>
      </w:r>
      <w:r>
        <w:t xml:space="preserve"> la formulation actuelle était suffisante et avait fait ses preuves depuis des décennies.</w:t>
      </w:r>
    </w:p>
    <w:p w14:paraId="49B3A0B2" w14:textId="77777777" w:rsidR="0032072F" w:rsidRPr="00FC33CB" w:rsidRDefault="0032072F" w:rsidP="00391B70">
      <w:pPr>
        <w:pStyle w:val="H1G"/>
      </w:pPr>
      <w:r>
        <w:tab/>
      </w:r>
      <w:r w:rsidRPr="00FC33CB">
        <w:t>Point 14</w:t>
      </w:r>
      <w:r>
        <w:t> :</w:t>
      </w:r>
      <w:r w:rsidRPr="00FC33CB">
        <w:tab/>
      </w:r>
      <w:r w:rsidRPr="000F3523">
        <w:t>Document</w:t>
      </w:r>
      <w:r w:rsidRPr="00FC33CB">
        <w:t xml:space="preserve"> INF.13 (Pays-Bas) </w:t>
      </w:r>
      <w:r w:rsidR="00391B70">
        <w:t>−</w:t>
      </w:r>
      <w:r w:rsidRPr="00FC33CB">
        <w:t xml:space="preserve"> Interprétation </w:t>
      </w:r>
      <w:r>
        <w:t xml:space="preserve">du paragraphe </w:t>
      </w:r>
      <w:r w:rsidRPr="00FC33CB">
        <w:t xml:space="preserve">6.8.3.2.3 </w:t>
      </w:r>
      <w:r>
        <w:t>dans l’</w:t>
      </w:r>
      <w:r w:rsidRPr="00FC33CB">
        <w:t>ADR</w:t>
      </w:r>
    </w:p>
    <w:p w14:paraId="0B28B558" w14:textId="77777777" w:rsidR="0032072F" w:rsidRDefault="0032072F" w:rsidP="0032072F">
      <w:pPr>
        <w:pStyle w:val="SingleTxtG"/>
      </w:pPr>
      <w:r w:rsidRPr="0078444A">
        <w:t>33.</w:t>
      </w:r>
      <w:r w:rsidRPr="0078444A">
        <w:tab/>
        <w:t>Les Pays-Bas ont demandé au groupe de travail</w:t>
      </w:r>
      <w:r>
        <w:t xml:space="preserve"> d’indiquer si la </w:t>
      </w:r>
      <w:r w:rsidRPr="00BC1CEE">
        <w:t>tuyauterie</w:t>
      </w:r>
      <w:r>
        <w:t xml:space="preserve"> </w:t>
      </w:r>
      <w:r w:rsidRPr="00BC1CEE">
        <w:t>de</w:t>
      </w:r>
      <w:r>
        <w:t xml:space="preserve"> </w:t>
      </w:r>
      <w:r w:rsidRPr="00BC1CEE">
        <w:t>récupération</w:t>
      </w:r>
      <w:r>
        <w:t xml:space="preserve"> </w:t>
      </w:r>
      <w:r w:rsidRPr="00BC1CEE">
        <w:t>des</w:t>
      </w:r>
      <w:r>
        <w:t xml:space="preserve"> </w:t>
      </w:r>
      <w:r w:rsidRPr="00BC1CEE">
        <w:t xml:space="preserve">vapeurs </w:t>
      </w:r>
      <w:r>
        <w:t xml:space="preserve">des citernes </w:t>
      </w:r>
      <w:r w:rsidRPr="00C52FDB">
        <w:t>pour</w:t>
      </w:r>
      <w:r>
        <w:t xml:space="preserve"> </w:t>
      </w:r>
      <w:r w:rsidRPr="00C52FDB">
        <w:t>gaz liquéfiés réfrigérés</w:t>
      </w:r>
      <w:r>
        <w:t xml:space="preserve"> </w:t>
      </w:r>
      <w:r w:rsidRPr="00C52FDB">
        <w:t>(p</w:t>
      </w:r>
      <w:r w:rsidR="00391B70">
        <w:t xml:space="preserve">ar </w:t>
      </w:r>
      <w:r>
        <w:t>ex</w:t>
      </w:r>
      <w:r w:rsidR="00391B70">
        <w:t>emple,</w:t>
      </w:r>
      <w:r w:rsidRPr="00C52FDB">
        <w:t xml:space="preserve"> LNG/H</w:t>
      </w:r>
      <w:r w:rsidRPr="00C52FDB">
        <w:rPr>
          <w:vertAlign w:val="subscript"/>
        </w:rPr>
        <w:t>2</w:t>
      </w:r>
      <w:r w:rsidRPr="00C52FDB">
        <w:t xml:space="preserve">) </w:t>
      </w:r>
      <w:r>
        <w:t xml:space="preserve">devrait être munie de trois fermetures en série, dont la plus proche de la citerne devrait être à fermeture automatique comme le prescrit le paragraphe </w:t>
      </w:r>
      <w:r w:rsidRPr="0056457D">
        <w:t xml:space="preserve">6.8.3.2.3. </w:t>
      </w:r>
      <w:r w:rsidRPr="007535F3">
        <w:t xml:space="preserve">La formulation des paragraphes 6.8.3.2.3 et 6.8.3.2.7 a été jugée </w:t>
      </w:r>
      <w:r>
        <w:t>s</w:t>
      </w:r>
      <w:r w:rsidRPr="007535F3">
        <w:t>ujette à</w:t>
      </w:r>
      <w:r>
        <w:t xml:space="preserve"> </w:t>
      </w:r>
      <w:r w:rsidRPr="007535F3">
        <w:t xml:space="preserve">interprétation. </w:t>
      </w:r>
      <w:r w:rsidRPr="00315988">
        <w:t>Il a été fait référence à la norme EN 14564</w:t>
      </w:r>
      <w:r>
        <w:t>:20</w:t>
      </w:r>
      <w:r w:rsidRPr="00315988">
        <w:t xml:space="preserve">19, </w:t>
      </w:r>
      <w:r>
        <w:t>dont l’annexe F contient un schéma explicatif montrant trois fermetures.</w:t>
      </w:r>
    </w:p>
    <w:p w14:paraId="33C19AEE" w14:textId="77777777" w:rsidR="0032072F" w:rsidRDefault="0032072F" w:rsidP="0032072F">
      <w:pPr>
        <w:pStyle w:val="SingleTxtG"/>
      </w:pPr>
      <w:r w:rsidRPr="009C33DE">
        <w:t>34.</w:t>
      </w:r>
      <w:r w:rsidRPr="009C33DE">
        <w:tab/>
        <w:t>Aucun consensus ne s</w:t>
      </w:r>
      <w:r>
        <w:t>’</w:t>
      </w:r>
      <w:r w:rsidRPr="009C33DE">
        <w:t xml:space="preserve">est dégagé </w:t>
      </w:r>
      <w:r>
        <w:t xml:space="preserve">pour estimer que la position des </w:t>
      </w:r>
      <w:r w:rsidRPr="009C33DE">
        <w:t>Pays-Bas</w:t>
      </w:r>
      <w:r>
        <w:t xml:space="preserve"> pourrait être confirmée, même s’il n’a pas pu être garanti que toutes les citernes en service disposent de la fonction de fermeture automatique</w:t>
      </w:r>
      <w:r w:rsidRPr="00522B46">
        <w:t xml:space="preserve">. </w:t>
      </w:r>
      <w:r>
        <w:t xml:space="preserve">On a estimé </w:t>
      </w:r>
      <w:r w:rsidRPr="007F5F16">
        <w:t>que les textes du paragraphe 6.8.3.2 et les norm</w:t>
      </w:r>
      <w:r>
        <w:t>e</w:t>
      </w:r>
      <w:r w:rsidRPr="007F5F16">
        <w:t xml:space="preserve">s </w:t>
      </w:r>
      <w:r>
        <w:t xml:space="preserve">applicables aux </w:t>
      </w:r>
      <w:r w:rsidRPr="007F5F16">
        <w:t>citernes pour gaz liquéfiés réfrigérés</w:t>
      </w:r>
      <w:r>
        <w:t xml:space="preserve"> n’étaient pas facile à comprendre et que le texte du paragraphe </w:t>
      </w:r>
      <w:r w:rsidRPr="00DB4CF2">
        <w:t>6.8.3.2 g</w:t>
      </w:r>
      <w:r>
        <w:t>agnerait à être revu</w:t>
      </w:r>
      <w:r w:rsidRPr="00DB4CF2">
        <w:t xml:space="preserve">. Les Pays-Bas ont été invités à </w:t>
      </w:r>
      <w:r>
        <w:t>soumettre un document officiel pour une prochaine session.</w:t>
      </w:r>
    </w:p>
    <w:p w14:paraId="25616B83" w14:textId="77777777" w:rsidR="0032072F" w:rsidRPr="004876CA" w:rsidRDefault="0032072F" w:rsidP="00391B70">
      <w:pPr>
        <w:pStyle w:val="H1G"/>
      </w:pPr>
      <w:r>
        <w:tab/>
      </w:r>
      <w:r w:rsidRPr="004876CA">
        <w:t>Point 15</w:t>
      </w:r>
      <w:r>
        <w:t> :</w:t>
      </w:r>
      <w:r w:rsidRPr="004876CA">
        <w:tab/>
        <w:t xml:space="preserve">Document INF.54 (Royaume-Uni) </w:t>
      </w:r>
      <w:r w:rsidR="00391B70">
        <w:t>−</w:t>
      </w:r>
      <w:r w:rsidRPr="004876CA">
        <w:t xml:space="preserve"> Citernes</w:t>
      </w:r>
      <w:r>
        <w:t> :</w:t>
      </w:r>
      <w:r w:rsidRPr="004876CA">
        <w:t xml:space="preserve"> marquage de numéros de</w:t>
      </w:r>
      <w:r w:rsidR="00391B70">
        <w:t> </w:t>
      </w:r>
      <w:r>
        <w:t>série sur les</w:t>
      </w:r>
      <w:r w:rsidR="00AF6987">
        <w:t xml:space="preserve"> </w:t>
      </w:r>
      <w:r>
        <w:t>réservoirs des citernes</w:t>
      </w:r>
    </w:p>
    <w:p w14:paraId="25664C45" w14:textId="77777777" w:rsidR="0032072F" w:rsidRDefault="0032072F" w:rsidP="0032072F">
      <w:pPr>
        <w:pStyle w:val="SingleTxtG"/>
      </w:pPr>
      <w:r w:rsidRPr="00B474E4">
        <w:t>35.</w:t>
      </w:r>
      <w:r w:rsidRPr="00B474E4">
        <w:tab/>
        <w:t>Il a été proposé d</w:t>
      </w:r>
      <w:r>
        <w:t>’</w:t>
      </w:r>
      <w:r w:rsidRPr="00B474E4">
        <w:t>introduire une prescription pour que le numéro de série du fabricant soit e</w:t>
      </w:r>
      <w:r>
        <w:t>stampé sur le réservoir afin de permettre son identification si le panneau de la citerne a été perdu ou enlevé.</w:t>
      </w:r>
    </w:p>
    <w:p w14:paraId="6088B813" w14:textId="77777777" w:rsidR="0032072F" w:rsidRPr="009942FF" w:rsidRDefault="0032072F" w:rsidP="00391B70">
      <w:pPr>
        <w:pStyle w:val="SingleTxtG"/>
        <w:keepLines/>
      </w:pPr>
      <w:r w:rsidRPr="006262AC">
        <w:t>36.</w:t>
      </w:r>
      <w:r w:rsidRPr="006262AC">
        <w:tab/>
        <w:t>Il a été relevé que l</w:t>
      </w:r>
      <w:r>
        <w:t xml:space="preserve">’estampage du numéro de série sur le réservoir fait déjà partie des prescriptions pour l’agrément de type de la norme </w:t>
      </w:r>
      <w:r w:rsidRPr="00671662">
        <w:t>EN 12972</w:t>
      </w:r>
      <w:r>
        <w:t>:20</w:t>
      </w:r>
      <w:r w:rsidRPr="00671662">
        <w:t>18</w:t>
      </w:r>
      <w:r>
        <w:t xml:space="preserve"> qui deviendra d’application obligatoire à partir du 1</w:t>
      </w:r>
      <w:r w:rsidRPr="00671662">
        <w:rPr>
          <w:vertAlign w:val="superscript"/>
        </w:rPr>
        <w:t>er</w:t>
      </w:r>
      <w:r w:rsidR="00391B70">
        <w:t> </w:t>
      </w:r>
      <w:r>
        <w:t xml:space="preserve">janvier </w:t>
      </w:r>
      <w:r w:rsidRPr="00671662">
        <w:t>2022 (</w:t>
      </w:r>
      <w:r>
        <w:t>par</w:t>
      </w:r>
      <w:r w:rsidR="00AF6987">
        <w:t>. </w:t>
      </w:r>
      <w:r w:rsidRPr="00671662">
        <w:t xml:space="preserve">6.8.2.6.1). </w:t>
      </w:r>
      <w:r w:rsidRPr="009942FF">
        <w:t>Le groupe de travail n</w:t>
      </w:r>
      <w:r>
        <w:t>’</w:t>
      </w:r>
      <w:r w:rsidRPr="009942FF">
        <w:t>a pas jugé nécessaire de l</w:t>
      </w:r>
      <w:r>
        <w:t>’</w:t>
      </w:r>
      <w:r w:rsidRPr="009942FF">
        <w:t>inclure dans le règlement lui-même.</w:t>
      </w:r>
    </w:p>
    <w:p w14:paraId="780A95E7" w14:textId="77777777" w:rsidR="0032072F" w:rsidRDefault="0032072F" w:rsidP="0032072F">
      <w:pPr>
        <w:pStyle w:val="SingleTxtG"/>
      </w:pPr>
      <w:r w:rsidRPr="00C5016D">
        <w:t>37.</w:t>
      </w:r>
      <w:r w:rsidRPr="00C5016D">
        <w:tab/>
        <w:t>S</w:t>
      </w:r>
      <w:r>
        <w:t>’</w:t>
      </w:r>
      <w:r w:rsidRPr="00C5016D">
        <w:t>agissant de savoir s</w:t>
      </w:r>
      <w:r>
        <w:t>’</w:t>
      </w:r>
      <w:r w:rsidRPr="00C5016D">
        <w:t>il fallait l</w:t>
      </w:r>
      <w:r>
        <w:t>’</w:t>
      </w:r>
      <w:r w:rsidRPr="00C5016D">
        <w:t xml:space="preserve">appliquer aux citernes existantes, le groupe a jugé que cela </w:t>
      </w:r>
      <w:r>
        <w:t xml:space="preserve">ne se justifiait pas non plus. </w:t>
      </w:r>
      <w:r w:rsidRPr="0001709F">
        <w:t>L</w:t>
      </w:r>
      <w:r>
        <w:t>a</w:t>
      </w:r>
      <w:r w:rsidRPr="0001709F">
        <w:t xml:space="preserve"> proposition n</w:t>
      </w:r>
      <w:r>
        <w:t>’</w:t>
      </w:r>
      <w:r w:rsidRPr="0001709F">
        <w:t>a donc pas été adoptée.</w:t>
      </w:r>
    </w:p>
    <w:p w14:paraId="4925B96D" w14:textId="77777777" w:rsidR="0032072F" w:rsidRPr="00D84413" w:rsidRDefault="0032072F" w:rsidP="00391B70">
      <w:pPr>
        <w:pStyle w:val="H1G"/>
      </w:pPr>
      <w:r>
        <w:tab/>
      </w:r>
      <w:r w:rsidRPr="00D84413">
        <w:t>Point 16</w:t>
      </w:r>
      <w:r>
        <w:t> :</w:t>
      </w:r>
      <w:r w:rsidRPr="00D84413">
        <w:tab/>
        <w:t>Questions diverses</w:t>
      </w:r>
    </w:p>
    <w:p w14:paraId="474763D6" w14:textId="77777777" w:rsidR="0032072F" w:rsidRPr="00531649" w:rsidRDefault="0032072F" w:rsidP="0032072F">
      <w:pPr>
        <w:pStyle w:val="SingleTxtG"/>
      </w:pPr>
      <w:r w:rsidRPr="00BD3175">
        <w:t>38.</w:t>
      </w:r>
      <w:r w:rsidRPr="00BD3175">
        <w:tab/>
        <w:t xml:space="preserve">Les membres du Groupe de travail des citernes </w:t>
      </w:r>
      <w:r>
        <w:t xml:space="preserve">ont </w:t>
      </w:r>
      <w:r w:rsidRPr="00BD3175">
        <w:t>remercié M.</w:t>
      </w:r>
      <w:r w:rsidR="00391B70">
        <w:t> </w:t>
      </w:r>
      <w:r w:rsidRPr="00BD3175">
        <w:t xml:space="preserve">Ernst Winkler de ses contributions et de sa coopération </w:t>
      </w:r>
      <w:r>
        <w:t xml:space="preserve">tout </w:t>
      </w:r>
      <w:r w:rsidRPr="00BD3175">
        <w:t>au long de ses nombreuses années d</w:t>
      </w:r>
      <w:r>
        <w:t>’</w:t>
      </w:r>
      <w:r w:rsidRPr="00BD3175">
        <w:t xml:space="preserve">activités au </w:t>
      </w:r>
      <w:r>
        <w:t xml:space="preserve">sein du groupe et lui ont </w:t>
      </w:r>
      <w:r w:rsidRPr="00531649">
        <w:t>adress</w:t>
      </w:r>
      <w:r>
        <w:t xml:space="preserve">é leurs </w:t>
      </w:r>
      <w:r w:rsidRPr="00531649">
        <w:t>vœux de réussite dans ses futures activités</w:t>
      </w:r>
      <w:r>
        <w:t>.</w:t>
      </w:r>
    </w:p>
    <w:p w14:paraId="18CDEF66" w14:textId="77777777" w:rsidR="00F9573C" w:rsidRPr="0032072F" w:rsidRDefault="0032072F" w:rsidP="0032072F">
      <w:pPr>
        <w:pStyle w:val="SingleTxtG"/>
        <w:spacing w:before="240" w:after="0"/>
        <w:jc w:val="center"/>
        <w:rPr>
          <w:u w:val="single"/>
        </w:rPr>
      </w:pPr>
      <w:r>
        <w:rPr>
          <w:u w:val="single"/>
        </w:rPr>
        <w:tab/>
      </w:r>
      <w:r>
        <w:rPr>
          <w:u w:val="single"/>
        </w:rPr>
        <w:tab/>
      </w:r>
      <w:r>
        <w:rPr>
          <w:u w:val="single"/>
        </w:rPr>
        <w:tab/>
      </w:r>
    </w:p>
    <w:sectPr w:rsidR="00F9573C" w:rsidRPr="0032072F" w:rsidSect="00297FD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DD28" w14:textId="77777777" w:rsidR="0032072F" w:rsidRDefault="0032072F" w:rsidP="00F95C08">
      <w:pPr>
        <w:spacing w:line="240" w:lineRule="auto"/>
      </w:pPr>
    </w:p>
  </w:endnote>
  <w:endnote w:type="continuationSeparator" w:id="0">
    <w:p w14:paraId="540B090F" w14:textId="77777777" w:rsidR="0032072F" w:rsidRPr="00AC3823" w:rsidRDefault="0032072F" w:rsidP="00AC3823">
      <w:pPr>
        <w:pStyle w:val="Footer"/>
      </w:pPr>
    </w:p>
  </w:endnote>
  <w:endnote w:type="continuationNotice" w:id="1">
    <w:p w14:paraId="0576BB9F" w14:textId="77777777" w:rsidR="0032072F" w:rsidRDefault="00320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661C" w14:textId="77777777" w:rsidR="0032072F" w:rsidRPr="00297FD1" w:rsidRDefault="0032072F" w:rsidP="00297FD1">
    <w:pPr>
      <w:pStyle w:val="Footer"/>
      <w:tabs>
        <w:tab w:val="right" w:pos="9638"/>
      </w:tabs>
    </w:pPr>
    <w:r w:rsidRPr="00297FD1">
      <w:rPr>
        <w:b/>
        <w:sz w:val="18"/>
      </w:rPr>
      <w:fldChar w:fldCharType="begin"/>
    </w:r>
    <w:r w:rsidRPr="00297FD1">
      <w:rPr>
        <w:b/>
        <w:sz w:val="18"/>
      </w:rPr>
      <w:instrText xml:space="preserve"> PAGE  \* MERGEFORMAT </w:instrText>
    </w:r>
    <w:r w:rsidRPr="00297FD1">
      <w:rPr>
        <w:b/>
        <w:sz w:val="18"/>
      </w:rPr>
      <w:fldChar w:fldCharType="separate"/>
    </w:r>
    <w:r w:rsidRPr="00297FD1">
      <w:rPr>
        <w:b/>
        <w:noProof/>
        <w:sz w:val="18"/>
      </w:rPr>
      <w:t>2</w:t>
    </w:r>
    <w:r w:rsidRPr="00297FD1">
      <w:rPr>
        <w:b/>
        <w:sz w:val="18"/>
      </w:rPr>
      <w:fldChar w:fldCharType="end"/>
    </w:r>
    <w:r>
      <w:rPr>
        <w:b/>
        <w:sz w:val="18"/>
      </w:rPr>
      <w:tab/>
    </w:r>
    <w:r>
      <w:t>GE.20-13427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F300" w14:textId="77777777" w:rsidR="0032072F" w:rsidRPr="00297FD1" w:rsidRDefault="0032072F" w:rsidP="00297FD1">
    <w:pPr>
      <w:pStyle w:val="Footer"/>
      <w:tabs>
        <w:tab w:val="right" w:pos="9638"/>
      </w:tabs>
      <w:rPr>
        <w:b/>
        <w:sz w:val="18"/>
      </w:rPr>
    </w:pPr>
    <w:r>
      <w:t>GE.20-13427</w:t>
    </w:r>
    <w:r>
      <w:tab/>
    </w:r>
    <w:r w:rsidRPr="00297FD1">
      <w:rPr>
        <w:b/>
        <w:sz w:val="18"/>
      </w:rPr>
      <w:fldChar w:fldCharType="begin"/>
    </w:r>
    <w:r w:rsidRPr="00297FD1">
      <w:rPr>
        <w:b/>
        <w:sz w:val="18"/>
      </w:rPr>
      <w:instrText xml:space="preserve"> PAGE  \* MERGEFORMAT </w:instrText>
    </w:r>
    <w:r w:rsidRPr="00297FD1">
      <w:rPr>
        <w:b/>
        <w:sz w:val="18"/>
      </w:rPr>
      <w:fldChar w:fldCharType="separate"/>
    </w:r>
    <w:r w:rsidRPr="00297FD1">
      <w:rPr>
        <w:b/>
        <w:noProof/>
        <w:sz w:val="18"/>
      </w:rPr>
      <w:t>3</w:t>
    </w:r>
    <w:r w:rsidRPr="00297F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FFA7" w14:textId="77777777" w:rsidR="0032072F" w:rsidRPr="00297FD1" w:rsidRDefault="0032072F" w:rsidP="00297FD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4F2F0236" wp14:editId="5974B6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20-13427  (F)    191120    191120</w:t>
    </w:r>
    <w:r>
      <w:rPr>
        <w:sz w:val="20"/>
      </w:rPr>
      <w:br/>
    </w:r>
    <w:r w:rsidRPr="00297FD1">
      <w:rPr>
        <w:rFonts w:ascii="C39T30Lfz" w:hAnsi="C39T30Lfz"/>
        <w:sz w:val="56"/>
      </w:rPr>
      <w:t>*2013427*</w:t>
    </w:r>
    <w:r>
      <w:rPr>
        <w:noProof/>
        <w:sz w:val="20"/>
      </w:rPr>
      <w:drawing>
        <wp:anchor distT="0" distB="0" distL="114300" distR="114300" simplePos="0" relativeHeight="251658240" behindDoc="0" locked="0" layoutInCell="1" allowOverlap="1" wp14:anchorId="6D7D86AE" wp14:editId="03A4B31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1984" w14:textId="77777777" w:rsidR="0032072F" w:rsidRPr="00AC3823" w:rsidRDefault="0032072F" w:rsidP="00AC3823">
      <w:pPr>
        <w:pStyle w:val="Footer"/>
        <w:tabs>
          <w:tab w:val="right" w:pos="2155"/>
        </w:tabs>
        <w:spacing w:after="80" w:line="240" w:lineRule="atLeast"/>
        <w:ind w:left="680"/>
        <w:rPr>
          <w:u w:val="single"/>
        </w:rPr>
      </w:pPr>
      <w:r>
        <w:rPr>
          <w:u w:val="single"/>
        </w:rPr>
        <w:tab/>
      </w:r>
    </w:p>
  </w:footnote>
  <w:footnote w:type="continuationSeparator" w:id="0">
    <w:p w14:paraId="7892FD19" w14:textId="77777777" w:rsidR="0032072F" w:rsidRPr="00AC3823" w:rsidRDefault="0032072F" w:rsidP="00AC3823">
      <w:pPr>
        <w:pStyle w:val="Footer"/>
        <w:tabs>
          <w:tab w:val="right" w:pos="2155"/>
        </w:tabs>
        <w:spacing w:after="80" w:line="240" w:lineRule="atLeast"/>
        <w:ind w:left="680"/>
        <w:rPr>
          <w:u w:val="single"/>
        </w:rPr>
      </w:pPr>
      <w:r>
        <w:rPr>
          <w:u w:val="single"/>
        </w:rPr>
        <w:tab/>
      </w:r>
    </w:p>
  </w:footnote>
  <w:footnote w:type="continuationNotice" w:id="1">
    <w:p w14:paraId="5C2F52ED" w14:textId="77777777" w:rsidR="0032072F" w:rsidRPr="00AC3823" w:rsidRDefault="0032072F">
      <w:pPr>
        <w:spacing w:line="240" w:lineRule="auto"/>
        <w:rPr>
          <w:sz w:val="2"/>
          <w:szCs w:val="2"/>
        </w:rPr>
      </w:pPr>
    </w:p>
  </w:footnote>
  <w:footnote w:id="2">
    <w:p w14:paraId="6077C9E1" w14:textId="77777777" w:rsidR="0032072F" w:rsidRPr="00554C20" w:rsidRDefault="0032072F" w:rsidP="0032072F">
      <w:pPr>
        <w:pStyle w:val="FootnoteText"/>
      </w:pPr>
      <w:r w:rsidRPr="007915DE">
        <w:rPr>
          <w:rStyle w:val="FootnoteReference"/>
          <w:vertAlign w:val="baseline"/>
        </w:rPr>
        <w:tab/>
      </w:r>
      <w:r w:rsidRPr="007915DE">
        <w:rPr>
          <w:rStyle w:val="FootnoteReference"/>
          <w:sz w:val="20"/>
          <w:vertAlign w:val="baseline"/>
        </w:rPr>
        <w:t>*</w:t>
      </w:r>
      <w:r w:rsidRPr="007915DE">
        <w:rPr>
          <w:rStyle w:val="FootnoteReference"/>
          <w:sz w:val="20"/>
          <w:vertAlign w:val="baseline"/>
        </w:rPr>
        <w:tab/>
      </w:r>
      <w:bookmarkStart w:id="1" w:name="_Hlk56431415"/>
      <w:r w:rsidRPr="0080346D">
        <w:t>Diffusée par l</w:t>
      </w:r>
      <w:r>
        <w:t>’</w:t>
      </w:r>
      <w:r w:rsidRPr="0080346D">
        <w:t xml:space="preserve">Organisation intergouvernementale pour les transports internationaux ferroviaires </w:t>
      </w:r>
      <w:r>
        <w:t xml:space="preserve">(OTIF) sous la cote </w:t>
      </w:r>
      <w:bookmarkEnd w:id="1"/>
      <w:r w:rsidRPr="0080346D">
        <w:t xml:space="preserve">OTIF/RID/RC/2020-A. </w:t>
      </w:r>
      <w:r w:rsidRPr="00E20FFF">
        <w:t>Sauf indication contraire, les autres documents auxquels il est fait référence dans le présent rapport et qui portent une cote ECE/TRANS/WP.15/AC.1/ suivie de l</w:t>
      </w:r>
      <w:r>
        <w:t>’</w:t>
      </w:r>
      <w:r w:rsidRPr="00E20FFF">
        <w:t>année et d</w:t>
      </w:r>
      <w:r>
        <w:t>’</w:t>
      </w:r>
      <w:r w:rsidRPr="00E20FFF">
        <w:t>un numéro de série ont été diffusés par l</w:t>
      </w:r>
      <w:r>
        <w:t>’</w:t>
      </w:r>
      <w:r w:rsidRPr="00E20FFF">
        <w:t>OTIF sous la cote OTIF/RID/RC/ suivie de l</w:t>
      </w:r>
      <w:r>
        <w:t>’</w:t>
      </w:r>
      <w:r w:rsidRPr="00E20FFF">
        <w:t>année et du même numéro de série.</w:t>
      </w:r>
    </w:p>
  </w:footnote>
  <w:footnote w:id="3">
    <w:p w14:paraId="6E88A9FB" w14:textId="77777777" w:rsidR="0032072F" w:rsidRPr="00E20FFF" w:rsidRDefault="0032072F" w:rsidP="0032072F">
      <w:pPr>
        <w:pStyle w:val="FootnoteText"/>
      </w:pPr>
      <w:r w:rsidRPr="007915DE">
        <w:rPr>
          <w:rStyle w:val="FootnoteReference"/>
          <w:vertAlign w:val="baseline"/>
        </w:rPr>
        <w:tab/>
      </w:r>
      <w:r w:rsidRPr="007915DE">
        <w:rPr>
          <w:rStyle w:val="FootnoteReference"/>
          <w:sz w:val="20"/>
          <w:vertAlign w:val="baseline"/>
        </w:rPr>
        <w:t>**</w:t>
      </w:r>
      <w:r w:rsidRPr="007915DE">
        <w:rPr>
          <w:rStyle w:val="FootnoteReference"/>
          <w:sz w:val="20"/>
          <w:vertAlign w:val="baseline"/>
        </w:rPr>
        <w:tab/>
      </w:r>
      <w:r w:rsidRPr="00E20FFF">
        <w:t>Diffusée par l</w:t>
      </w:r>
      <w:r>
        <w:t>’</w:t>
      </w:r>
      <w:r w:rsidRPr="00E20FFF">
        <w:t>Organisation intergouvernementale pour les transports internationaux ferroviaires (OTIF) sous la cote OTIF/RID/RC/2020-A/Add.1.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3E91" w14:textId="77777777" w:rsidR="0032072F" w:rsidRPr="00297FD1" w:rsidRDefault="001D3F7F">
    <w:pPr>
      <w:pStyle w:val="Header"/>
    </w:pPr>
    <w:r>
      <w:fldChar w:fldCharType="begin"/>
    </w:r>
    <w:r>
      <w:instrText xml:space="preserve"> TITLE  \* MERGEFORMAT </w:instrText>
    </w:r>
    <w:r>
      <w:fldChar w:fldCharType="separate"/>
    </w:r>
    <w:r w:rsidR="0032072F">
      <w:t>ECE/TRANS/WP.15/AC.1/158/Add.1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31F6" w14:textId="77777777" w:rsidR="0032072F" w:rsidRPr="00297FD1" w:rsidRDefault="001D3F7F" w:rsidP="00297FD1">
    <w:pPr>
      <w:pStyle w:val="Header"/>
      <w:jc w:val="right"/>
    </w:pPr>
    <w:r>
      <w:fldChar w:fldCharType="begin"/>
    </w:r>
    <w:r>
      <w:instrText xml:space="preserve"> TITLE  \* MERGEFORMAT </w:instrText>
    </w:r>
    <w:r>
      <w:fldChar w:fldCharType="separate"/>
    </w:r>
    <w:r w:rsidR="0032072F">
      <w:t>ECE/TRANS/WP.15/AC.1/158/Add.1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0241D4"/>
    <w:multiLevelType w:val="hybridMultilevel"/>
    <w:tmpl w:val="581801F6"/>
    <w:lvl w:ilvl="0" w:tplc="4D1A7016">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8"/>
  </w:num>
  <w:num w:numId="16">
    <w:abstractNumId w:val="11"/>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19"/>
  </w:num>
  <w:num w:numId="24">
    <w:abstractNumId w:val="21"/>
  </w:num>
  <w:num w:numId="25">
    <w:abstractNumId w:val="12"/>
  </w:num>
  <w:num w:numId="26">
    <w:abstractNumId w:val="20"/>
  </w:num>
  <w:num w:numId="27">
    <w:abstractNumId w:val="20"/>
  </w:num>
  <w:num w:numId="28">
    <w:abstractNumId w:val="20"/>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5D"/>
    <w:rsid w:val="000100DF"/>
    <w:rsid w:val="000107D1"/>
    <w:rsid w:val="00017F94"/>
    <w:rsid w:val="00023842"/>
    <w:rsid w:val="000334F9"/>
    <w:rsid w:val="00045FEB"/>
    <w:rsid w:val="0007796D"/>
    <w:rsid w:val="000B7790"/>
    <w:rsid w:val="00111F2F"/>
    <w:rsid w:val="0014365E"/>
    <w:rsid w:val="00143C66"/>
    <w:rsid w:val="00176178"/>
    <w:rsid w:val="001D3F7F"/>
    <w:rsid w:val="001F525A"/>
    <w:rsid w:val="00223272"/>
    <w:rsid w:val="0024779E"/>
    <w:rsid w:val="00257168"/>
    <w:rsid w:val="002744B8"/>
    <w:rsid w:val="002832AC"/>
    <w:rsid w:val="00297FD1"/>
    <w:rsid w:val="002D7C93"/>
    <w:rsid w:val="00305801"/>
    <w:rsid w:val="0032072F"/>
    <w:rsid w:val="003916DE"/>
    <w:rsid w:val="00391B70"/>
    <w:rsid w:val="00421996"/>
    <w:rsid w:val="00441C3B"/>
    <w:rsid w:val="00446FE5"/>
    <w:rsid w:val="00452396"/>
    <w:rsid w:val="004837D8"/>
    <w:rsid w:val="004E2EED"/>
    <w:rsid w:val="004E468C"/>
    <w:rsid w:val="00526919"/>
    <w:rsid w:val="005505B7"/>
    <w:rsid w:val="00573BE5"/>
    <w:rsid w:val="00586ED3"/>
    <w:rsid w:val="00596AA9"/>
    <w:rsid w:val="0071601D"/>
    <w:rsid w:val="007915DE"/>
    <w:rsid w:val="007A2181"/>
    <w:rsid w:val="007A62E6"/>
    <w:rsid w:val="007F20FA"/>
    <w:rsid w:val="0080684C"/>
    <w:rsid w:val="00871C75"/>
    <w:rsid w:val="008776DC"/>
    <w:rsid w:val="008F70B5"/>
    <w:rsid w:val="009446C0"/>
    <w:rsid w:val="009705C8"/>
    <w:rsid w:val="009B0674"/>
    <w:rsid w:val="009C1CF4"/>
    <w:rsid w:val="009F6B74"/>
    <w:rsid w:val="00A3029F"/>
    <w:rsid w:val="00A30353"/>
    <w:rsid w:val="00A51E55"/>
    <w:rsid w:val="00A56664"/>
    <w:rsid w:val="00AC3823"/>
    <w:rsid w:val="00AE323C"/>
    <w:rsid w:val="00AF0CB5"/>
    <w:rsid w:val="00AF6987"/>
    <w:rsid w:val="00B00181"/>
    <w:rsid w:val="00B00B0D"/>
    <w:rsid w:val="00B43B3B"/>
    <w:rsid w:val="00B45F2E"/>
    <w:rsid w:val="00B765F7"/>
    <w:rsid w:val="00B95D5D"/>
    <w:rsid w:val="00BA0CA9"/>
    <w:rsid w:val="00C02897"/>
    <w:rsid w:val="00C97039"/>
    <w:rsid w:val="00D3439C"/>
    <w:rsid w:val="00D45188"/>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FD0E1"/>
  <w15:docId w15:val="{B3316E94-9111-4A69-AA32-9DAFF8DF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2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32072F"/>
    <w:pPr>
      <w:keepNext/>
      <w:keepLines/>
      <w:spacing w:after="0" w:line="240" w:lineRule="auto"/>
      <w:ind w:right="0"/>
      <w:jc w:val="left"/>
      <w:outlineLvl w:val="0"/>
    </w:pPr>
  </w:style>
  <w:style w:type="paragraph" w:styleId="Heading2">
    <w:name w:val="heading 2"/>
    <w:basedOn w:val="Normal"/>
    <w:next w:val="Normal"/>
    <w:link w:val="Heading2Char"/>
    <w:semiHidden/>
    <w:qFormat/>
    <w:rsid w:val="0032072F"/>
    <w:pPr>
      <w:outlineLvl w:val="1"/>
    </w:pPr>
  </w:style>
  <w:style w:type="paragraph" w:styleId="Heading3">
    <w:name w:val="heading 3"/>
    <w:basedOn w:val="Normal"/>
    <w:next w:val="Normal"/>
    <w:link w:val="Heading3Char"/>
    <w:semiHidden/>
    <w:qFormat/>
    <w:rsid w:val="0032072F"/>
    <w:pPr>
      <w:outlineLvl w:val="2"/>
    </w:pPr>
  </w:style>
  <w:style w:type="paragraph" w:styleId="Heading4">
    <w:name w:val="heading 4"/>
    <w:basedOn w:val="Normal"/>
    <w:next w:val="Normal"/>
    <w:link w:val="Heading4Char"/>
    <w:semiHidden/>
    <w:qFormat/>
    <w:rsid w:val="0032072F"/>
    <w:pPr>
      <w:outlineLvl w:val="3"/>
    </w:pPr>
  </w:style>
  <w:style w:type="paragraph" w:styleId="Heading5">
    <w:name w:val="heading 5"/>
    <w:basedOn w:val="Normal"/>
    <w:next w:val="Normal"/>
    <w:link w:val="Heading5Char"/>
    <w:semiHidden/>
    <w:qFormat/>
    <w:rsid w:val="0032072F"/>
    <w:pPr>
      <w:outlineLvl w:val="4"/>
    </w:pPr>
  </w:style>
  <w:style w:type="paragraph" w:styleId="Heading6">
    <w:name w:val="heading 6"/>
    <w:basedOn w:val="Normal"/>
    <w:next w:val="Normal"/>
    <w:link w:val="Heading6Char"/>
    <w:semiHidden/>
    <w:qFormat/>
    <w:rsid w:val="0032072F"/>
    <w:pPr>
      <w:outlineLvl w:val="5"/>
    </w:pPr>
  </w:style>
  <w:style w:type="paragraph" w:styleId="Heading7">
    <w:name w:val="heading 7"/>
    <w:basedOn w:val="Normal"/>
    <w:next w:val="Normal"/>
    <w:link w:val="Heading7Char"/>
    <w:semiHidden/>
    <w:qFormat/>
    <w:rsid w:val="0032072F"/>
    <w:pPr>
      <w:outlineLvl w:val="6"/>
    </w:pPr>
  </w:style>
  <w:style w:type="paragraph" w:styleId="Heading8">
    <w:name w:val="heading 8"/>
    <w:basedOn w:val="Normal"/>
    <w:next w:val="Normal"/>
    <w:link w:val="Heading8Char"/>
    <w:semiHidden/>
    <w:qFormat/>
    <w:rsid w:val="0032072F"/>
    <w:pPr>
      <w:outlineLvl w:val="7"/>
    </w:pPr>
  </w:style>
  <w:style w:type="paragraph" w:styleId="Heading9">
    <w:name w:val="heading 9"/>
    <w:basedOn w:val="Normal"/>
    <w:next w:val="Normal"/>
    <w:link w:val="Heading9Char"/>
    <w:semiHidden/>
    <w:qFormat/>
    <w:rsid w:val="0032072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32072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2072F"/>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32072F"/>
    <w:pPr>
      <w:spacing w:line="240" w:lineRule="auto"/>
    </w:pPr>
    <w:rPr>
      <w:sz w:val="16"/>
    </w:rPr>
  </w:style>
  <w:style w:type="character" w:customStyle="1" w:styleId="FooterChar">
    <w:name w:val="Footer Char"/>
    <w:aliases w:val="3_G Char"/>
    <w:basedOn w:val="DefaultParagraphFont"/>
    <w:link w:val="Footer"/>
    <w:rsid w:val="0032072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2072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2072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2072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2072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2072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2072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2072F"/>
    <w:pPr>
      <w:spacing w:after="120"/>
      <w:ind w:left="1134" w:right="1134"/>
      <w:jc w:val="both"/>
    </w:pPr>
  </w:style>
  <w:style w:type="paragraph" w:customStyle="1" w:styleId="SLG">
    <w:name w:val="__S_L_G"/>
    <w:basedOn w:val="Normal"/>
    <w:next w:val="Normal"/>
    <w:rsid w:val="0032072F"/>
    <w:pPr>
      <w:keepNext/>
      <w:keepLines/>
      <w:spacing w:before="240" w:after="240" w:line="580" w:lineRule="exact"/>
      <w:ind w:left="1134" w:right="1134"/>
    </w:pPr>
    <w:rPr>
      <w:b/>
      <w:sz w:val="56"/>
    </w:rPr>
  </w:style>
  <w:style w:type="paragraph" w:customStyle="1" w:styleId="SMG">
    <w:name w:val="__S_M_G"/>
    <w:basedOn w:val="Normal"/>
    <w:next w:val="Normal"/>
    <w:rsid w:val="0032072F"/>
    <w:pPr>
      <w:keepNext/>
      <w:keepLines/>
      <w:spacing w:before="240" w:after="240" w:line="420" w:lineRule="exact"/>
      <w:ind w:left="1134" w:right="1134"/>
    </w:pPr>
    <w:rPr>
      <w:b/>
      <w:sz w:val="40"/>
    </w:rPr>
  </w:style>
  <w:style w:type="paragraph" w:customStyle="1" w:styleId="SSG">
    <w:name w:val="__S_S_G"/>
    <w:basedOn w:val="Normal"/>
    <w:next w:val="Normal"/>
    <w:rsid w:val="0032072F"/>
    <w:pPr>
      <w:keepNext/>
      <w:keepLines/>
      <w:spacing w:before="240" w:after="240" w:line="300" w:lineRule="exact"/>
      <w:ind w:left="1134" w:right="1134"/>
    </w:pPr>
    <w:rPr>
      <w:b/>
      <w:sz w:val="28"/>
    </w:rPr>
  </w:style>
  <w:style w:type="paragraph" w:customStyle="1" w:styleId="XLargeG">
    <w:name w:val="__XLarge_G"/>
    <w:basedOn w:val="Normal"/>
    <w:next w:val="Normal"/>
    <w:rsid w:val="0032072F"/>
    <w:pPr>
      <w:keepNext/>
      <w:keepLines/>
      <w:spacing w:before="240" w:after="240" w:line="420" w:lineRule="exact"/>
      <w:ind w:left="1134" w:right="1134"/>
    </w:pPr>
    <w:rPr>
      <w:b/>
      <w:sz w:val="40"/>
    </w:rPr>
  </w:style>
  <w:style w:type="paragraph" w:customStyle="1" w:styleId="Bullet1G">
    <w:name w:val="_Bullet 1_G"/>
    <w:basedOn w:val="Normal"/>
    <w:qFormat/>
    <w:rsid w:val="0032072F"/>
    <w:pPr>
      <w:numPr>
        <w:numId w:val="1"/>
      </w:numPr>
      <w:spacing w:after="120"/>
      <w:ind w:right="1134"/>
      <w:jc w:val="both"/>
    </w:pPr>
  </w:style>
  <w:style w:type="paragraph" w:customStyle="1" w:styleId="Bullet2G">
    <w:name w:val="_Bullet 2_G"/>
    <w:basedOn w:val="Normal"/>
    <w:qFormat/>
    <w:rsid w:val="0032072F"/>
    <w:pPr>
      <w:numPr>
        <w:numId w:val="2"/>
      </w:numPr>
      <w:spacing w:after="120"/>
      <w:ind w:right="1134"/>
      <w:jc w:val="both"/>
    </w:pPr>
  </w:style>
  <w:style w:type="paragraph" w:customStyle="1" w:styleId="ParNoG">
    <w:name w:val="_ParNo_G"/>
    <w:basedOn w:val="Normal"/>
    <w:qFormat/>
    <w:rsid w:val="0032072F"/>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32072F"/>
    <w:rPr>
      <w:rFonts w:ascii="Times New Roman" w:hAnsi="Times New Roman"/>
      <w:sz w:val="18"/>
      <w:vertAlign w:val="superscript"/>
      <w:lang w:val="fr-CH"/>
    </w:rPr>
  </w:style>
  <w:style w:type="character" w:styleId="EndnoteReference">
    <w:name w:val="endnote reference"/>
    <w:aliases w:val="1_G"/>
    <w:basedOn w:val="FootnoteReference"/>
    <w:qFormat/>
    <w:rsid w:val="0032072F"/>
    <w:rPr>
      <w:rFonts w:ascii="Times New Roman" w:hAnsi="Times New Roman"/>
      <w:sz w:val="18"/>
      <w:vertAlign w:val="superscript"/>
      <w:lang w:val="fr-CH"/>
    </w:rPr>
  </w:style>
  <w:style w:type="table" w:styleId="TableGrid">
    <w:name w:val="Table Grid"/>
    <w:basedOn w:val="TableNormal"/>
    <w:rsid w:val="0032072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2072F"/>
    <w:rPr>
      <w:color w:val="0000FF"/>
      <w:u w:val="none"/>
    </w:rPr>
  </w:style>
  <w:style w:type="character" w:styleId="FollowedHyperlink">
    <w:name w:val="FollowedHyperlink"/>
    <w:basedOn w:val="DefaultParagraphFont"/>
    <w:unhideWhenUsed/>
    <w:rsid w:val="0032072F"/>
    <w:rPr>
      <w:color w:val="0000FF"/>
      <w:u w:val="none"/>
    </w:rPr>
  </w:style>
  <w:style w:type="paragraph" w:styleId="FootnoteText">
    <w:name w:val="footnote text"/>
    <w:aliases w:val="5_G"/>
    <w:basedOn w:val="Normal"/>
    <w:link w:val="FootnoteTextChar"/>
    <w:qFormat/>
    <w:rsid w:val="0032072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2072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32072F"/>
  </w:style>
  <w:style w:type="character" w:customStyle="1" w:styleId="EndnoteTextChar">
    <w:name w:val="Endnote Text Char"/>
    <w:aliases w:val="2_G Char"/>
    <w:basedOn w:val="DefaultParagraphFont"/>
    <w:link w:val="EndnoteText"/>
    <w:rsid w:val="0032072F"/>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32072F"/>
    <w:rPr>
      <w:rFonts w:ascii="Times New Roman" w:hAnsi="Times New Roman"/>
      <w:b/>
      <w:sz w:val="18"/>
      <w:lang w:val="fr-CH"/>
    </w:rPr>
  </w:style>
  <w:style w:type="character" w:customStyle="1" w:styleId="Heading1Char">
    <w:name w:val="Heading 1 Char"/>
    <w:aliases w:val="Table_G Char"/>
    <w:basedOn w:val="DefaultParagraphFont"/>
    <w:link w:val="Heading1"/>
    <w:rsid w:val="0032072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2072F"/>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2072F"/>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2072F"/>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2072F"/>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2072F"/>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2072F"/>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2072F"/>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2072F"/>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3207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72F"/>
    <w:rPr>
      <w:rFonts w:ascii="Tahoma" w:eastAsiaTheme="minorHAnsi" w:hAnsi="Tahoma" w:cs="Tahoma"/>
      <w:sz w:val="16"/>
      <w:szCs w:val="16"/>
      <w:lang w:eastAsia="en-US"/>
    </w:rPr>
  </w:style>
  <w:style w:type="character" w:customStyle="1" w:styleId="SingleTxtGChar">
    <w:name w:val="_ Single Txt_G Char"/>
    <w:link w:val="SingleTxtG"/>
    <w:qFormat/>
    <w:locked/>
    <w:rsid w:val="0032072F"/>
    <w:rPr>
      <w:rFonts w:ascii="Times New Roman" w:eastAsiaTheme="minorHAnsi" w:hAnsi="Times New Roman" w:cs="Times New Roman"/>
      <w:sz w:val="20"/>
      <w:szCs w:val="20"/>
      <w:lang w:eastAsia="en-US"/>
    </w:rPr>
  </w:style>
  <w:style w:type="character" w:customStyle="1" w:styleId="HChGChar">
    <w:name w:val="_ H _Ch_G Char"/>
    <w:link w:val="HChG"/>
    <w:qFormat/>
    <w:rsid w:val="0032072F"/>
    <w:rPr>
      <w:rFonts w:ascii="Times New Roman" w:eastAsiaTheme="minorHAnsi" w:hAnsi="Times New Roman" w:cs="Times New Roman"/>
      <w:b/>
      <w:sz w:val="28"/>
      <w:szCs w:val="20"/>
      <w:lang w:eastAsia="en-US"/>
    </w:rPr>
  </w:style>
  <w:style w:type="character" w:customStyle="1" w:styleId="H1GChar">
    <w:name w:val="_ H_1_G Char"/>
    <w:link w:val="H1G"/>
    <w:rsid w:val="0032072F"/>
    <w:rPr>
      <w:rFonts w:ascii="Times New Roman" w:eastAsiaTheme="minorHAnsi" w:hAnsi="Times New Roman" w:cs="Times New Roman"/>
      <w:b/>
      <w:sz w:val="24"/>
      <w:szCs w:val="20"/>
      <w:lang w:eastAsia="en-US"/>
    </w:rPr>
  </w:style>
  <w:style w:type="character" w:customStyle="1" w:styleId="H23GChar">
    <w:name w:val="_ H_2/3_G Char"/>
    <w:link w:val="H23G"/>
    <w:locked/>
    <w:rsid w:val="0032072F"/>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8EF3C-9CDD-4727-9DD2-8211BCBD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D83C8-ED27-43CB-BD8A-C5C07C161347}">
  <ds:schemaRefs>
    <ds:schemaRef ds:uri="http://schemas.microsoft.com/sharepoint/v3/contenttype/forms"/>
  </ds:schemaRefs>
</ds:datastoreItem>
</file>

<file path=customXml/itemProps3.xml><?xml version="1.0" encoding="utf-8"?>
<ds:datastoreItem xmlns:ds="http://schemas.openxmlformats.org/officeDocument/2006/customXml" ds:itemID="{D0D1DAE2-BD41-4316-AA2F-6172BEFBDB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4416</Words>
  <Characters>25174</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ECE/TRANS/WP.15/AC.1/158/Add.1</vt:lpstr>
    </vt:vector>
  </TitlesOfParts>
  <Company>DCM</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subject/>
  <dc:creator>Nicolas MORIN</dc:creator>
  <cp:keywords/>
  <cp:lastModifiedBy>Christine Barrio-Champeau</cp:lastModifiedBy>
  <cp:revision>2</cp:revision>
  <cp:lastPrinted>2014-05-14T10:59:00Z</cp:lastPrinted>
  <dcterms:created xsi:type="dcterms:W3CDTF">2020-11-20T10:40:00Z</dcterms:created>
  <dcterms:modified xsi:type="dcterms:W3CDTF">2020-11-20T10:40:00Z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